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3D5" w:rsidRDefault="00AC1C75">
      <w:r>
        <w:rPr>
          <w:noProof/>
          <w:lang w:eastAsia="en-AU"/>
        </w:rPr>
        <w:drawing>
          <wp:inline distT="0" distB="0" distL="0" distR="0">
            <wp:extent cx="8863330" cy="45097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50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C75" w:rsidRDefault="00AC1C75" w:rsidP="00AC1C75">
      <w:pPr>
        <w:spacing w:line="480" w:lineRule="auto"/>
      </w:pPr>
      <w:r w:rsidRPr="00B22B87">
        <w:rPr>
          <w:rFonts w:ascii="Arial" w:hAnsi="Arial" w:cs="Arial"/>
          <w:b/>
        </w:rPr>
        <w:t xml:space="preserve">Figure </w:t>
      </w:r>
      <w:r>
        <w:rPr>
          <w:rFonts w:ascii="Arial" w:hAnsi="Arial" w:cs="Arial"/>
          <w:b/>
        </w:rPr>
        <w:t>S1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MIC values of isolates in this study to the panel of 4 antibiotics. Breakpoints are indicated by a vertical black line in each graph; MICs to the left of this considered sensitive, while those to the right considered resistant.  Breakpoints (mg/L): Ciprofloxacin S ≤1, R&gt;1; Erythromycin S ≤1, R&gt;1; Penicillin S ≤2, R&gt;2; Tetracycline S ≤4, R&gt;4.</w:t>
      </w:r>
      <w:bookmarkStart w:id="0" w:name="_GoBack"/>
      <w:bookmarkEnd w:id="0"/>
    </w:p>
    <w:sectPr w:rsidR="00AC1C75" w:rsidSect="00AC1C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75"/>
    <w:rsid w:val="00AC1C75"/>
    <w:rsid w:val="00B43B68"/>
    <w:rsid w:val="00C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DEBBC-4716-4282-93C9-7C4CBEB6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Edward (F&amp;N, Werribee SnydRd)</dc:creator>
  <cp:keywords/>
  <dc:description/>
  <cp:lastModifiedBy>Fox, Edward (F&amp;N, Werribee SnydRd)</cp:lastModifiedBy>
  <cp:revision>1</cp:revision>
  <dcterms:created xsi:type="dcterms:W3CDTF">2018-01-30T09:47:00Z</dcterms:created>
  <dcterms:modified xsi:type="dcterms:W3CDTF">2018-01-30T09:49:00Z</dcterms:modified>
</cp:coreProperties>
</file>