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36A7" w:rsidRPr="005B36A7" w:rsidRDefault="005B36A7" w:rsidP="004E3BCC">
      <w:pPr>
        <w:pStyle w:val="MDPI13authornames"/>
        <w:jc w:val="center"/>
        <w:rPr>
          <w:snapToGrid w:val="0"/>
          <w:sz w:val="36"/>
          <w:szCs w:val="20"/>
          <w:u w:val="single"/>
        </w:rPr>
      </w:pPr>
      <w:r w:rsidRPr="005B36A7">
        <w:rPr>
          <w:snapToGrid w:val="0"/>
          <w:sz w:val="36"/>
          <w:szCs w:val="20"/>
          <w:u w:val="single"/>
        </w:rPr>
        <w:t>Supplementary material</w:t>
      </w:r>
    </w:p>
    <w:p w:rsidR="005B36A7" w:rsidRDefault="005B36A7" w:rsidP="005B36A7">
      <w:pPr>
        <w:pStyle w:val="MDPI13authornames"/>
        <w:rPr>
          <w:snapToGrid w:val="0"/>
          <w:sz w:val="36"/>
          <w:szCs w:val="20"/>
        </w:rPr>
      </w:pPr>
    </w:p>
    <w:p w:rsidR="005B36A7" w:rsidRPr="00032C95" w:rsidRDefault="005B36A7" w:rsidP="004E3BCC">
      <w:pPr>
        <w:pStyle w:val="MDPI13authornames"/>
        <w:jc w:val="both"/>
        <w:rPr>
          <w:snapToGrid w:val="0"/>
          <w:sz w:val="32"/>
          <w:szCs w:val="20"/>
        </w:rPr>
      </w:pPr>
      <w:r w:rsidRPr="00032C95">
        <w:rPr>
          <w:snapToGrid w:val="0"/>
          <w:sz w:val="32"/>
          <w:szCs w:val="20"/>
        </w:rPr>
        <w:t xml:space="preserve">Comparative genomics and description of putative virulence factors of </w:t>
      </w:r>
      <w:r w:rsidRPr="00032C95">
        <w:rPr>
          <w:i/>
          <w:snapToGrid w:val="0"/>
          <w:sz w:val="32"/>
          <w:szCs w:val="20"/>
        </w:rPr>
        <w:t>Melissococcus plutonius</w:t>
      </w:r>
      <w:r w:rsidRPr="00032C95">
        <w:rPr>
          <w:snapToGrid w:val="0"/>
          <w:sz w:val="32"/>
          <w:szCs w:val="20"/>
        </w:rPr>
        <w:t xml:space="preserve">, the causative agent of European foulbrood disease in honey bees </w:t>
      </w:r>
    </w:p>
    <w:p w:rsidR="005B36A7" w:rsidRDefault="005B36A7" w:rsidP="005B36A7">
      <w:pPr>
        <w:pStyle w:val="MDPI13authornames"/>
      </w:pPr>
    </w:p>
    <w:p w:rsidR="005B36A7" w:rsidRPr="00F06ACB" w:rsidRDefault="005B36A7" w:rsidP="004E3BCC">
      <w:pPr>
        <w:pStyle w:val="MDPI13authornames"/>
        <w:jc w:val="both"/>
      </w:pPr>
      <w:r w:rsidRPr="00673103">
        <w:t>Marvin Djukic</w:t>
      </w:r>
      <w:r>
        <w:t xml:space="preserve"> </w:t>
      </w:r>
      <w:r w:rsidRPr="00673103">
        <w:rPr>
          <w:vertAlign w:val="superscript"/>
        </w:rPr>
        <w:t>1</w:t>
      </w:r>
      <w:r w:rsidRPr="00673103">
        <w:t>, Silvio Erler</w:t>
      </w:r>
      <w:r>
        <w:t xml:space="preserve"> </w:t>
      </w:r>
      <w:r w:rsidRPr="00673103">
        <w:rPr>
          <w:vertAlign w:val="superscript"/>
        </w:rPr>
        <w:t>2</w:t>
      </w:r>
      <w:r w:rsidRPr="00673103">
        <w:t>, Andreas Leimbach</w:t>
      </w:r>
      <w:r>
        <w:t xml:space="preserve"> </w:t>
      </w:r>
      <w:r w:rsidRPr="00673103">
        <w:rPr>
          <w:vertAlign w:val="superscript"/>
        </w:rPr>
        <w:t>1</w:t>
      </w:r>
      <w:r w:rsidRPr="00673103">
        <w:t>, Daniela Grossar</w:t>
      </w:r>
      <w:r>
        <w:t xml:space="preserve"> </w:t>
      </w:r>
      <w:r w:rsidRPr="00673103">
        <w:rPr>
          <w:vertAlign w:val="superscript"/>
        </w:rPr>
        <w:t>3,4</w:t>
      </w:r>
      <w:r w:rsidRPr="00673103">
        <w:t>, Jean-Daniel Charrière</w:t>
      </w:r>
      <w:r>
        <w:t xml:space="preserve"> </w:t>
      </w:r>
      <w:r w:rsidRPr="00673103">
        <w:rPr>
          <w:vertAlign w:val="superscript"/>
        </w:rPr>
        <w:t>3</w:t>
      </w:r>
      <w:r w:rsidRPr="00673103">
        <w:t>, Laurent Gauthier</w:t>
      </w:r>
      <w:r>
        <w:t xml:space="preserve"> </w:t>
      </w:r>
      <w:r w:rsidRPr="00673103">
        <w:rPr>
          <w:vertAlign w:val="superscript"/>
        </w:rPr>
        <w:t>3</w:t>
      </w:r>
      <w:r w:rsidRPr="00673103">
        <w:t>, Denise Hartken</w:t>
      </w:r>
      <w:r>
        <w:t xml:space="preserve"> </w:t>
      </w:r>
      <w:r w:rsidRPr="00673103">
        <w:rPr>
          <w:vertAlign w:val="superscript"/>
        </w:rPr>
        <w:t>1</w:t>
      </w:r>
      <w:r w:rsidRPr="00673103">
        <w:t xml:space="preserve">, </w:t>
      </w:r>
      <w:proofErr w:type="spellStart"/>
      <w:r w:rsidR="003A6390">
        <w:t>Sascha</w:t>
      </w:r>
      <w:proofErr w:type="spellEnd"/>
      <w:r w:rsidR="003A6390">
        <w:t xml:space="preserve"> Dietrich</w:t>
      </w:r>
      <w:r w:rsidR="003A6390">
        <w:t xml:space="preserve"> </w:t>
      </w:r>
      <w:r w:rsidR="003A6390" w:rsidRPr="003A6390">
        <w:rPr>
          <w:vertAlign w:val="superscript"/>
        </w:rPr>
        <w:t>1</w:t>
      </w:r>
      <w:r w:rsidR="003A6390">
        <w:t xml:space="preserve">, </w:t>
      </w:r>
      <w:proofErr w:type="spellStart"/>
      <w:r w:rsidRPr="00673103">
        <w:t>Heiko</w:t>
      </w:r>
      <w:proofErr w:type="spellEnd"/>
      <w:r w:rsidRPr="00673103">
        <w:t xml:space="preserve"> Nacke</w:t>
      </w:r>
      <w:r>
        <w:t xml:space="preserve"> </w:t>
      </w:r>
      <w:r w:rsidRPr="00673103">
        <w:rPr>
          <w:vertAlign w:val="superscript"/>
        </w:rPr>
        <w:t>1</w:t>
      </w:r>
      <w:r w:rsidRPr="00673103">
        <w:t>, R</w:t>
      </w:r>
      <w:bookmarkStart w:id="0" w:name="_GoBack"/>
      <w:bookmarkEnd w:id="0"/>
      <w:r w:rsidRPr="00673103">
        <w:t>olf Daniel</w:t>
      </w:r>
      <w:r>
        <w:t xml:space="preserve"> </w:t>
      </w:r>
      <w:r w:rsidRPr="00673103">
        <w:rPr>
          <w:vertAlign w:val="superscript"/>
        </w:rPr>
        <w:t>1</w:t>
      </w:r>
      <w:r w:rsidRPr="00673103">
        <w:t xml:space="preserve"> </w:t>
      </w:r>
      <w:r>
        <w:t xml:space="preserve">and </w:t>
      </w:r>
      <w:r w:rsidRPr="00673103">
        <w:t>Anja Poehlein</w:t>
      </w:r>
      <w:r>
        <w:t xml:space="preserve"> </w:t>
      </w:r>
      <w:r w:rsidRPr="00673103">
        <w:rPr>
          <w:vertAlign w:val="superscript"/>
        </w:rPr>
        <w:t>1</w:t>
      </w:r>
      <w:r w:rsidRPr="008843A9">
        <w:rPr>
          <w:vertAlign w:val="superscript"/>
        </w:rPr>
        <w:t>,</w:t>
      </w:r>
      <w:r>
        <w:t>*</w:t>
      </w:r>
    </w:p>
    <w:p w:rsidR="005B36A7" w:rsidRPr="00F06ACB" w:rsidRDefault="005B36A7" w:rsidP="005B36A7">
      <w:pPr>
        <w:pStyle w:val="MDPI16affiliation"/>
      </w:pPr>
      <w:r w:rsidRPr="00F06ACB">
        <w:rPr>
          <w:vertAlign w:val="superscript"/>
        </w:rPr>
        <w:t>1</w:t>
      </w:r>
      <w:r w:rsidRPr="00F06ACB">
        <w:tab/>
      </w:r>
      <w:r w:rsidRPr="00673103">
        <w:t>Department of Genomic and Applied Microbiology &amp; Göttingen Genomics Laboratory, Institute of Microbiology and Genetics, Georg-August-University of Göttingen, 37077 Göttingen, Germany</w:t>
      </w:r>
      <w:r w:rsidRPr="00F06ACB">
        <w:t xml:space="preserve">; </w:t>
      </w:r>
      <w:r w:rsidRPr="007E0758">
        <w:t>mdjukic@posteo.de</w:t>
      </w:r>
      <w:r>
        <w:t xml:space="preserve">, </w:t>
      </w:r>
      <w:r w:rsidRPr="007E0758">
        <w:t>aleimba@gwdg.de</w:t>
      </w:r>
      <w:r>
        <w:t xml:space="preserve">, </w:t>
      </w:r>
      <w:r w:rsidRPr="007E0758">
        <w:t>denise.hartken@uni-goettingen.de</w:t>
      </w:r>
      <w:r>
        <w:t xml:space="preserve">, </w:t>
      </w:r>
      <w:r w:rsidRPr="007E0758">
        <w:t>hnacke@gwdg.de</w:t>
      </w:r>
      <w:r>
        <w:t xml:space="preserve">, </w:t>
      </w:r>
      <w:r w:rsidRPr="007E0758">
        <w:t>rdaniel@gwdg.de</w:t>
      </w:r>
      <w:r>
        <w:t xml:space="preserve">, </w:t>
      </w:r>
      <w:r w:rsidRPr="007E0758">
        <w:t>apoehle3@gwdg.de</w:t>
      </w:r>
    </w:p>
    <w:p w:rsidR="005B36A7" w:rsidRDefault="005B36A7" w:rsidP="005B36A7">
      <w:pPr>
        <w:pStyle w:val="MDPI16affiliation"/>
      </w:pPr>
      <w:r w:rsidRPr="00F06ACB">
        <w:rPr>
          <w:szCs w:val="20"/>
          <w:vertAlign w:val="superscript"/>
        </w:rPr>
        <w:t>2</w:t>
      </w:r>
      <w:r w:rsidRPr="00F06ACB">
        <w:rPr>
          <w:szCs w:val="20"/>
        </w:rPr>
        <w:tab/>
      </w:r>
      <w:r w:rsidRPr="00673103">
        <w:rPr>
          <w:szCs w:val="20"/>
        </w:rPr>
        <w:t>Molecular Ecology, Institute of Biology, Martin-Luther-University Halle-Wittenberg, Hoher Weg 4, 06099 Halle (Saale), Germany</w:t>
      </w:r>
      <w:r w:rsidRPr="00F06ACB">
        <w:rPr>
          <w:szCs w:val="20"/>
        </w:rPr>
        <w:t xml:space="preserve">; </w:t>
      </w:r>
      <w:r w:rsidRPr="00673103">
        <w:t>erler.silvio@gmail.com</w:t>
      </w:r>
    </w:p>
    <w:p w:rsidR="005B36A7" w:rsidRDefault="005B36A7" w:rsidP="005B36A7">
      <w:pPr>
        <w:pStyle w:val="MDPI16affiliation"/>
      </w:pPr>
      <w:r w:rsidRPr="00673103">
        <w:rPr>
          <w:vertAlign w:val="superscript"/>
        </w:rPr>
        <w:t>3</w:t>
      </w:r>
      <w:r>
        <w:t xml:space="preserve"> </w:t>
      </w:r>
      <w:r>
        <w:tab/>
      </w:r>
      <w:r w:rsidRPr="00673103">
        <w:t>Swiss Bee Research Center, Agroscope, 3003 Bern, Switzerland</w:t>
      </w:r>
      <w:r>
        <w:t xml:space="preserve">; </w:t>
      </w:r>
      <w:r w:rsidRPr="007E0758">
        <w:t>daniela.grossar@gmail.com</w:t>
      </w:r>
      <w:r>
        <w:t xml:space="preserve">, </w:t>
      </w:r>
      <w:r w:rsidRPr="007E0758">
        <w:t>jean-daniel.charriere@agroscope.admin.ch</w:t>
      </w:r>
      <w:r>
        <w:t xml:space="preserve">, </w:t>
      </w:r>
      <w:r w:rsidRPr="007E0758">
        <w:t>ruchersastet@club.fr</w:t>
      </w:r>
      <w:r>
        <w:t xml:space="preserve">,  </w:t>
      </w:r>
    </w:p>
    <w:p w:rsidR="005B36A7" w:rsidRPr="00F06ACB" w:rsidRDefault="005B36A7" w:rsidP="005B36A7">
      <w:pPr>
        <w:pStyle w:val="MDPI16affiliation"/>
      </w:pPr>
      <w:r w:rsidRPr="00673103">
        <w:rPr>
          <w:vertAlign w:val="superscript"/>
        </w:rPr>
        <w:t>4</w:t>
      </w:r>
      <w:r>
        <w:tab/>
      </w:r>
      <w:r w:rsidRPr="00673103">
        <w:t xml:space="preserve">Department of Ecology and Evolution, </w:t>
      </w:r>
      <w:proofErr w:type="spellStart"/>
      <w:r w:rsidRPr="00673103">
        <w:t>Biophore</w:t>
      </w:r>
      <w:proofErr w:type="spellEnd"/>
      <w:r w:rsidRPr="00673103">
        <w:t>, UNIL-</w:t>
      </w:r>
      <w:proofErr w:type="spellStart"/>
      <w:r w:rsidRPr="00673103">
        <w:t>Sorge</w:t>
      </w:r>
      <w:proofErr w:type="spellEnd"/>
      <w:r w:rsidRPr="00673103">
        <w:t>, University of Lausanne, 1015 Lausanne, Switzerland</w:t>
      </w:r>
      <w:r>
        <w:t xml:space="preserve">; </w:t>
      </w:r>
      <w:r w:rsidRPr="007E0758">
        <w:t>daniela.grossar@gmail.com</w:t>
      </w:r>
    </w:p>
    <w:p w:rsidR="005B36A7" w:rsidRPr="00F06ACB" w:rsidRDefault="005B36A7" w:rsidP="005B36A7">
      <w:pPr>
        <w:pStyle w:val="MDPI14history"/>
        <w:spacing w:before="0"/>
        <w:ind w:left="311" w:hanging="198"/>
      </w:pPr>
      <w:r w:rsidRPr="00F06ACB">
        <w:rPr>
          <w:b/>
        </w:rPr>
        <w:t>*</w:t>
      </w:r>
      <w:r w:rsidRPr="00F06ACB">
        <w:tab/>
        <w:t xml:space="preserve">Correspondence: </w:t>
      </w:r>
      <w:r w:rsidRPr="00673103">
        <w:t>apoehle3@gwdg.de</w:t>
      </w:r>
      <w:r w:rsidRPr="00F06ACB">
        <w:t>; Tel.: +</w:t>
      </w:r>
      <w:r w:rsidRPr="00673103">
        <w:t>49</w:t>
      </w:r>
      <w:r>
        <w:t>-</w:t>
      </w:r>
      <w:r w:rsidRPr="00673103">
        <w:t>551</w:t>
      </w:r>
      <w:r>
        <w:t>-</w:t>
      </w:r>
      <w:r w:rsidRPr="00673103">
        <w:t>3933655</w:t>
      </w:r>
    </w:p>
    <w:p w:rsidR="00B4185A" w:rsidRDefault="00B4185A">
      <w:pPr>
        <w:rPr>
          <w:lang w:val="en-US"/>
        </w:rPr>
      </w:pPr>
      <w:r>
        <w:rPr>
          <w:lang w:val="en-US"/>
        </w:rPr>
        <w:br w:type="page"/>
      </w:r>
    </w:p>
    <w:p w:rsidR="00B4185A" w:rsidRDefault="00B4185A" w:rsidP="00B4185A">
      <w:pPr>
        <w:jc w:val="center"/>
        <w:rPr>
          <w:rFonts w:ascii="Palatino Linotype" w:hAnsi="Palatino Linotype"/>
          <w:lang w:val="en-US"/>
        </w:rPr>
      </w:pPr>
      <w:r w:rsidRPr="00873BC5">
        <w:rPr>
          <w:rFonts w:ascii="Palatino Linotype" w:hAnsi="Palatino Linotype"/>
          <w:noProof/>
          <w:lang w:eastAsia="de-DE"/>
        </w:rPr>
        <w:lastRenderedPageBreak/>
        <w:drawing>
          <wp:inline distT="0" distB="0" distL="0" distR="0" wp14:anchorId="27D58C22" wp14:editId="466DB1DE">
            <wp:extent cx="5760720" cy="1697984"/>
            <wp:effectExtent l="0" t="0" r="0" b="0"/>
            <wp:docPr id="5" name="Picture 5" descr="X:\Paper-eigene\33.M.plutonius-Anja\new Submission\Supplementary_Figur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Paper-eigene\33.M.plutonius-Anja\new Submission\Supplementary_Figure_2.t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60720" cy="1697984"/>
                    </a:xfrm>
                    <a:prstGeom prst="rect">
                      <a:avLst/>
                    </a:prstGeom>
                    <a:noFill/>
                    <a:ln>
                      <a:noFill/>
                    </a:ln>
                  </pic:spPr>
                </pic:pic>
              </a:graphicData>
            </a:graphic>
          </wp:inline>
        </w:drawing>
      </w:r>
    </w:p>
    <w:p w:rsidR="00B4185A" w:rsidRDefault="00B4185A" w:rsidP="00B4185A">
      <w:pPr>
        <w:jc w:val="both"/>
        <w:rPr>
          <w:rFonts w:ascii="Palatino Linotype" w:hAnsi="Palatino Linotype"/>
          <w:b/>
          <w:lang w:val="en-US"/>
        </w:rPr>
      </w:pPr>
    </w:p>
    <w:p w:rsidR="00B4185A" w:rsidRDefault="00B4185A" w:rsidP="006D52AA">
      <w:pPr>
        <w:spacing w:after="0"/>
        <w:jc w:val="both"/>
        <w:rPr>
          <w:rFonts w:ascii="Palatino Linotype" w:hAnsi="Palatino Linotype"/>
          <w:lang w:val="en-US"/>
        </w:rPr>
      </w:pPr>
      <w:r w:rsidRPr="005B36A7">
        <w:rPr>
          <w:rFonts w:ascii="Palatino Linotype" w:hAnsi="Palatino Linotype"/>
          <w:b/>
          <w:lang w:val="en-US"/>
        </w:rPr>
        <w:t>Figure S</w:t>
      </w:r>
      <w:r>
        <w:rPr>
          <w:rFonts w:ascii="Palatino Linotype" w:hAnsi="Palatino Linotype"/>
          <w:b/>
          <w:lang w:val="en-US"/>
        </w:rPr>
        <w:t>1</w:t>
      </w:r>
      <w:r w:rsidRPr="005B36A7">
        <w:rPr>
          <w:rFonts w:ascii="Palatino Linotype" w:hAnsi="Palatino Linotype"/>
          <w:b/>
          <w:lang w:val="en-US"/>
        </w:rPr>
        <w:t xml:space="preserve">: Expression of </w:t>
      </w:r>
      <w:r w:rsidRPr="005B36A7">
        <w:rPr>
          <w:rFonts w:ascii="Palatino Linotype" w:hAnsi="Palatino Linotype"/>
          <w:b/>
          <w:i/>
          <w:lang w:val="en-US"/>
        </w:rPr>
        <w:t>M. plutonius</w:t>
      </w:r>
      <w:r w:rsidRPr="005B36A7">
        <w:rPr>
          <w:rFonts w:ascii="Palatino Linotype" w:hAnsi="Palatino Linotype"/>
          <w:b/>
          <w:lang w:val="en-US"/>
        </w:rPr>
        <w:t xml:space="preserve"> putative virulence factors during infection.</w:t>
      </w:r>
      <w:r w:rsidRPr="005B36A7">
        <w:rPr>
          <w:rFonts w:ascii="Palatino Linotype" w:hAnsi="Palatino Linotype"/>
          <w:lang w:val="en-US"/>
        </w:rPr>
        <w:t xml:space="preserve"> On the basis of isolated DNA and cDNA from EFB-infected (Swiss larva) and healthy larvae (German larvae), we tested the presence and expression of A - endo-alpha-</w:t>
      </w:r>
      <w:r w:rsidRPr="005B36A7">
        <w:rPr>
          <w:rFonts w:ascii="Palatino Linotype" w:hAnsi="Palatino Linotype"/>
          <w:i/>
          <w:lang w:val="en-US"/>
        </w:rPr>
        <w:t>N</w:t>
      </w:r>
      <w:r w:rsidRPr="005B36A7">
        <w:rPr>
          <w:rFonts w:ascii="Palatino Linotype" w:hAnsi="Palatino Linotype"/>
          <w:lang w:val="en-US"/>
        </w:rPr>
        <w:t xml:space="preserve">-acetylgalactosaminidase, B - enhancin, C - toxin, D - transcription termination factor </w:t>
      </w:r>
      <w:r w:rsidRPr="005B36A7">
        <w:rPr>
          <w:rFonts w:ascii="Palatino Linotype" w:hAnsi="Palatino Linotype"/>
          <w:i/>
          <w:lang w:val="en-US"/>
        </w:rPr>
        <w:t>rho</w:t>
      </w:r>
      <w:r w:rsidRPr="005B36A7">
        <w:rPr>
          <w:rFonts w:ascii="Palatino Linotype" w:hAnsi="Palatino Linotype"/>
          <w:lang w:val="en-US"/>
        </w:rPr>
        <w:t xml:space="preserve">, E - 16S rRNA, F - RNA polymerase sigma factor </w:t>
      </w:r>
      <w:proofErr w:type="spellStart"/>
      <w:r w:rsidRPr="005B36A7">
        <w:rPr>
          <w:rFonts w:ascii="Palatino Linotype" w:hAnsi="Palatino Linotype"/>
          <w:i/>
          <w:lang w:val="en-US"/>
        </w:rPr>
        <w:t>rpoD</w:t>
      </w:r>
      <w:proofErr w:type="spellEnd"/>
      <w:r w:rsidRPr="005B36A7">
        <w:rPr>
          <w:rFonts w:ascii="Palatino Linotype" w:hAnsi="Palatino Linotype"/>
          <w:lang w:val="en-US"/>
        </w:rPr>
        <w:t xml:space="preserve"> and the 16S rRNA gene of </w:t>
      </w:r>
      <w:r w:rsidRPr="005B36A7">
        <w:rPr>
          <w:rFonts w:ascii="Palatino Linotype" w:hAnsi="Palatino Linotype"/>
          <w:i/>
          <w:lang w:val="en-US"/>
        </w:rPr>
        <w:t>M. plutonius</w:t>
      </w:r>
      <w:r w:rsidRPr="005B36A7">
        <w:rPr>
          <w:rFonts w:ascii="Palatino Linotype" w:hAnsi="Palatino Linotype"/>
          <w:lang w:val="en-US"/>
        </w:rPr>
        <w:t xml:space="preserve"> via RT-PCR. In all EFB-infected larvae positive PCR products were obtained for DNA and cDNA. Further, we used genomic DNA of </w:t>
      </w:r>
      <w:r w:rsidRPr="005B36A7">
        <w:rPr>
          <w:rFonts w:ascii="Palatino Linotype" w:hAnsi="Palatino Linotype"/>
          <w:i/>
          <w:lang w:val="en-US"/>
        </w:rPr>
        <w:t>M. plutonius</w:t>
      </w:r>
      <w:r w:rsidRPr="005B36A7">
        <w:rPr>
          <w:rFonts w:ascii="Palatino Linotype" w:hAnsi="Palatino Linotype"/>
          <w:lang w:val="en-US"/>
        </w:rPr>
        <w:t xml:space="preserve"> strain S1 and 49.3 as positive control for our marker genes, and as negative control for the toxin gene.</w:t>
      </w:r>
    </w:p>
    <w:p w:rsidR="00B4185A" w:rsidRDefault="00B4185A" w:rsidP="00B4185A">
      <w:pPr>
        <w:pStyle w:val="MDPI14history"/>
      </w:pPr>
      <w:r>
        <w:br w:type="page"/>
      </w:r>
    </w:p>
    <w:p w:rsidR="005B36A7" w:rsidRPr="00873BC5" w:rsidRDefault="00B4185A">
      <w:pPr>
        <w:rPr>
          <w:lang w:val="en-US"/>
        </w:rPr>
      </w:pPr>
      <w:r w:rsidRPr="00B4185A">
        <w:rPr>
          <w:noProof/>
          <w:lang w:eastAsia="de-DE"/>
        </w:rPr>
        <w:lastRenderedPageBreak/>
        <w:drawing>
          <wp:inline distT="0" distB="0" distL="0" distR="0">
            <wp:extent cx="5760720" cy="1984024"/>
            <wp:effectExtent l="0" t="0" r="0" b="0"/>
            <wp:docPr id="1" name="Picture 1" descr="X:\Paper-eigene\33.M.plutonius-Anja\Revision2\Supplementary_Figure_1_new_real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Paper-eigene\33.M.plutonius-Anja\Revision2\Supplementary_Figure_1_new_real1.t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60720" cy="1984024"/>
                    </a:xfrm>
                    <a:prstGeom prst="rect">
                      <a:avLst/>
                    </a:prstGeom>
                    <a:noFill/>
                    <a:ln>
                      <a:noFill/>
                    </a:ln>
                  </pic:spPr>
                </pic:pic>
              </a:graphicData>
            </a:graphic>
          </wp:inline>
        </w:drawing>
      </w:r>
    </w:p>
    <w:p w:rsidR="005B36A7" w:rsidRPr="00873BC5" w:rsidRDefault="005B36A7">
      <w:pPr>
        <w:rPr>
          <w:lang w:val="en-US"/>
        </w:rPr>
      </w:pPr>
    </w:p>
    <w:p w:rsidR="005B36A7" w:rsidRPr="00B4185A" w:rsidRDefault="00B4185A" w:rsidP="00B4185A">
      <w:pPr>
        <w:spacing w:after="0" w:line="276" w:lineRule="auto"/>
        <w:jc w:val="both"/>
        <w:rPr>
          <w:rFonts w:ascii="Palatino Linotype" w:eastAsia="Times New Roman" w:hAnsi="Palatino Linotype" w:cs="Times New Roman"/>
          <w:noProof/>
          <w:lang w:val="en-US"/>
        </w:rPr>
      </w:pPr>
      <w:r w:rsidRPr="00B4185A">
        <w:rPr>
          <w:rFonts w:ascii="Palatino Linotype" w:hAnsi="Palatino Linotype"/>
          <w:b/>
          <w:lang w:val="en-US"/>
        </w:rPr>
        <w:t>Figure S</w:t>
      </w:r>
      <w:r>
        <w:rPr>
          <w:rFonts w:ascii="Palatino Linotype" w:hAnsi="Palatino Linotype"/>
          <w:b/>
          <w:lang w:val="en-US"/>
        </w:rPr>
        <w:t>2</w:t>
      </w:r>
      <w:r w:rsidRPr="00B4185A">
        <w:rPr>
          <w:rFonts w:ascii="Palatino Linotype" w:hAnsi="Palatino Linotype"/>
          <w:b/>
          <w:lang w:val="en-US"/>
        </w:rPr>
        <w:t>:</w:t>
      </w:r>
      <w:r w:rsidRPr="00B4185A">
        <w:rPr>
          <w:rFonts w:ascii="Palatino Linotype" w:hAnsi="Palatino Linotype"/>
          <w:lang w:val="en-US"/>
        </w:rPr>
        <w:t xml:space="preserve"> </w:t>
      </w:r>
      <w:r w:rsidRPr="00B4185A">
        <w:rPr>
          <w:rFonts w:ascii="Palatino Linotype" w:eastAsia="Times New Roman" w:hAnsi="Palatino Linotype" w:cs="Times New Roman"/>
          <w:b/>
          <w:noProof/>
          <w:lang w:val="en-US"/>
        </w:rPr>
        <w:t>Phandango visuali</w:t>
      </w:r>
      <w:r w:rsidR="00E751C3">
        <w:rPr>
          <w:rFonts w:ascii="Palatino Linotype" w:eastAsia="Times New Roman" w:hAnsi="Palatino Linotype" w:cs="Times New Roman"/>
          <w:b/>
          <w:noProof/>
          <w:lang w:val="en-US"/>
        </w:rPr>
        <w:t>z</w:t>
      </w:r>
      <w:r w:rsidRPr="00B4185A">
        <w:rPr>
          <w:rFonts w:ascii="Palatino Linotype" w:eastAsia="Times New Roman" w:hAnsi="Palatino Linotype" w:cs="Times New Roman"/>
          <w:b/>
          <w:noProof/>
          <w:lang w:val="en-US"/>
        </w:rPr>
        <w:t>ation of Mugsy phylogenetic tree with Gubbins horizontal gene transfer (HGT) events.</w:t>
      </w:r>
      <w:r w:rsidRPr="00B4185A">
        <w:rPr>
          <w:rFonts w:ascii="Palatino Linotype" w:eastAsia="Times New Roman" w:hAnsi="Palatino Linotype" w:cs="Times New Roman"/>
          <w:noProof/>
          <w:lang w:val="en-US"/>
        </w:rPr>
        <w:t xml:space="preserve"> Red bars represent HGT events in relative position within the genomic background. Height of the red bars represent the strains in relation to the phylogenetic tree that share a specific HGT event. </w:t>
      </w: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873BC5" w:rsidRDefault="005B36A7">
      <w:pPr>
        <w:rPr>
          <w:lang w:val="en-US"/>
        </w:rPr>
      </w:pPr>
    </w:p>
    <w:p w:rsidR="005B36A7" w:rsidRPr="005B36A7" w:rsidRDefault="00873BC5" w:rsidP="005B36A7">
      <w:pPr>
        <w:jc w:val="center"/>
        <w:rPr>
          <w:rFonts w:ascii="Palatino Linotype" w:hAnsi="Palatino Linotype"/>
        </w:rPr>
      </w:pPr>
      <w:r w:rsidRPr="00873BC5">
        <w:rPr>
          <w:rFonts w:ascii="Palatino Linotype" w:hAnsi="Palatino Linotype"/>
          <w:noProof/>
          <w:lang w:eastAsia="de-DE"/>
        </w:rPr>
        <w:lastRenderedPageBreak/>
        <w:drawing>
          <wp:inline distT="0" distB="0" distL="0" distR="0">
            <wp:extent cx="5760720" cy="5463793"/>
            <wp:effectExtent l="0" t="0" r="0" b="3810"/>
            <wp:docPr id="4" name="Picture 4" descr="X:\Paper-eigene\33.M.plutonius-Anja\Supplementary\Supplementary_Figure_1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Paper-eigene\33.M.plutonius-Anja\Supplementary\Supplementary_Figure_1a.t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5463793"/>
                    </a:xfrm>
                    <a:prstGeom prst="rect">
                      <a:avLst/>
                    </a:prstGeom>
                    <a:noFill/>
                    <a:ln>
                      <a:noFill/>
                    </a:ln>
                  </pic:spPr>
                </pic:pic>
              </a:graphicData>
            </a:graphic>
          </wp:inline>
        </w:drawing>
      </w:r>
    </w:p>
    <w:p w:rsidR="00032C95" w:rsidRDefault="00032C95" w:rsidP="005B36A7">
      <w:pPr>
        <w:jc w:val="both"/>
        <w:rPr>
          <w:rFonts w:ascii="Palatino Linotype" w:hAnsi="Palatino Linotype"/>
          <w:b/>
          <w:lang w:val="en-US"/>
        </w:rPr>
      </w:pPr>
    </w:p>
    <w:p w:rsidR="005B36A7" w:rsidRDefault="005B36A7" w:rsidP="00B4185A">
      <w:pPr>
        <w:spacing w:line="276" w:lineRule="auto"/>
        <w:jc w:val="both"/>
        <w:rPr>
          <w:rFonts w:ascii="Palatino Linotype" w:hAnsi="Palatino Linotype"/>
          <w:lang w:val="en-US"/>
        </w:rPr>
      </w:pPr>
      <w:r w:rsidRPr="005B36A7">
        <w:rPr>
          <w:rFonts w:ascii="Palatino Linotype" w:hAnsi="Palatino Linotype"/>
          <w:b/>
          <w:lang w:val="en-US"/>
        </w:rPr>
        <w:t>Figure S</w:t>
      </w:r>
      <w:r w:rsidR="000A1814">
        <w:rPr>
          <w:rFonts w:ascii="Palatino Linotype" w:hAnsi="Palatino Linotype"/>
          <w:b/>
          <w:lang w:val="en-US"/>
        </w:rPr>
        <w:t>3</w:t>
      </w:r>
      <w:r w:rsidRPr="005B36A7">
        <w:rPr>
          <w:rFonts w:ascii="Palatino Linotype" w:hAnsi="Palatino Linotype"/>
          <w:b/>
          <w:lang w:val="en-US"/>
        </w:rPr>
        <w:t>:</w:t>
      </w:r>
      <w:r w:rsidRPr="005B36A7">
        <w:rPr>
          <w:rFonts w:ascii="Palatino Linotype" w:hAnsi="Palatino Linotype"/>
          <w:lang w:val="en-US"/>
        </w:rPr>
        <w:t xml:space="preserve"> </w:t>
      </w:r>
      <w:r w:rsidRPr="005B36A7">
        <w:rPr>
          <w:rFonts w:ascii="Palatino Linotype" w:hAnsi="Palatino Linotype"/>
          <w:b/>
          <w:lang w:val="en-US"/>
        </w:rPr>
        <w:t xml:space="preserve">Comparison of bacteriocin biosynthesis and transport clusters of </w:t>
      </w:r>
      <w:r w:rsidRPr="005B36A7">
        <w:rPr>
          <w:rFonts w:ascii="Palatino Linotype" w:hAnsi="Palatino Linotype"/>
          <w:b/>
          <w:i/>
          <w:lang w:val="en-US"/>
        </w:rPr>
        <w:t>M. plutonius</w:t>
      </w:r>
      <w:r w:rsidRPr="005B36A7">
        <w:rPr>
          <w:rFonts w:ascii="Palatino Linotype" w:hAnsi="Palatino Linotype"/>
          <w:b/>
          <w:lang w:val="en-US"/>
        </w:rPr>
        <w:t xml:space="preserve"> S1 with clusters of </w:t>
      </w:r>
      <w:r w:rsidRPr="005B36A7">
        <w:rPr>
          <w:rFonts w:ascii="Palatino Linotype" w:hAnsi="Palatino Linotype"/>
          <w:b/>
          <w:i/>
          <w:lang w:val="en-US"/>
        </w:rPr>
        <w:t>M. plutonius</w:t>
      </w:r>
      <w:r w:rsidRPr="005B36A7">
        <w:rPr>
          <w:rFonts w:ascii="Palatino Linotype" w:hAnsi="Palatino Linotype"/>
          <w:b/>
          <w:lang w:val="en-US"/>
        </w:rPr>
        <w:t xml:space="preserve"> DAT561, </w:t>
      </w:r>
      <w:r w:rsidRPr="005B36A7">
        <w:rPr>
          <w:rFonts w:ascii="Palatino Linotype" w:hAnsi="Palatino Linotype"/>
          <w:b/>
          <w:i/>
          <w:lang w:val="en-US"/>
        </w:rPr>
        <w:t>E. faecalis</w:t>
      </w:r>
      <w:r w:rsidRPr="005B36A7">
        <w:rPr>
          <w:rFonts w:ascii="Palatino Linotype" w:hAnsi="Palatino Linotype"/>
          <w:b/>
          <w:lang w:val="en-US"/>
        </w:rPr>
        <w:t xml:space="preserve"> FLY1 (accession no. NZ_ACAR00000000) and </w:t>
      </w:r>
      <w:r w:rsidRPr="005B36A7">
        <w:rPr>
          <w:rFonts w:ascii="Palatino Linotype" w:hAnsi="Palatino Linotype"/>
          <w:b/>
          <w:i/>
          <w:lang w:val="en-US"/>
        </w:rPr>
        <w:t>Streptococcus iniae</w:t>
      </w:r>
      <w:r w:rsidRPr="005B36A7">
        <w:rPr>
          <w:rFonts w:ascii="Palatino Linotype" w:hAnsi="Palatino Linotype"/>
          <w:b/>
          <w:lang w:val="en-US"/>
        </w:rPr>
        <w:t xml:space="preserve"> ISNO (accession no. CP007587).</w:t>
      </w:r>
      <w:r w:rsidRPr="005B36A7">
        <w:rPr>
          <w:rFonts w:ascii="Palatino Linotype" w:hAnsi="Palatino Linotype"/>
          <w:lang w:val="en-US"/>
        </w:rPr>
        <w:t xml:space="preserve"> The graphical presentation was done with the </w:t>
      </w:r>
      <w:proofErr w:type="spellStart"/>
      <w:r w:rsidRPr="005B36A7">
        <w:rPr>
          <w:rFonts w:ascii="Palatino Linotype" w:hAnsi="Palatino Linotype"/>
          <w:lang w:val="en-US"/>
        </w:rPr>
        <w:t>Easyfig</w:t>
      </w:r>
      <w:proofErr w:type="spellEnd"/>
      <w:r w:rsidRPr="005B36A7">
        <w:rPr>
          <w:rFonts w:ascii="Palatino Linotype" w:hAnsi="Palatino Linotype"/>
          <w:lang w:val="en-US"/>
        </w:rPr>
        <w:t xml:space="preserve"> software (minimum blast hit length of 50 bp)</w:t>
      </w:r>
      <w:r>
        <w:rPr>
          <w:rFonts w:ascii="Palatino Linotype" w:hAnsi="Palatino Linotype"/>
          <w:lang w:val="en-US"/>
        </w:rPr>
        <w:t xml:space="preserve"> </w:t>
      </w:r>
      <w:r w:rsidR="00A8469B">
        <w:rPr>
          <w:rFonts w:ascii="Palatino Linotype" w:hAnsi="Palatino Linotype"/>
          <w:lang w:val="en-US"/>
        </w:rPr>
        <w:t>[</w:t>
      </w:r>
      <w:r w:rsidR="00B4185A">
        <w:rPr>
          <w:rFonts w:ascii="Palatino Linotype" w:hAnsi="Palatino Linotype"/>
          <w:lang w:val="en-US"/>
        </w:rPr>
        <w:t>43</w:t>
      </w:r>
      <w:r w:rsidR="00A8469B">
        <w:rPr>
          <w:rFonts w:ascii="Palatino Linotype" w:hAnsi="Palatino Linotype"/>
          <w:lang w:val="en-US"/>
        </w:rPr>
        <w:t>]</w:t>
      </w:r>
      <w:r w:rsidRPr="005B36A7">
        <w:rPr>
          <w:rFonts w:ascii="Palatino Linotype" w:hAnsi="Palatino Linotype"/>
          <w:lang w:val="en-US"/>
        </w:rPr>
        <w:t xml:space="preserve">. ORFs related to bacteriocin biosynthesis and transport are orange-shaded, an iron uptake system is red-shaded, transposases are yellow and genomic context is shown in gray and black. ORFs depicted as dotted arrows represent pseudogenes. The bacteriocin biosynthesis cluster one (A) shows high similarity to a cluster present in </w:t>
      </w:r>
      <w:r w:rsidRPr="005B36A7">
        <w:rPr>
          <w:rFonts w:ascii="Palatino Linotype" w:hAnsi="Palatino Linotype"/>
          <w:i/>
          <w:lang w:val="en-US"/>
        </w:rPr>
        <w:t>E. faecalis</w:t>
      </w:r>
      <w:r w:rsidRPr="005B36A7">
        <w:rPr>
          <w:rFonts w:ascii="Palatino Linotype" w:hAnsi="Palatino Linotype"/>
          <w:lang w:val="en-US"/>
        </w:rPr>
        <w:t xml:space="preserve"> FLY1, </w:t>
      </w:r>
      <w:r w:rsidRPr="005B36A7">
        <w:rPr>
          <w:rFonts w:ascii="Palatino Linotype" w:hAnsi="Palatino Linotype"/>
          <w:i/>
          <w:lang w:val="en-US"/>
        </w:rPr>
        <w:t>M. plutonius</w:t>
      </w:r>
      <w:r w:rsidRPr="005B36A7">
        <w:rPr>
          <w:rFonts w:ascii="Palatino Linotype" w:hAnsi="Palatino Linotype"/>
          <w:lang w:val="en-US"/>
        </w:rPr>
        <w:t xml:space="preserve"> DAT561 lacks this region completely. Cluster two (B) represents a bacteriocin transport cluster. Three ORFs of cluster 2 share similarity to ORFs present in </w:t>
      </w:r>
      <w:r w:rsidRPr="005B36A7">
        <w:rPr>
          <w:rFonts w:ascii="Palatino Linotype" w:hAnsi="Palatino Linotype"/>
          <w:i/>
          <w:lang w:val="en-US"/>
        </w:rPr>
        <w:t>S. iniae</w:t>
      </w:r>
      <w:r w:rsidRPr="005B36A7">
        <w:rPr>
          <w:rFonts w:ascii="Palatino Linotype" w:hAnsi="Palatino Linotype"/>
          <w:lang w:val="en-US"/>
        </w:rPr>
        <w:t xml:space="preserve"> ISNO. </w:t>
      </w:r>
      <w:r w:rsidRPr="005B36A7">
        <w:rPr>
          <w:rFonts w:ascii="Palatino Linotype" w:hAnsi="Palatino Linotype"/>
          <w:i/>
          <w:lang w:val="en-US"/>
        </w:rPr>
        <w:t>M. plutonius</w:t>
      </w:r>
      <w:r w:rsidRPr="005B36A7">
        <w:rPr>
          <w:rFonts w:ascii="Palatino Linotype" w:hAnsi="Palatino Linotype"/>
          <w:lang w:val="en-US"/>
        </w:rPr>
        <w:t xml:space="preserve"> DAT561 encodes an additional ORF (MDAT_1c00860), encoding a transcriptional regulatory protein. </w:t>
      </w:r>
      <w:r w:rsidRPr="005B36A7">
        <w:rPr>
          <w:rFonts w:ascii="Palatino Linotype" w:hAnsi="Palatino Linotype"/>
          <w:i/>
          <w:lang w:val="en-US"/>
        </w:rPr>
        <w:t>M. plutonius</w:t>
      </w:r>
      <w:r w:rsidRPr="005B36A7">
        <w:rPr>
          <w:rFonts w:ascii="Palatino Linotype" w:hAnsi="Palatino Linotype"/>
          <w:lang w:val="en-US"/>
        </w:rPr>
        <w:t xml:space="preserve"> S1 is chosen as a representative for all typical strains in this study for this analysis.</w:t>
      </w:r>
    </w:p>
    <w:p w:rsidR="005B36A7" w:rsidRDefault="005B36A7" w:rsidP="005B36A7">
      <w:pPr>
        <w:jc w:val="both"/>
        <w:rPr>
          <w:rFonts w:ascii="Palatino Linotype" w:hAnsi="Palatino Linotype"/>
          <w:lang w:val="en-US"/>
        </w:rPr>
      </w:pPr>
    </w:p>
    <w:p w:rsidR="005B36A7" w:rsidRPr="005B36A7" w:rsidRDefault="00873BC5" w:rsidP="005B36A7">
      <w:pPr>
        <w:jc w:val="center"/>
        <w:rPr>
          <w:rFonts w:ascii="Palatino Linotype" w:hAnsi="Palatino Linotype"/>
          <w:lang w:val="en-US"/>
        </w:rPr>
      </w:pPr>
      <w:r w:rsidRPr="00873BC5">
        <w:rPr>
          <w:rFonts w:ascii="Palatino Linotype" w:hAnsi="Palatino Linotype"/>
          <w:noProof/>
          <w:lang w:eastAsia="de-DE"/>
        </w:rPr>
        <w:drawing>
          <wp:inline distT="0" distB="0" distL="0" distR="0">
            <wp:extent cx="3045460" cy="5287645"/>
            <wp:effectExtent l="0" t="0" r="2540" b="8255"/>
            <wp:docPr id="6" name="Picture 6" descr="X:\Paper-eigene\33.M.plutonius-Anja\Supplementary\Supplementary_Figure_3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Paper-eigene\33.M.plutonius-Anja\Supplementary\Supplementary_Figure_3a.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45460" cy="5287645"/>
                    </a:xfrm>
                    <a:prstGeom prst="rect">
                      <a:avLst/>
                    </a:prstGeom>
                    <a:noFill/>
                    <a:ln>
                      <a:noFill/>
                    </a:ln>
                  </pic:spPr>
                </pic:pic>
              </a:graphicData>
            </a:graphic>
          </wp:inline>
        </w:drawing>
      </w:r>
    </w:p>
    <w:p w:rsidR="00032C95" w:rsidRDefault="00032C95" w:rsidP="005B36A7">
      <w:pPr>
        <w:jc w:val="both"/>
        <w:rPr>
          <w:rFonts w:ascii="Palatino Linotype" w:hAnsi="Palatino Linotype"/>
          <w:b/>
          <w:lang w:val="en-US"/>
        </w:rPr>
      </w:pPr>
    </w:p>
    <w:p w:rsidR="005B36A7" w:rsidRPr="005B36A7" w:rsidRDefault="005B36A7" w:rsidP="005B36A7">
      <w:pPr>
        <w:jc w:val="both"/>
        <w:rPr>
          <w:rFonts w:ascii="Palatino Linotype" w:hAnsi="Palatino Linotype"/>
          <w:lang w:val="en-US"/>
        </w:rPr>
        <w:sectPr w:rsidR="005B36A7" w:rsidRPr="005B36A7" w:rsidSect="005B36A7">
          <w:pgSz w:w="11906" w:h="16838"/>
          <w:pgMar w:top="1417" w:right="1417" w:bottom="1134" w:left="1417" w:header="708" w:footer="708" w:gutter="0"/>
          <w:cols w:space="708"/>
          <w:docGrid w:linePitch="360"/>
        </w:sectPr>
      </w:pPr>
      <w:r w:rsidRPr="005B36A7">
        <w:rPr>
          <w:rFonts w:ascii="Palatino Linotype" w:hAnsi="Palatino Linotype"/>
          <w:b/>
          <w:lang w:val="en-US"/>
        </w:rPr>
        <w:t>Figure S</w:t>
      </w:r>
      <w:r w:rsidR="00B4185A">
        <w:rPr>
          <w:rFonts w:ascii="Palatino Linotype" w:hAnsi="Palatino Linotype"/>
          <w:b/>
          <w:lang w:val="en-US"/>
        </w:rPr>
        <w:t>4</w:t>
      </w:r>
      <w:r w:rsidRPr="005B36A7">
        <w:rPr>
          <w:rFonts w:ascii="Palatino Linotype" w:hAnsi="Palatino Linotype"/>
          <w:b/>
          <w:lang w:val="en-US"/>
        </w:rPr>
        <w:t xml:space="preserve">: Pectin degradation by </w:t>
      </w:r>
      <w:r w:rsidRPr="005B36A7">
        <w:rPr>
          <w:rFonts w:ascii="Palatino Linotype" w:hAnsi="Palatino Linotype"/>
          <w:b/>
          <w:i/>
          <w:lang w:val="en-US"/>
        </w:rPr>
        <w:t>M. plutonius</w:t>
      </w:r>
      <w:r w:rsidRPr="005B36A7">
        <w:rPr>
          <w:rFonts w:ascii="Palatino Linotype" w:hAnsi="Palatino Linotype"/>
          <w:b/>
          <w:lang w:val="en-US"/>
        </w:rPr>
        <w:t>.</w:t>
      </w:r>
      <w:r w:rsidRPr="005B36A7">
        <w:rPr>
          <w:rFonts w:ascii="Palatino Linotype" w:hAnsi="Palatino Linotype"/>
          <w:lang w:val="en-US"/>
        </w:rPr>
        <w:t xml:space="preserve"> Adaptation of Fig 3A from Engel et al.</w:t>
      </w:r>
      <w:r w:rsidR="00A8469B">
        <w:rPr>
          <w:rFonts w:ascii="Palatino Linotype" w:hAnsi="Palatino Linotype"/>
          <w:lang w:val="en-US"/>
        </w:rPr>
        <w:t xml:space="preserve"> [</w:t>
      </w:r>
      <w:r w:rsidR="00B4185A">
        <w:rPr>
          <w:rFonts w:ascii="Palatino Linotype" w:hAnsi="Palatino Linotype"/>
          <w:lang w:val="en-US"/>
        </w:rPr>
        <w:t>71</w:t>
      </w:r>
      <w:r w:rsidR="00A8469B">
        <w:rPr>
          <w:rFonts w:ascii="Palatino Linotype" w:hAnsi="Palatino Linotype"/>
          <w:lang w:val="en-US"/>
        </w:rPr>
        <w:t>]</w:t>
      </w:r>
      <w:r>
        <w:rPr>
          <w:rFonts w:ascii="Palatino Linotype" w:hAnsi="Palatino Linotype"/>
          <w:lang w:val="en-US"/>
        </w:rPr>
        <w:t>.</w:t>
      </w:r>
      <w:r w:rsidRPr="005B36A7">
        <w:rPr>
          <w:rFonts w:ascii="Palatino Linotype" w:hAnsi="Palatino Linotype"/>
          <w:lang w:val="en-US"/>
        </w:rPr>
        <w:t xml:space="preserve"> A number of genes encoding plant cell wall-degrading enzymes (including pollen walls) were identified in the genomes of all </w:t>
      </w:r>
      <w:r w:rsidRPr="00000EE8">
        <w:rPr>
          <w:rFonts w:ascii="Palatino Linotype" w:hAnsi="Palatino Linotype"/>
          <w:i/>
          <w:lang w:val="en-US"/>
        </w:rPr>
        <w:t>M. plutonius</w:t>
      </w:r>
      <w:r w:rsidRPr="005B36A7">
        <w:rPr>
          <w:rFonts w:ascii="Palatino Linotype" w:hAnsi="Palatino Linotype"/>
          <w:lang w:val="en-US"/>
        </w:rPr>
        <w:t xml:space="preserve"> strains. Shown are identified families of glycoside hydrolases (GH), polysaccharide lyases (PL) and carbohydrate esterases (CE). </w:t>
      </w:r>
      <w:proofErr w:type="spellStart"/>
      <w:r w:rsidRPr="005B36A7">
        <w:rPr>
          <w:rFonts w:ascii="Palatino Linotype" w:hAnsi="Palatino Linotype"/>
          <w:lang w:val="en-US"/>
        </w:rPr>
        <w:t>Ogt</w:t>
      </w:r>
      <w:proofErr w:type="spellEnd"/>
      <w:r w:rsidRPr="005B36A7">
        <w:rPr>
          <w:rFonts w:ascii="Palatino Linotype" w:hAnsi="Palatino Linotype"/>
          <w:lang w:val="en-US"/>
        </w:rPr>
        <w:t xml:space="preserve"> is an acronym for oligogalacturonide transporter. Gene products are symbolized via EC numbers. Asterisks mark putative absence in at least one of the strains. Genes needed for the galacturonide conversion pathway are only completely present in </w:t>
      </w:r>
      <w:r w:rsidRPr="00000EE8">
        <w:rPr>
          <w:rFonts w:ascii="Palatino Linotype" w:hAnsi="Palatino Linotype"/>
          <w:i/>
          <w:lang w:val="en-US"/>
        </w:rPr>
        <w:t>M. plutonius</w:t>
      </w:r>
      <w:r w:rsidRPr="005B36A7">
        <w:rPr>
          <w:rFonts w:ascii="Palatino Linotype" w:hAnsi="Palatino Linotype"/>
          <w:lang w:val="en-US"/>
        </w:rPr>
        <w:t xml:space="preserve"> DAT561, as genes encoding for tagaturonate reductase </w:t>
      </w:r>
      <w:proofErr w:type="spellStart"/>
      <w:r w:rsidRPr="005B36A7">
        <w:rPr>
          <w:rFonts w:ascii="Palatino Linotype" w:hAnsi="Palatino Linotype"/>
          <w:lang w:val="en-US"/>
        </w:rPr>
        <w:t>UxaB</w:t>
      </w:r>
      <w:proofErr w:type="spellEnd"/>
      <w:r w:rsidRPr="005B36A7">
        <w:rPr>
          <w:rFonts w:ascii="Palatino Linotype" w:hAnsi="Palatino Linotype"/>
          <w:lang w:val="en-US"/>
        </w:rPr>
        <w:t xml:space="preserve"> (EC 1.1.1.58) and 2-dehydro-3-deoxy-phosphogluconate aldolase </w:t>
      </w:r>
      <w:proofErr w:type="spellStart"/>
      <w:r w:rsidRPr="005B36A7">
        <w:rPr>
          <w:rFonts w:ascii="Palatino Linotype" w:hAnsi="Palatino Linotype"/>
          <w:lang w:val="en-US"/>
        </w:rPr>
        <w:t>KdgA</w:t>
      </w:r>
      <w:proofErr w:type="spellEnd"/>
      <w:r w:rsidRPr="005B36A7">
        <w:rPr>
          <w:rFonts w:ascii="Palatino Linotype" w:hAnsi="Palatino Linotype"/>
          <w:lang w:val="en-US"/>
        </w:rPr>
        <w:t xml:space="preserve"> (EC 4.1.2.14) are putatively dysfunctional in the typical strains. PL1 is missing in </w:t>
      </w:r>
      <w:r w:rsidRPr="00000EE8">
        <w:rPr>
          <w:rFonts w:ascii="Palatino Linotype" w:hAnsi="Palatino Linotype"/>
          <w:i/>
          <w:lang w:val="en-US"/>
        </w:rPr>
        <w:t>M. plutonius</w:t>
      </w:r>
      <w:r w:rsidRPr="005B36A7">
        <w:rPr>
          <w:rFonts w:ascii="Palatino Linotype" w:hAnsi="Palatino Linotype"/>
          <w:lang w:val="en-US"/>
        </w:rPr>
        <w:t xml:space="preserve"> DAT561. PL9, GH35, and GH42 are present only in strains 119, 90.0, 82, ATCC 35311, and DAT561. Additionally, a GH78 was detected only in DAT561, an extracellular GH51 is missing in strain 765-6B, and a GH39 is present only in </w:t>
      </w:r>
      <w:r w:rsidRPr="00000EE8">
        <w:rPr>
          <w:rFonts w:ascii="Palatino Linotype" w:hAnsi="Palatino Linotype"/>
          <w:i/>
          <w:lang w:val="en-US"/>
        </w:rPr>
        <w:t>M. plutonius S1</w:t>
      </w:r>
      <w:r w:rsidRPr="005B36A7">
        <w:rPr>
          <w:rFonts w:ascii="Palatino Linotype" w:hAnsi="Palatino Linotype"/>
          <w:lang w:val="en-US"/>
        </w:rPr>
        <w:t xml:space="preserve"> and ATCC 35311.</w:t>
      </w:r>
    </w:p>
    <w:p w:rsidR="00000EE8" w:rsidRPr="00000EE8" w:rsidRDefault="00000EE8" w:rsidP="00000EE8">
      <w:pPr>
        <w:rPr>
          <w:rFonts w:ascii="Palatino Linotype" w:hAnsi="Palatino Linotype" w:cs="Times New Roman"/>
          <w:b/>
          <w:szCs w:val="24"/>
          <w:lang w:val="en-US"/>
        </w:rPr>
      </w:pPr>
      <w:r w:rsidRPr="00000EE8">
        <w:rPr>
          <w:rFonts w:ascii="Palatino Linotype" w:hAnsi="Palatino Linotype" w:cs="Times New Roman"/>
          <w:b/>
          <w:szCs w:val="24"/>
          <w:lang w:val="en-US"/>
        </w:rPr>
        <w:t>Table S1. Primer used in this study.</w:t>
      </w:r>
    </w:p>
    <w:tbl>
      <w:tblPr>
        <w:tblStyle w:val="TableGrid"/>
        <w:tblW w:w="0" w:type="auto"/>
        <w:tblLook w:val="04A0" w:firstRow="1" w:lastRow="0" w:firstColumn="1" w:lastColumn="0" w:noHBand="0" w:noVBand="1"/>
      </w:tblPr>
      <w:tblGrid>
        <w:gridCol w:w="2888"/>
        <w:gridCol w:w="1927"/>
        <w:gridCol w:w="4068"/>
        <w:gridCol w:w="1885"/>
        <w:gridCol w:w="1342"/>
        <w:gridCol w:w="2167"/>
      </w:tblGrid>
      <w:tr w:rsidR="00000EE8" w:rsidRPr="003A6390" w:rsidTr="003A2D95">
        <w:tc>
          <w:tcPr>
            <w:tcW w:w="0" w:type="auto"/>
            <w:tcBorders>
              <w:bottom w:val="single" w:sz="12" w:space="0" w:color="auto"/>
            </w:tcBorders>
          </w:tcPr>
          <w:p w:rsidR="00000EE8" w:rsidRPr="004E3BCC" w:rsidRDefault="00000EE8" w:rsidP="000A1814">
            <w:pPr>
              <w:rPr>
                <w:rFonts w:ascii="Palatino Linotype" w:hAnsi="Palatino Linotype" w:cs="Times New Roman"/>
                <w:b/>
                <w:sz w:val="20"/>
                <w:szCs w:val="20"/>
              </w:rPr>
            </w:pPr>
            <w:r w:rsidRPr="004E3BCC">
              <w:rPr>
                <w:rFonts w:ascii="Palatino Linotype" w:hAnsi="Palatino Linotype" w:cs="Times New Roman"/>
                <w:b/>
                <w:sz w:val="20"/>
                <w:szCs w:val="20"/>
              </w:rPr>
              <w:t>Target gene</w:t>
            </w:r>
          </w:p>
        </w:tc>
        <w:tc>
          <w:tcPr>
            <w:tcW w:w="1927" w:type="dxa"/>
            <w:tcBorders>
              <w:bottom w:val="single" w:sz="12" w:space="0" w:color="auto"/>
            </w:tcBorders>
          </w:tcPr>
          <w:p w:rsidR="00000EE8" w:rsidRPr="004E3BCC" w:rsidRDefault="00000EE8" w:rsidP="000A1814">
            <w:pPr>
              <w:rPr>
                <w:rFonts w:ascii="Palatino Linotype" w:hAnsi="Palatino Linotype" w:cs="Times New Roman"/>
                <w:b/>
                <w:sz w:val="20"/>
                <w:szCs w:val="20"/>
                <w:lang w:val="en-US"/>
              </w:rPr>
            </w:pPr>
            <w:r w:rsidRPr="004E3BCC">
              <w:rPr>
                <w:rFonts w:ascii="Palatino Linotype" w:hAnsi="Palatino Linotype" w:cs="Times New Roman"/>
                <w:b/>
                <w:sz w:val="20"/>
                <w:szCs w:val="20"/>
                <w:lang w:val="en-US"/>
              </w:rPr>
              <w:t>Primer pairs used in this study</w:t>
            </w:r>
          </w:p>
        </w:tc>
        <w:tc>
          <w:tcPr>
            <w:tcW w:w="4068" w:type="dxa"/>
            <w:tcBorders>
              <w:bottom w:val="single" w:sz="12" w:space="0" w:color="auto"/>
            </w:tcBorders>
          </w:tcPr>
          <w:p w:rsidR="00000EE8" w:rsidRPr="004E3BCC" w:rsidRDefault="00000EE8" w:rsidP="000A1814">
            <w:pPr>
              <w:rPr>
                <w:rFonts w:ascii="Palatino Linotype" w:hAnsi="Palatino Linotype" w:cs="Times New Roman"/>
                <w:b/>
                <w:sz w:val="20"/>
                <w:szCs w:val="20"/>
              </w:rPr>
            </w:pPr>
            <w:r w:rsidRPr="004E3BCC">
              <w:rPr>
                <w:rFonts w:ascii="Palatino Linotype" w:hAnsi="Palatino Linotype" w:cs="Times New Roman"/>
                <w:b/>
                <w:sz w:val="20"/>
                <w:szCs w:val="20"/>
              </w:rPr>
              <w:t>Sequence 5’-3’</w:t>
            </w:r>
          </w:p>
        </w:tc>
        <w:tc>
          <w:tcPr>
            <w:tcW w:w="1885" w:type="dxa"/>
            <w:tcBorders>
              <w:bottom w:val="single" w:sz="12" w:space="0" w:color="auto"/>
            </w:tcBorders>
          </w:tcPr>
          <w:p w:rsidR="00000EE8" w:rsidRPr="004E3BCC" w:rsidRDefault="00000EE8" w:rsidP="000A1814">
            <w:pPr>
              <w:rPr>
                <w:rFonts w:ascii="Palatino Linotype" w:hAnsi="Palatino Linotype" w:cs="Times New Roman"/>
                <w:b/>
                <w:sz w:val="20"/>
                <w:szCs w:val="20"/>
              </w:rPr>
            </w:pPr>
            <w:r w:rsidRPr="004E3BCC">
              <w:rPr>
                <w:rFonts w:ascii="Palatino Linotype" w:hAnsi="Palatino Linotype" w:cs="Times New Roman"/>
                <w:b/>
                <w:sz w:val="20"/>
                <w:szCs w:val="20"/>
              </w:rPr>
              <w:t>Reference</w:t>
            </w:r>
          </w:p>
        </w:tc>
        <w:tc>
          <w:tcPr>
            <w:tcW w:w="1342" w:type="dxa"/>
            <w:tcBorders>
              <w:bottom w:val="single" w:sz="12" w:space="0" w:color="auto"/>
            </w:tcBorders>
          </w:tcPr>
          <w:p w:rsidR="00000EE8" w:rsidRPr="004E3BCC" w:rsidRDefault="00000EE8" w:rsidP="000A1814">
            <w:pPr>
              <w:rPr>
                <w:rFonts w:ascii="Palatino Linotype" w:hAnsi="Palatino Linotype" w:cs="Times New Roman"/>
                <w:b/>
                <w:sz w:val="20"/>
                <w:szCs w:val="20"/>
              </w:rPr>
            </w:pPr>
            <w:r w:rsidRPr="004E3BCC">
              <w:rPr>
                <w:rFonts w:ascii="Palatino Linotype" w:hAnsi="Palatino Linotype" w:cs="Times New Roman"/>
                <w:b/>
                <w:sz w:val="20"/>
                <w:szCs w:val="20"/>
              </w:rPr>
              <w:t>Product size (approx.)</w:t>
            </w:r>
          </w:p>
        </w:tc>
        <w:tc>
          <w:tcPr>
            <w:tcW w:w="0" w:type="auto"/>
            <w:tcBorders>
              <w:bottom w:val="single" w:sz="12" w:space="0" w:color="auto"/>
            </w:tcBorders>
          </w:tcPr>
          <w:p w:rsidR="00000EE8" w:rsidRPr="004E3BCC" w:rsidRDefault="00000EE8" w:rsidP="000A1814">
            <w:pPr>
              <w:rPr>
                <w:rFonts w:ascii="Palatino Linotype" w:hAnsi="Palatino Linotype" w:cs="Times New Roman"/>
                <w:b/>
                <w:sz w:val="20"/>
                <w:szCs w:val="20"/>
                <w:lang w:val="en-US"/>
              </w:rPr>
            </w:pPr>
            <w:r w:rsidRPr="004E3BCC">
              <w:rPr>
                <w:rFonts w:ascii="Palatino Linotype" w:hAnsi="Palatino Linotype" w:cs="Times New Roman"/>
                <w:b/>
                <w:sz w:val="20"/>
                <w:szCs w:val="20"/>
                <w:lang w:val="en-US"/>
              </w:rPr>
              <w:t>Used in Materials and Methods chapter</w:t>
            </w:r>
          </w:p>
        </w:tc>
      </w:tr>
      <w:tr w:rsidR="00000EE8" w:rsidRPr="004E3BCC" w:rsidTr="003A2D95">
        <w:tc>
          <w:tcPr>
            <w:tcW w:w="0" w:type="auto"/>
            <w:vMerge w:val="restart"/>
            <w:tcBorders>
              <w:top w:val="single" w:sz="12" w:space="0" w:color="auto"/>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16S rRNA</w:t>
            </w:r>
          </w:p>
        </w:tc>
        <w:tc>
          <w:tcPr>
            <w:tcW w:w="1927" w:type="dxa"/>
            <w:tcBorders>
              <w:top w:val="single" w:sz="1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16S-08F</w:t>
            </w:r>
          </w:p>
        </w:tc>
        <w:tc>
          <w:tcPr>
            <w:tcW w:w="4068" w:type="dxa"/>
            <w:tcBorders>
              <w:top w:val="single" w:sz="1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5’-AGAGTTTGATCCTGGC-3’</w:t>
            </w:r>
          </w:p>
        </w:tc>
        <w:tc>
          <w:tcPr>
            <w:tcW w:w="1885" w:type="dxa"/>
            <w:tcBorders>
              <w:top w:val="single" w:sz="1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 xml:space="preserve">Kim </w:t>
            </w:r>
            <w:r w:rsidRPr="004E3BCC">
              <w:rPr>
                <w:rFonts w:ascii="Palatino Linotype" w:hAnsi="Palatino Linotype" w:cs="Times New Roman"/>
                <w:i/>
                <w:sz w:val="20"/>
                <w:szCs w:val="20"/>
              </w:rPr>
              <w:t>et al</w:t>
            </w:r>
            <w:r w:rsidRPr="004E3BCC">
              <w:rPr>
                <w:rFonts w:ascii="Palatino Linotype" w:hAnsi="Palatino Linotype" w:cs="Times New Roman"/>
                <w:sz w:val="20"/>
                <w:szCs w:val="20"/>
              </w:rPr>
              <w:t>. 2009, modified</w:t>
            </w:r>
            <w:r w:rsidR="00B4185A">
              <w:rPr>
                <w:rFonts w:ascii="Palatino Linotype" w:hAnsi="Palatino Linotype" w:cs="Times New Roman"/>
                <w:sz w:val="20"/>
                <w:szCs w:val="20"/>
              </w:rPr>
              <w:t>;</w:t>
            </w:r>
          </w:p>
        </w:tc>
        <w:tc>
          <w:tcPr>
            <w:tcW w:w="1342" w:type="dxa"/>
            <w:vMerge w:val="restart"/>
            <w:tcBorders>
              <w:top w:val="single" w:sz="12" w:space="0" w:color="auto"/>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1.5 kbp</w:t>
            </w:r>
          </w:p>
        </w:tc>
        <w:tc>
          <w:tcPr>
            <w:tcW w:w="0" w:type="auto"/>
            <w:vMerge w:val="restart"/>
            <w:tcBorders>
              <w:top w:val="single" w:sz="12" w:space="0" w:color="auto"/>
            </w:tcBorders>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cDNA synthesis</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16S-1504R</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5’-TACCTTGTTACGACTT-3’</w:t>
            </w:r>
          </w:p>
        </w:tc>
        <w:tc>
          <w:tcPr>
            <w:tcW w:w="1885"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 xml:space="preserve">Baker </w:t>
            </w:r>
            <w:r w:rsidRPr="004E3BCC">
              <w:rPr>
                <w:rFonts w:ascii="Palatino Linotype" w:hAnsi="Palatino Linotype" w:cs="Times New Roman"/>
                <w:i/>
                <w:sz w:val="20"/>
                <w:szCs w:val="20"/>
              </w:rPr>
              <w:t>et. al</w:t>
            </w:r>
            <w:r w:rsidRPr="004E3BCC">
              <w:rPr>
                <w:rFonts w:ascii="Palatino Linotype" w:hAnsi="Palatino Linotype" w:cs="Times New Roman"/>
                <w:sz w:val="20"/>
                <w:szCs w:val="20"/>
              </w:rPr>
              <w:t>. 2003, modified</w:t>
            </w: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16S rRNA</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MEPL-16S_for</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5’-GAAGAGGAGTTAAAAGGCGC-3’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 xml:space="preserve">Govan </w:t>
            </w:r>
            <w:r w:rsidRPr="004E3BCC">
              <w:rPr>
                <w:rFonts w:ascii="Palatino Linotype" w:hAnsi="Palatino Linotype" w:cs="Times New Roman"/>
                <w:i/>
                <w:sz w:val="20"/>
                <w:szCs w:val="20"/>
              </w:rPr>
              <w:t>et al</w:t>
            </w:r>
            <w:r w:rsidRPr="004E3BCC">
              <w:rPr>
                <w:rFonts w:ascii="Palatino Linotype" w:hAnsi="Palatino Linotype" w:cs="Times New Roman"/>
                <w:sz w:val="20"/>
                <w:szCs w:val="20"/>
              </w:rPr>
              <w:t>. 1998</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0.83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MEPL-16S_rev</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5’-TTATCTCTAAGGCGTTCAAAGG-3’</w:t>
            </w:r>
          </w:p>
        </w:tc>
        <w:tc>
          <w:tcPr>
            <w:tcW w:w="1885" w:type="dxa"/>
            <w:tcBorders>
              <w:top w:val="nil"/>
            </w:tcBorders>
          </w:tcPr>
          <w:p w:rsidR="00000EE8" w:rsidRPr="004E3BCC" w:rsidRDefault="00000EE8" w:rsidP="000A1814">
            <w:pPr>
              <w:rPr>
                <w:rFonts w:ascii="Palatino Linotype" w:hAnsi="Palatino Linotype" w:cs="Times New Roman"/>
                <w:sz w:val="20"/>
                <w:szCs w:val="20"/>
              </w:rPr>
            </w:pP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RNA polymerase sigma factor</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rpoD_MEPL_for</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5’-CCCGTGTGATCGCTTGTC-3’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This study</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0.45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rpoD_MEPL_rev</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5’-ACCTTTTACATTAAGTGCAGGTG-3’</w:t>
            </w:r>
          </w:p>
        </w:tc>
        <w:tc>
          <w:tcPr>
            <w:tcW w:w="1885" w:type="dxa"/>
            <w:tcBorders>
              <w:top w:val="nil"/>
            </w:tcBorders>
          </w:tcPr>
          <w:p w:rsidR="00000EE8" w:rsidRPr="004E3BCC" w:rsidRDefault="00000EE8" w:rsidP="000A1814">
            <w:pPr>
              <w:rPr>
                <w:rFonts w:ascii="Palatino Linotype" w:hAnsi="Palatino Linotype" w:cs="Times New Roman"/>
                <w:sz w:val="20"/>
                <w:szCs w:val="20"/>
              </w:rPr>
            </w:pP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Transcription termination factor</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rho_MEPL_for</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5’-TAACATCACCATTAACACTGCG-3’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This study</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0.24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rho_MEPL_rev</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5’-AACGCCTCTTTATCCCAATCG-3’</w:t>
            </w:r>
          </w:p>
        </w:tc>
        <w:tc>
          <w:tcPr>
            <w:tcW w:w="1885" w:type="dxa"/>
            <w:tcBorders>
              <w:top w:val="nil"/>
            </w:tcBorders>
          </w:tcPr>
          <w:p w:rsidR="00000EE8" w:rsidRPr="004E3BCC" w:rsidRDefault="00000EE8" w:rsidP="000A1814">
            <w:pPr>
              <w:rPr>
                <w:rFonts w:ascii="Palatino Linotype" w:hAnsi="Palatino Linotype" w:cs="Times New Roman"/>
                <w:sz w:val="20"/>
                <w:szCs w:val="20"/>
              </w:rPr>
            </w:pP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Endo-alpha-</w:t>
            </w:r>
            <w:r w:rsidRPr="004E3BCC">
              <w:rPr>
                <w:rFonts w:ascii="Palatino Linotype" w:hAnsi="Palatino Linotype" w:cs="Times New Roman"/>
                <w:i/>
                <w:sz w:val="20"/>
                <w:szCs w:val="20"/>
              </w:rPr>
              <w:t>N</w:t>
            </w:r>
            <w:r w:rsidRPr="004E3BCC">
              <w:rPr>
                <w:rFonts w:ascii="Palatino Linotype" w:hAnsi="Palatino Linotype" w:cs="Times New Roman"/>
                <w:sz w:val="20"/>
                <w:szCs w:val="20"/>
              </w:rPr>
              <w:t>-acetylgalactosaminidase</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endo_MEPL_for</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5’-AGTCACAGGTCAGGTAGAAGG-3’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This study</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0.24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rPr>
          <w:trHeight w:val="128"/>
        </w:trPr>
        <w:tc>
          <w:tcPr>
            <w:tcW w:w="0" w:type="auto"/>
            <w:vMerge/>
            <w:tcBorders>
              <w:bottom w:val="single" w:sz="2" w:space="0" w:color="auto"/>
            </w:tcBorders>
          </w:tcPr>
          <w:p w:rsidR="00000EE8" w:rsidRPr="004E3BCC" w:rsidRDefault="00000EE8" w:rsidP="000A1814">
            <w:pPr>
              <w:rPr>
                <w:rFonts w:ascii="Palatino Linotype" w:hAnsi="Palatino Linotype" w:cs="Times New Roman"/>
                <w:sz w:val="20"/>
                <w:szCs w:val="20"/>
              </w:rPr>
            </w:pPr>
          </w:p>
        </w:tc>
        <w:tc>
          <w:tcPr>
            <w:tcW w:w="1927" w:type="dxa"/>
            <w:tcBorders>
              <w:top w:val="nil"/>
              <w:bottom w:val="single" w:sz="2" w:space="0" w:color="auto"/>
            </w:tcBorders>
          </w:tcPr>
          <w:p w:rsidR="00000EE8" w:rsidRPr="004E3BCC" w:rsidRDefault="00000EE8" w:rsidP="00000EE8">
            <w:pPr>
              <w:rPr>
                <w:rFonts w:ascii="Palatino Linotype" w:hAnsi="Palatino Linotype" w:cs="Times New Roman"/>
                <w:sz w:val="20"/>
                <w:szCs w:val="20"/>
              </w:rPr>
            </w:pPr>
            <w:r w:rsidRPr="004E3BCC">
              <w:rPr>
                <w:rFonts w:ascii="Palatino Linotype" w:hAnsi="Palatino Linotype" w:cs="Times New Roman"/>
                <w:sz w:val="20"/>
                <w:szCs w:val="20"/>
              </w:rPr>
              <w:t>endo_MEPL_rev</w:t>
            </w:r>
          </w:p>
        </w:tc>
        <w:tc>
          <w:tcPr>
            <w:tcW w:w="4068" w:type="dxa"/>
            <w:tcBorders>
              <w:top w:val="nil"/>
              <w:bottom w:val="single" w:sz="2" w:space="0" w:color="auto"/>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5’-GGGATTTGAACGGTATAGGTAGC-3’</w:t>
            </w:r>
          </w:p>
        </w:tc>
        <w:tc>
          <w:tcPr>
            <w:tcW w:w="1885" w:type="dxa"/>
            <w:tcBorders>
              <w:top w:val="nil"/>
              <w:bottom w:val="single" w:sz="2" w:space="0" w:color="auto"/>
            </w:tcBorders>
          </w:tcPr>
          <w:p w:rsidR="00000EE8" w:rsidRPr="004E3BCC" w:rsidRDefault="00000EE8" w:rsidP="000A1814">
            <w:pPr>
              <w:rPr>
                <w:rFonts w:ascii="Palatino Linotype" w:hAnsi="Palatino Linotype" w:cs="Times New Roman"/>
                <w:sz w:val="20"/>
                <w:szCs w:val="20"/>
              </w:rPr>
            </w:pPr>
          </w:p>
        </w:tc>
        <w:tc>
          <w:tcPr>
            <w:tcW w:w="1342" w:type="dxa"/>
            <w:vMerge/>
            <w:tcBorders>
              <w:bottom w:val="single" w:sz="2" w:space="0" w:color="auto"/>
            </w:tcBorders>
          </w:tcPr>
          <w:p w:rsidR="00000EE8" w:rsidRPr="004E3BCC" w:rsidRDefault="00000EE8" w:rsidP="000A1814">
            <w:pPr>
              <w:rPr>
                <w:rFonts w:ascii="Palatino Linotype" w:hAnsi="Palatino Linotype" w:cs="Times New Roman"/>
                <w:sz w:val="20"/>
                <w:szCs w:val="20"/>
              </w:rPr>
            </w:pPr>
          </w:p>
        </w:tc>
        <w:tc>
          <w:tcPr>
            <w:tcW w:w="0" w:type="auto"/>
            <w:vMerge/>
            <w:tcBorders>
              <w:bottom w:val="single" w:sz="2" w:space="0" w:color="auto"/>
            </w:tcBorders>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Borders>
              <w:top w:val="single" w:sz="2" w:space="0" w:color="auto"/>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Enhancin</w:t>
            </w:r>
          </w:p>
        </w:tc>
        <w:tc>
          <w:tcPr>
            <w:tcW w:w="1927" w:type="dxa"/>
            <w:tcBorders>
              <w:top w:val="single" w:sz="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enh_MEPL_for</w:t>
            </w:r>
          </w:p>
        </w:tc>
        <w:tc>
          <w:tcPr>
            <w:tcW w:w="4068" w:type="dxa"/>
            <w:tcBorders>
              <w:top w:val="single" w:sz="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5’-TGTTTGGAGGTGCTTATCAGG-3’</w:t>
            </w:r>
          </w:p>
        </w:tc>
        <w:tc>
          <w:tcPr>
            <w:tcW w:w="1885" w:type="dxa"/>
            <w:tcBorders>
              <w:top w:val="single" w:sz="2" w:space="0" w:color="auto"/>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This study</w:t>
            </w:r>
          </w:p>
        </w:tc>
        <w:tc>
          <w:tcPr>
            <w:tcW w:w="1342" w:type="dxa"/>
            <w:vMerge w:val="restart"/>
            <w:tcBorders>
              <w:top w:val="single" w:sz="2" w:space="0" w:color="auto"/>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0.16 kbp</w:t>
            </w:r>
          </w:p>
        </w:tc>
        <w:tc>
          <w:tcPr>
            <w:tcW w:w="0" w:type="auto"/>
            <w:vMerge w:val="restart"/>
            <w:tcBorders>
              <w:top w:val="single" w:sz="2" w:space="0" w:color="auto"/>
            </w:tcBorders>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enh_MEPL_rev</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5’-ACAATCTCACCGTCAATTTTTCC-3’</w:t>
            </w:r>
          </w:p>
        </w:tc>
        <w:tc>
          <w:tcPr>
            <w:tcW w:w="1885" w:type="dxa"/>
            <w:tcBorders>
              <w:top w:val="nil"/>
            </w:tcBorders>
          </w:tcPr>
          <w:p w:rsidR="00000EE8" w:rsidRPr="004E3BCC" w:rsidRDefault="00000EE8" w:rsidP="000A1814">
            <w:pPr>
              <w:rPr>
                <w:rFonts w:ascii="Palatino Linotype" w:hAnsi="Palatino Linotype" w:cs="Times New Roman"/>
                <w:sz w:val="20"/>
                <w:szCs w:val="20"/>
              </w:rPr>
            </w:pP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Melissotoxin A</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tox_MEPL_for</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5’-GCTCAAGCAGCAACTTTTACG-3’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This study</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0.31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tox_MEPL_rev</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5’-TTCCCCTGGTATTACTTGTAGATG-3’</w:t>
            </w:r>
          </w:p>
        </w:tc>
        <w:tc>
          <w:tcPr>
            <w:tcW w:w="1885" w:type="dxa"/>
            <w:tcBorders>
              <w:top w:val="nil"/>
            </w:tcBorders>
          </w:tcPr>
          <w:p w:rsidR="00000EE8" w:rsidRPr="004E3BCC" w:rsidRDefault="00000EE8" w:rsidP="000A1814">
            <w:pPr>
              <w:rPr>
                <w:rFonts w:ascii="Palatino Linotype" w:hAnsi="Palatino Linotype" w:cs="Times New Roman"/>
                <w:sz w:val="20"/>
                <w:szCs w:val="20"/>
              </w:rPr>
            </w:pP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3A2D95">
            <w:pPr>
              <w:jc w:val="center"/>
              <w:rPr>
                <w:rFonts w:ascii="Palatino Linotype" w:hAnsi="Palatino Linotype" w:cs="Times New Roman"/>
                <w:sz w:val="20"/>
                <w:szCs w:val="20"/>
              </w:rPr>
            </w:pPr>
          </w:p>
        </w:tc>
      </w:tr>
      <w:tr w:rsidR="00000EE8" w:rsidRPr="004E3BCC" w:rsidTr="003A2D95">
        <w:tc>
          <w:tcPr>
            <w:tcW w:w="0" w:type="auto"/>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16S rRNA</w:t>
            </w:r>
          </w:p>
        </w:tc>
        <w:tc>
          <w:tcPr>
            <w:tcW w:w="1927"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U341F</w:t>
            </w:r>
          </w:p>
        </w:tc>
        <w:tc>
          <w:tcPr>
            <w:tcW w:w="4068"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5'-CCTACGGGRSGCAGCAG-3'</w:t>
            </w:r>
          </w:p>
        </w:tc>
        <w:tc>
          <w:tcPr>
            <w:tcW w:w="1885" w:type="dxa"/>
            <w:tcBorders>
              <w:bottom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 xml:space="preserve">Baker </w:t>
            </w:r>
            <w:r w:rsidRPr="004E3BCC">
              <w:rPr>
                <w:rFonts w:ascii="Palatino Linotype" w:hAnsi="Palatino Linotype" w:cs="Times New Roman"/>
                <w:i/>
                <w:sz w:val="20"/>
                <w:szCs w:val="20"/>
              </w:rPr>
              <w:t>et al</w:t>
            </w:r>
            <w:r w:rsidRPr="004E3BCC">
              <w:rPr>
                <w:rFonts w:ascii="Palatino Linotype" w:hAnsi="Palatino Linotype" w:cs="Times New Roman"/>
                <w:sz w:val="20"/>
                <w:szCs w:val="20"/>
              </w:rPr>
              <w:t>. 2003</w:t>
            </w:r>
            <w:r w:rsidR="00B4185A">
              <w:rPr>
                <w:rFonts w:ascii="Palatino Linotype" w:hAnsi="Palatino Linotype" w:cs="Times New Roman"/>
                <w:sz w:val="20"/>
                <w:szCs w:val="20"/>
              </w:rPr>
              <w:t>;</w:t>
            </w:r>
          </w:p>
        </w:tc>
        <w:tc>
          <w:tcPr>
            <w:tcW w:w="1342" w:type="dxa"/>
            <w:vMerge w:val="restart"/>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0.7 kbp</w:t>
            </w:r>
          </w:p>
        </w:tc>
        <w:tc>
          <w:tcPr>
            <w:tcW w:w="0" w:type="auto"/>
            <w:vMerge w:val="restart"/>
          </w:tcPr>
          <w:p w:rsidR="00000EE8" w:rsidRPr="004E3BCC" w:rsidRDefault="00000EE8" w:rsidP="003A2D95">
            <w:pPr>
              <w:jc w:val="center"/>
              <w:rPr>
                <w:rFonts w:ascii="Palatino Linotype" w:hAnsi="Palatino Linotype" w:cs="Times New Roman"/>
                <w:sz w:val="20"/>
                <w:szCs w:val="20"/>
              </w:rPr>
            </w:pPr>
            <w:r w:rsidRPr="004E3BCC">
              <w:rPr>
                <w:rFonts w:ascii="Palatino Linotype" w:hAnsi="Palatino Linotype" w:cs="Times New Roman"/>
                <w:sz w:val="20"/>
                <w:szCs w:val="20"/>
              </w:rPr>
              <w:t>RT-PCR</w:t>
            </w:r>
          </w:p>
        </w:tc>
      </w:tr>
      <w:tr w:rsidR="00000EE8" w:rsidRPr="004E3BCC" w:rsidTr="003A2D95">
        <w:tc>
          <w:tcPr>
            <w:tcW w:w="0" w:type="auto"/>
            <w:vMerge/>
          </w:tcPr>
          <w:p w:rsidR="00000EE8" w:rsidRPr="004E3BCC" w:rsidRDefault="00000EE8" w:rsidP="000A1814">
            <w:pPr>
              <w:rPr>
                <w:rFonts w:ascii="Palatino Linotype" w:hAnsi="Palatino Linotype" w:cs="Times New Roman"/>
                <w:sz w:val="20"/>
                <w:szCs w:val="20"/>
              </w:rPr>
            </w:pPr>
          </w:p>
        </w:tc>
        <w:tc>
          <w:tcPr>
            <w:tcW w:w="1927"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1061R</w:t>
            </w:r>
          </w:p>
        </w:tc>
        <w:tc>
          <w:tcPr>
            <w:tcW w:w="4068"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5'-CRRCACGAGCTGACGAC-3'</w:t>
            </w:r>
          </w:p>
        </w:tc>
        <w:tc>
          <w:tcPr>
            <w:tcW w:w="1885" w:type="dxa"/>
            <w:tcBorders>
              <w:top w:val="nil"/>
            </w:tcBorders>
          </w:tcPr>
          <w:p w:rsidR="00000EE8" w:rsidRPr="004E3BCC" w:rsidRDefault="00000EE8" w:rsidP="000A1814">
            <w:pPr>
              <w:rPr>
                <w:rFonts w:ascii="Palatino Linotype" w:hAnsi="Palatino Linotype" w:cs="Times New Roman"/>
                <w:sz w:val="20"/>
                <w:szCs w:val="20"/>
              </w:rPr>
            </w:pPr>
            <w:r w:rsidRPr="004E3BCC">
              <w:rPr>
                <w:rFonts w:ascii="Palatino Linotype" w:hAnsi="Palatino Linotype" w:cs="Times New Roman"/>
                <w:sz w:val="20"/>
                <w:szCs w:val="20"/>
              </w:rPr>
              <w:t xml:space="preserve">Andersson </w:t>
            </w:r>
            <w:r w:rsidRPr="004E3BCC">
              <w:rPr>
                <w:rFonts w:ascii="Palatino Linotype" w:hAnsi="Palatino Linotype" w:cs="Times New Roman"/>
                <w:i/>
                <w:sz w:val="20"/>
                <w:szCs w:val="20"/>
              </w:rPr>
              <w:t>et al</w:t>
            </w:r>
            <w:r w:rsidRPr="004E3BCC">
              <w:rPr>
                <w:rFonts w:ascii="Palatino Linotype" w:hAnsi="Palatino Linotype" w:cs="Times New Roman"/>
                <w:sz w:val="20"/>
                <w:szCs w:val="20"/>
              </w:rPr>
              <w:t>. 2008</w:t>
            </w:r>
          </w:p>
        </w:tc>
        <w:tc>
          <w:tcPr>
            <w:tcW w:w="1342" w:type="dxa"/>
            <w:vMerge/>
          </w:tcPr>
          <w:p w:rsidR="00000EE8" w:rsidRPr="004E3BCC" w:rsidRDefault="00000EE8" w:rsidP="000A1814">
            <w:pPr>
              <w:rPr>
                <w:rFonts w:ascii="Palatino Linotype" w:hAnsi="Palatino Linotype" w:cs="Times New Roman"/>
                <w:sz w:val="20"/>
                <w:szCs w:val="20"/>
              </w:rPr>
            </w:pPr>
          </w:p>
        </w:tc>
        <w:tc>
          <w:tcPr>
            <w:tcW w:w="0" w:type="auto"/>
            <w:vMerge/>
          </w:tcPr>
          <w:p w:rsidR="00000EE8" w:rsidRPr="004E3BCC" w:rsidRDefault="00000EE8" w:rsidP="000A1814">
            <w:pPr>
              <w:rPr>
                <w:rFonts w:ascii="Palatino Linotype" w:hAnsi="Palatino Linotype" w:cs="Times New Roman"/>
                <w:sz w:val="20"/>
                <w:szCs w:val="20"/>
              </w:rPr>
            </w:pPr>
          </w:p>
        </w:tc>
      </w:tr>
    </w:tbl>
    <w:p w:rsidR="00000EE8" w:rsidRDefault="00000EE8" w:rsidP="00032C95">
      <w:pPr>
        <w:spacing w:after="0"/>
        <w:rPr>
          <w:rFonts w:ascii="Times New Roman" w:hAnsi="Times New Roman" w:cs="Times New Roman"/>
          <w:sz w:val="24"/>
          <w:szCs w:val="24"/>
        </w:rPr>
      </w:pPr>
    </w:p>
    <w:p w:rsidR="00000EE8" w:rsidRPr="00000EE8" w:rsidRDefault="00000EE8" w:rsidP="00000EE8">
      <w:pPr>
        <w:rPr>
          <w:rFonts w:ascii="Palatino Linotype" w:hAnsi="Palatino Linotype" w:cs="Times New Roman"/>
          <w:b/>
          <w:szCs w:val="24"/>
          <w:lang w:val="en-US"/>
        </w:rPr>
      </w:pPr>
      <w:r w:rsidRPr="00000EE8">
        <w:rPr>
          <w:rFonts w:ascii="Palatino Linotype" w:hAnsi="Palatino Linotype" w:cs="Times New Roman"/>
          <w:b/>
          <w:szCs w:val="24"/>
          <w:lang w:val="en-US"/>
        </w:rPr>
        <w:t>References:</w:t>
      </w:r>
    </w:p>
    <w:p w:rsidR="004E3BCC" w:rsidRDefault="00000EE8" w:rsidP="004E3BCC">
      <w:pPr>
        <w:pStyle w:val="NormalWeb"/>
        <w:spacing w:before="0" w:beforeAutospacing="0" w:after="0" w:afterAutospacing="0"/>
        <w:ind w:left="480" w:hanging="480"/>
        <w:rPr>
          <w:rFonts w:ascii="Palatino Linotype" w:hAnsi="Palatino Linotype"/>
          <w:noProof/>
          <w:sz w:val="22"/>
          <w:lang w:val="en-US"/>
        </w:rPr>
      </w:pPr>
      <w:r w:rsidRPr="00000EE8">
        <w:rPr>
          <w:rFonts w:ascii="Palatino Linotype" w:hAnsi="Palatino Linotype"/>
          <w:noProof/>
          <w:sz w:val="22"/>
          <w:lang w:val="en-US"/>
        </w:rPr>
        <w:t xml:space="preserve">Andersson, A. F., Lindberg, M., Jakobsson, H., Bäckhed, F., Nyrén, P., and Engstrand, L. (2008). Comparative analysis of human gut microbiota by barcoded pyrosequencing. </w:t>
      </w:r>
      <w:r w:rsidRPr="00000EE8">
        <w:rPr>
          <w:rFonts w:ascii="Palatino Linotype" w:hAnsi="Palatino Linotype"/>
          <w:i/>
          <w:iCs/>
          <w:noProof/>
          <w:sz w:val="22"/>
          <w:lang w:val="en-US"/>
        </w:rPr>
        <w:t>PLoS One</w:t>
      </w:r>
      <w:r w:rsidRPr="00000EE8">
        <w:rPr>
          <w:rFonts w:ascii="Palatino Linotype" w:hAnsi="Palatino Linotype"/>
          <w:noProof/>
          <w:sz w:val="22"/>
          <w:lang w:val="en-US"/>
        </w:rPr>
        <w:t xml:space="preserve"> 3</w:t>
      </w:r>
      <w:r>
        <w:rPr>
          <w:rFonts w:ascii="Palatino Linotype" w:hAnsi="Palatino Linotype"/>
          <w:noProof/>
          <w:sz w:val="22"/>
          <w:lang w:val="en-US"/>
        </w:rPr>
        <w:t>,</w:t>
      </w:r>
      <w:r w:rsidRPr="00000EE8">
        <w:rPr>
          <w:rFonts w:ascii="Palatino Linotype" w:hAnsi="Palatino Linotype"/>
          <w:noProof/>
          <w:sz w:val="22"/>
          <w:lang w:val="en-US"/>
        </w:rPr>
        <w:t xml:space="preserve"> e2836. doi:10.1371/journal.pone.0002836.</w:t>
      </w:r>
    </w:p>
    <w:p w:rsidR="00000EE8" w:rsidRPr="00000EE8" w:rsidRDefault="00000EE8" w:rsidP="004E3BCC">
      <w:pPr>
        <w:pStyle w:val="NormalWeb"/>
        <w:spacing w:before="0" w:beforeAutospacing="0" w:after="0" w:afterAutospacing="0"/>
        <w:ind w:left="480" w:hanging="480"/>
        <w:rPr>
          <w:rFonts w:ascii="Palatino Linotype" w:hAnsi="Palatino Linotype"/>
          <w:noProof/>
          <w:sz w:val="22"/>
          <w:lang w:val="en-US"/>
        </w:rPr>
      </w:pPr>
      <w:r w:rsidRPr="00000EE8">
        <w:rPr>
          <w:rFonts w:ascii="Palatino Linotype" w:hAnsi="Palatino Linotype"/>
          <w:noProof/>
          <w:sz w:val="22"/>
          <w:lang w:val="en-US"/>
        </w:rPr>
        <w:t xml:space="preserve">Baker, G. C., Smith, J. J., and Cowan, D. A. (2003). Review and re-analysis of domain-specific 16S primers. </w:t>
      </w:r>
      <w:r w:rsidRPr="00000EE8">
        <w:rPr>
          <w:rFonts w:ascii="Palatino Linotype" w:hAnsi="Palatino Linotype"/>
          <w:i/>
          <w:iCs/>
          <w:noProof/>
          <w:sz w:val="22"/>
          <w:lang w:val="en-US"/>
        </w:rPr>
        <w:t>J Microbiol Methods</w:t>
      </w:r>
      <w:r w:rsidRPr="00000EE8">
        <w:rPr>
          <w:rFonts w:ascii="Palatino Linotype" w:hAnsi="Palatino Linotype"/>
          <w:noProof/>
          <w:sz w:val="22"/>
          <w:lang w:val="en-US"/>
        </w:rPr>
        <w:t xml:space="preserve"> 55, 541–555. doi:10.1016/j.mimet.2003.08.009.</w:t>
      </w:r>
    </w:p>
    <w:p w:rsidR="00000EE8" w:rsidRPr="00000EE8" w:rsidRDefault="00000EE8" w:rsidP="00032C95">
      <w:pPr>
        <w:pStyle w:val="NormalWeb"/>
        <w:spacing w:before="0" w:beforeAutospacing="0" w:after="0" w:afterAutospacing="0"/>
        <w:ind w:left="480" w:hanging="480"/>
        <w:rPr>
          <w:rFonts w:ascii="Palatino Linotype" w:hAnsi="Palatino Linotype"/>
          <w:noProof/>
          <w:sz w:val="22"/>
          <w:lang w:val="en-US"/>
        </w:rPr>
      </w:pPr>
      <w:r w:rsidRPr="00000EE8">
        <w:rPr>
          <w:rFonts w:ascii="Palatino Linotype" w:hAnsi="Palatino Linotype"/>
          <w:noProof/>
          <w:sz w:val="22"/>
          <w:lang w:val="en-US"/>
        </w:rPr>
        <w:t xml:space="preserve">Govan, V. A., Brözel, V., Allsopp, M. H., and Davison, S. (1998). A PCR detection method for rapid identification of </w:t>
      </w:r>
      <w:r w:rsidRPr="00000EE8">
        <w:rPr>
          <w:rFonts w:ascii="Palatino Linotype" w:hAnsi="Palatino Linotype"/>
          <w:i/>
          <w:noProof/>
          <w:sz w:val="22"/>
          <w:lang w:val="en-US"/>
        </w:rPr>
        <w:t>Melissococcus pluton</w:t>
      </w:r>
      <w:r w:rsidRPr="00000EE8">
        <w:rPr>
          <w:rFonts w:ascii="Palatino Linotype" w:hAnsi="Palatino Linotype"/>
          <w:noProof/>
          <w:sz w:val="22"/>
          <w:lang w:val="en-US"/>
        </w:rPr>
        <w:t xml:space="preserve"> in honeybee larvae. </w:t>
      </w:r>
      <w:r w:rsidRPr="00000EE8">
        <w:rPr>
          <w:rFonts w:ascii="Palatino Linotype" w:hAnsi="Palatino Linotype"/>
          <w:i/>
          <w:iCs/>
          <w:noProof/>
          <w:sz w:val="22"/>
          <w:lang w:val="en-US"/>
        </w:rPr>
        <w:t>Appl Environ Microbiol</w:t>
      </w:r>
      <w:r w:rsidRPr="00000EE8">
        <w:rPr>
          <w:rFonts w:ascii="Palatino Linotype" w:hAnsi="Palatino Linotype"/>
          <w:noProof/>
          <w:sz w:val="22"/>
          <w:lang w:val="en-US"/>
        </w:rPr>
        <w:t xml:space="preserve"> 64, 1983–</w:t>
      </w:r>
      <w:r>
        <w:rPr>
          <w:rFonts w:ascii="Palatino Linotype" w:hAnsi="Palatino Linotype"/>
          <w:noProof/>
          <w:sz w:val="22"/>
          <w:lang w:val="en-US"/>
        </w:rPr>
        <w:t>198</w:t>
      </w:r>
      <w:r w:rsidRPr="00000EE8">
        <w:rPr>
          <w:rFonts w:ascii="Palatino Linotype" w:hAnsi="Palatino Linotype"/>
          <w:noProof/>
          <w:sz w:val="22"/>
          <w:lang w:val="en-US"/>
        </w:rPr>
        <w:t>5.</w:t>
      </w:r>
    </w:p>
    <w:p w:rsidR="00000EE8" w:rsidRDefault="00000EE8" w:rsidP="004E3BCC">
      <w:pPr>
        <w:pStyle w:val="NormalWeb"/>
        <w:spacing w:before="0" w:beforeAutospacing="0"/>
        <w:ind w:left="480" w:hanging="480"/>
        <w:rPr>
          <w:rFonts w:ascii="Palatino Linotype" w:hAnsi="Palatino Linotype"/>
          <w:noProof/>
          <w:sz w:val="22"/>
          <w:lang w:val="en-US"/>
        </w:rPr>
      </w:pPr>
      <w:r w:rsidRPr="00000EE8">
        <w:rPr>
          <w:rFonts w:ascii="Palatino Linotype" w:hAnsi="Palatino Linotype"/>
          <w:noProof/>
          <w:sz w:val="22"/>
          <w:lang w:val="en-US"/>
        </w:rPr>
        <w:t xml:space="preserve">Kim, Y. M., Ahn, C. K., Woo, S. H., Jung, G. Y., and Park, J. M. (2009). Synergic degradation of phenanthrene by consortia of newly isolated bacterial strains. </w:t>
      </w:r>
      <w:r w:rsidRPr="004E3BCC">
        <w:rPr>
          <w:rFonts w:ascii="Palatino Linotype" w:hAnsi="Palatino Linotype"/>
          <w:i/>
          <w:iCs/>
          <w:noProof/>
          <w:sz w:val="22"/>
          <w:lang w:val="en-US"/>
        </w:rPr>
        <w:t>J Biotechnol</w:t>
      </w:r>
      <w:r w:rsidRPr="004E3BCC">
        <w:rPr>
          <w:rFonts w:ascii="Palatino Linotype" w:hAnsi="Palatino Linotype"/>
          <w:noProof/>
          <w:sz w:val="22"/>
          <w:lang w:val="en-US"/>
        </w:rPr>
        <w:t xml:space="preserve"> 144, 293–298. doi:10.1016/j.jbiotec.2009.09.021.</w:t>
      </w:r>
    </w:p>
    <w:p w:rsidR="00032C95" w:rsidRPr="004E3BCC" w:rsidRDefault="00032C95" w:rsidP="004E3BCC">
      <w:pPr>
        <w:pStyle w:val="NormalWeb"/>
        <w:spacing w:before="0" w:beforeAutospacing="0"/>
        <w:ind w:left="480" w:hanging="480"/>
        <w:rPr>
          <w:rFonts w:ascii="Palatino Linotype" w:hAnsi="Palatino Linotype"/>
          <w:sz w:val="22"/>
          <w:lang w:val="en-US"/>
        </w:rPr>
      </w:pPr>
    </w:p>
    <w:p w:rsidR="004E3BCC" w:rsidRPr="004E3BCC" w:rsidRDefault="004E3BCC" w:rsidP="004E3BCC">
      <w:pPr>
        <w:rPr>
          <w:rFonts w:ascii="Palatino Linotype" w:hAnsi="Palatino Linotype" w:cs="Times New Roman"/>
          <w:lang w:val="en-US"/>
        </w:rPr>
      </w:pPr>
      <w:r w:rsidRPr="004E3BCC">
        <w:rPr>
          <w:rFonts w:ascii="Palatino Linotype" w:hAnsi="Palatino Linotype" w:cs="Times New Roman"/>
          <w:b/>
          <w:lang w:val="en-US"/>
        </w:rPr>
        <w:t xml:space="preserve">Table </w:t>
      </w:r>
      <w:r>
        <w:rPr>
          <w:rFonts w:ascii="Palatino Linotype" w:hAnsi="Palatino Linotype" w:cs="Times New Roman"/>
          <w:b/>
          <w:lang w:val="en-US"/>
        </w:rPr>
        <w:t>S</w:t>
      </w:r>
      <w:r w:rsidRPr="004E3BCC">
        <w:rPr>
          <w:rFonts w:ascii="Palatino Linotype" w:hAnsi="Palatino Linotype" w:cs="Times New Roman"/>
          <w:b/>
          <w:lang w:val="en-US"/>
        </w:rPr>
        <w:t>2</w:t>
      </w:r>
      <w:r>
        <w:rPr>
          <w:rFonts w:ascii="Palatino Linotype" w:hAnsi="Palatino Linotype" w:cs="Times New Roman"/>
          <w:b/>
          <w:lang w:val="en-US"/>
        </w:rPr>
        <w:t>.</w:t>
      </w:r>
      <w:r w:rsidRPr="004E3BCC">
        <w:rPr>
          <w:rFonts w:ascii="Palatino Linotype" w:hAnsi="Palatino Linotype" w:cs="Times New Roman"/>
          <w:lang w:val="en-US"/>
        </w:rPr>
        <w:t xml:space="preserve"> </w:t>
      </w:r>
      <w:r w:rsidRPr="004E3BCC">
        <w:rPr>
          <w:rFonts w:ascii="Palatino Linotype" w:hAnsi="Palatino Linotype" w:cs="Times New Roman"/>
          <w:b/>
          <w:lang w:val="en-US"/>
        </w:rPr>
        <w:t xml:space="preserve">General data of </w:t>
      </w:r>
      <w:r w:rsidRPr="004E3BCC">
        <w:rPr>
          <w:rFonts w:ascii="Palatino Linotype" w:hAnsi="Palatino Linotype" w:cs="Times New Roman"/>
          <w:b/>
          <w:i/>
          <w:lang w:val="en-US"/>
        </w:rPr>
        <w:t>M. plutonius</w:t>
      </w:r>
      <w:r w:rsidRPr="004E3BCC">
        <w:rPr>
          <w:rFonts w:ascii="Palatino Linotype" w:hAnsi="Palatino Linotype" w:cs="Times New Roman"/>
          <w:b/>
          <w:lang w:val="en-US"/>
        </w:rPr>
        <w:t xml:space="preserve"> strains used in this study.</w:t>
      </w:r>
    </w:p>
    <w:tbl>
      <w:tblPr>
        <w:tblStyle w:val="TableGrid"/>
        <w:tblW w:w="14425" w:type="dxa"/>
        <w:tblLook w:val="04A0" w:firstRow="1" w:lastRow="0" w:firstColumn="1" w:lastColumn="0" w:noHBand="0" w:noVBand="1"/>
      </w:tblPr>
      <w:tblGrid>
        <w:gridCol w:w="953"/>
        <w:gridCol w:w="1070"/>
        <w:gridCol w:w="880"/>
        <w:gridCol w:w="1240"/>
        <w:gridCol w:w="1257"/>
        <w:gridCol w:w="1206"/>
        <w:gridCol w:w="624"/>
        <w:gridCol w:w="989"/>
        <w:gridCol w:w="1072"/>
        <w:gridCol w:w="2989"/>
        <w:gridCol w:w="901"/>
        <w:gridCol w:w="1244"/>
      </w:tblGrid>
      <w:tr w:rsidR="008A3AF7" w:rsidRPr="00306C58" w:rsidTr="00306C58">
        <w:trPr>
          <w:trHeight w:val="363"/>
        </w:trPr>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Strain</w:t>
            </w:r>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Origin</w:t>
            </w:r>
          </w:p>
        </w:tc>
        <w:tc>
          <w:tcPr>
            <w:tcW w:w="0" w:type="auto"/>
          </w:tcPr>
          <w:p w:rsidR="00306C58" w:rsidRPr="00306C58" w:rsidRDefault="00306C58" w:rsidP="004E3BCC">
            <w:pPr>
              <w:jc w:val="center"/>
              <w:rPr>
                <w:rFonts w:ascii="Palatino Linotype" w:hAnsi="Palatino Linotype" w:cs="Times New Roman"/>
                <w:b/>
                <w:sz w:val="16"/>
                <w:szCs w:val="16"/>
                <w:vertAlign w:val="superscript"/>
                <w:lang w:val="en-US"/>
              </w:rPr>
            </w:pPr>
            <w:r w:rsidRPr="00306C58">
              <w:rPr>
                <w:rFonts w:ascii="Palatino Linotype" w:hAnsi="Palatino Linotype" w:cs="Times New Roman"/>
                <w:b/>
                <w:sz w:val="16"/>
                <w:szCs w:val="16"/>
                <w:lang w:val="en-US"/>
              </w:rPr>
              <w:t>ST (CC)</w:t>
            </w:r>
            <w:r w:rsidRPr="00306C58">
              <w:rPr>
                <w:rFonts w:ascii="Palatino Linotype" w:hAnsi="Palatino Linotype" w:cs="Times New Roman"/>
                <w:b/>
                <w:sz w:val="16"/>
                <w:szCs w:val="16"/>
                <w:vertAlign w:val="superscript"/>
                <w:lang w:val="en-US"/>
              </w:rPr>
              <w:t>a</w:t>
            </w:r>
          </w:p>
        </w:tc>
        <w:tc>
          <w:tcPr>
            <w:tcW w:w="0" w:type="auto"/>
          </w:tcPr>
          <w:p w:rsidR="00306C58" w:rsidRPr="00306C58" w:rsidRDefault="00306C58" w:rsidP="000A1814">
            <w:pP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Classification</w:t>
            </w:r>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Genome contig count</w:t>
            </w:r>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Genome size [Mbp]</w:t>
            </w:r>
          </w:p>
        </w:tc>
        <w:tc>
          <w:tcPr>
            <w:tcW w:w="0" w:type="auto"/>
          </w:tcPr>
          <w:p w:rsidR="00306C58" w:rsidRPr="00306C58" w:rsidRDefault="00306C58" w:rsidP="004E3BCC">
            <w:pPr>
              <w:jc w:val="center"/>
              <w:rPr>
                <w:rFonts w:ascii="Palatino Linotype" w:hAnsi="Palatino Linotype" w:cs="Times New Roman"/>
                <w:b/>
                <w:sz w:val="16"/>
                <w:szCs w:val="16"/>
                <w:vertAlign w:val="superscript"/>
                <w:lang w:val="en-US"/>
              </w:rPr>
            </w:pPr>
            <w:proofErr w:type="spellStart"/>
            <w:r w:rsidRPr="00306C58">
              <w:rPr>
                <w:rFonts w:ascii="Palatino Linotype" w:hAnsi="Palatino Linotype" w:cs="Times New Roman"/>
                <w:b/>
                <w:sz w:val="16"/>
                <w:szCs w:val="16"/>
                <w:lang w:val="en-US"/>
              </w:rPr>
              <w:t>CDS</w:t>
            </w:r>
            <w:r w:rsidRPr="00306C58">
              <w:rPr>
                <w:rFonts w:ascii="Palatino Linotype" w:hAnsi="Palatino Linotype" w:cs="Times New Roman"/>
                <w:b/>
                <w:sz w:val="16"/>
                <w:szCs w:val="16"/>
                <w:vertAlign w:val="superscript"/>
                <w:lang w:val="en-US"/>
              </w:rPr>
              <w:t>b</w:t>
            </w:r>
            <w:proofErr w:type="spellEnd"/>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Pseudo-genes</w:t>
            </w:r>
          </w:p>
        </w:tc>
        <w:tc>
          <w:tcPr>
            <w:tcW w:w="0" w:type="auto"/>
          </w:tcPr>
          <w:p w:rsidR="00306C58" w:rsidRPr="00306C58" w:rsidRDefault="00306C58" w:rsidP="004E3BCC">
            <w:pPr>
              <w:jc w:val="center"/>
              <w:rPr>
                <w:rFonts w:ascii="Palatino Linotype" w:hAnsi="Palatino Linotype" w:cs="Times New Roman"/>
                <w:b/>
                <w:sz w:val="16"/>
                <w:szCs w:val="16"/>
                <w:lang w:val="en-US"/>
              </w:rPr>
            </w:pPr>
            <w:r>
              <w:rPr>
                <w:rFonts w:ascii="Palatino Linotype" w:hAnsi="Palatino Linotype" w:cs="Times New Roman"/>
                <w:b/>
                <w:sz w:val="16"/>
                <w:szCs w:val="16"/>
                <w:lang w:val="en-US"/>
              </w:rPr>
              <w:t>Plasmids</w:t>
            </w:r>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GenBank accession number</w:t>
            </w:r>
          </w:p>
        </w:tc>
        <w:tc>
          <w:tcPr>
            <w:tcW w:w="0" w:type="auto"/>
          </w:tcPr>
          <w:p w:rsidR="00306C58" w:rsidRPr="00306C58" w:rsidRDefault="00306C58" w:rsidP="004E3BCC">
            <w:pPr>
              <w:jc w:val="center"/>
              <w:rPr>
                <w:rFonts w:ascii="Palatino Linotype" w:hAnsi="Palatino Linotype" w:cs="Times New Roman"/>
                <w:b/>
                <w:sz w:val="16"/>
                <w:szCs w:val="16"/>
                <w:lang w:val="en-US"/>
              </w:rPr>
            </w:pPr>
            <w:r w:rsidRPr="00306C58">
              <w:rPr>
                <w:rFonts w:ascii="Palatino Linotype" w:hAnsi="Palatino Linotype" w:cs="Times New Roman"/>
                <w:b/>
                <w:sz w:val="16"/>
                <w:szCs w:val="16"/>
                <w:lang w:val="en-US"/>
              </w:rPr>
              <w:t>Coverage</w:t>
            </w:r>
          </w:p>
        </w:tc>
        <w:tc>
          <w:tcPr>
            <w:tcW w:w="0" w:type="auto"/>
          </w:tcPr>
          <w:p w:rsidR="00306C58" w:rsidRPr="00306C58" w:rsidRDefault="00306C58" w:rsidP="004E3BCC">
            <w:pPr>
              <w:jc w:val="center"/>
              <w:rPr>
                <w:rFonts w:ascii="Palatino Linotype" w:hAnsi="Palatino Linotype" w:cs="Times New Roman"/>
                <w:b/>
                <w:sz w:val="16"/>
                <w:szCs w:val="16"/>
              </w:rPr>
            </w:pPr>
            <w:r w:rsidRPr="00306C58">
              <w:rPr>
                <w:rFonts w:ascii="Palatino Linotype" w:hAnsi="Palatino Linotype" w:cs="Times New Roman"/>
                <w:b/>
                <w:sz w:val="16"/>
                <w:szCs w:val="16"/>
              </w:rPr>
              <w:t>Reference</w:t>
            </w:r>
          </w:p>
        </w:tc>
      </w:tr>
      <w:tr w:rsidR="008A3AF7" w:rsidRPr="00306C58" w:rsidTr="00306C58">
        <w:trPr>
          <w:trHeight w:val="357"/>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49.3</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ST3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2.076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1,638</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140</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00306C58">
              <w:rPr>
                <w:rFonts w:ascii="Palatino Linotype" w:hAnsi="Palatino Linotype" w:cs="Times New Roman"/>
                <w:sz w:val="16"/>
                <w:szCs w:val="16"/>
              </w:rPr>
              <w:t>pMP19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JSBA00000000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102x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S1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ST3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2.074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1,609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151</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CP006683-CP006684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67x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21.1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ST7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8</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2.077</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1,629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145</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00306C58">
              <w:rPr>
                <w:rFonts w:ascii="Palatino Linotype" w:hAnsi="Palatino Linotype" w:cs="Times New Roman"/>
                <w:sz w:val="16"/>
                <w:szCs w:val="16"/>
              </w:rPr>
              <w:t>pMP19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JSAY00000000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338x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60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ST7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13</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2.072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1,633</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143</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00306C58">
              <w:rPr>
                <w:rFonts w:ascii="Palatino Linotype" w:hAnsi="Palatino Linotype" w:cs="Times New Roman"/>
                <w:sz w:val="16"/>
                <w:szCs w:val="16"/>
              </w:rPr>
              <w:t>pMP19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JSBE00000000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185x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B5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ST7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2.101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1,686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146</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Pr="008A3AF7">
              <w:rPr>
                <w:rFonts w:ascii="Palatino Linotype" w:hAnsi="Palatino Linotype" w:cs="Times New Roman"/>
                <w:sz w:val="16"/>
                <w:szCs w:val="16"/>
              </w:rPr>
              <w:t>pMP43</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JSAW00000000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485x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H6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ST7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2.075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1,633</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145</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00306C58">
              <w:rPr>
                <w:rFonts w:ascii="Palatino Linotype" w:hAnsi="Palatino Linotype" w:cs="Times New Roman"/>
                <w:sz w:val="16"/>
                <w:szCs w:val="16"/>
              </w:rPr>
              <w:t>pMP19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JSBC00000000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220x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L9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ST7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2.059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1,616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145</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JSBD00000000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240x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82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ST32 (CC13)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2.048</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1,614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129</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JSBF00000000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202x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7"/>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90.0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ST13 (CC13)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17</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2.067</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1,642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131</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JSAZ00000000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102x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119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Switzerland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ST20 (CC13)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2.040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1,614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127</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JSBB00000000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103x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764-5B</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Norway</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ST3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2.046</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1,605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145</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JSAV00000000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1040x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35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765-6B</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Norway</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ST3 (CC3)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2.021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1,589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142</w:t>
            </w:r>
          </w:p>
        </w:tc>
        <w:tc>
          <w:tcPr>
            <w:tcW w:w="0" w:type="auto"/>
          </w:tcPr>
          <w:p w:rsidR="00306C58" w:rsidRPr="00306C58" w:rsidRDefault="008A3AF7" w:rsidP="004E3BCC">
            <w:pPr>
              <w:spacing w:before="240"/>
              <w:jc w:val="center"/>
              <w:rPr>
                <w:rFonts w:ascii="Palatino Linotype" w:hAnsi="Palatino Linotype" w:cs="Times New Roman"/>
                <w:sz w:val="16"/>
                <w:szCs w:val="16"/>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JSAX00000000</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652x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This study</w:t>
            </w:r>
          </w:p>
        </w:tc>
      </w:tr>
      <w:tr w:rsidR="008A3AF7" w:rsidRPr="00306C58" w:rsidTr="00306C58">
        <w:trPr>
          <w:trHeight w:val="477"/>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ATCC 35311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England</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ST1 (CC13)</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2.069</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1,594</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156</w:t>
            </w:r>
          </w:p>
        </w:tc>
        <w:tc>
          <w:tcPr>
            <w:tcW w:w="0" w:type="auto"/>
          </w:tcPr>
          <w:p w:rsidR="00306C58" w:rsidRPr="00306C58" w:rsidRDefault="008A3AF7" w:rsidP="004E3BCC">
            <w:pPr>
              <w:spacing w:before="240"/>
              <w:jc w:val="center"/>
              <w:rPr>
                <w:rFonts w:ascii="Palatino Linotype" w:hAnsi="Palatino Linotype" w:cs="Times New Roman"/>
                <w:sz w:val="16"/>
                <w:szCs w:val="16"/>
                <w:lang w:val="en-US"/>
              </w:rPr>
            </w:pPr>
            <w:r w:rsidRPr="008A3AF7">
              <w:rPr>
                <w:rFonts w:ascii="Palatino Linotype" w:hAnsi="Palatino Linotype" w:cs="Times New Roman"/>
                <w:sz w:val="16"/>
                <w:szCs w:val="16"/>
              </w:rPr>
              <w:t>pMP1</w:t>
            </w:r>
          </w:p>
        </w:tc>
        <w:tc>
          <w:tcPr>
            <w:tcW w:w="0" w:type="auto"/>
          </w:tcPr>
          <w:p w:rsidR="00306C58" w:rsidRPr="00306C58" w:rsidRDefault="00306C58" w:rsidP="004E3BCC">
            <w:pPr>
              <w:spacing w:before="240"/>
              <w:jc w:val="center"/>
              <w:rPr>
                <w:rFonts w:ascii="Palatino Linotype" w:hAnsi="Palatino Linotype" w:cs="Times New Roman"/>
                <w:sz w:val="16"/>
                <w:szCs w:val="16"/>
                <w:lang w:val="en-US"/>
              </w:rPr>
            </w:pPr>
            <w:r w:rsidRPr="00306C58">
              <w:rPr>
                <w:rFonts w:ascii="Palatino Linotype" w:hAnsi="Palatino Linotype" w:cs="Times New Roman"/>
                <w:sz w:val="16"/>
                <w:szCs w:val="16"/>
                <w:lang w:val="en-US"/>
              </w:rPr>
              <w:t>Supplementary Data 1 (Original data: NC_015516.1 and NC_15517.1)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44x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 xml:space="preserve">Okumura </w:t>
            </w:r>
            <w:r w:rsidRPr="00306C58">
              <w:rPr>
                <w:rFonts w:ascii="Palatino Linotype" w:hAnsi="Palatino Linotype" w:cs="Times New Roman"/>
                <w:i/>
                <w:sz w:val="16"/>
                <w:szCs w:val="16"/>
              </w:rPr>
              <w:t>et al</w:t>
            </w:r>
            <w:r w:rsidRPr="00306C58">
              <w:rPr>
                <w:rFonts w:ascii="Palatino Linotype" w:hAnsi="Palatino Linotype" w:cs="Times New Roman"/>
                <w:sz w:val="16"/>
                <w:szCs w:val="16"/>
              </w:rPr>
              <w:t>. 2011</w:t>
            </w:r>
          </w:p>
        </w:tc>
      </w:tr>
      <w:tr w:rsidR="008A3AF7" w:rsidRPr="00306C58" w:rsidTr="00306C58">
        <w:trPr>
          <w:trHeight w:val="471"/>
        </w:trPr>
        <w:tc>
          <w:tcPr>
            <w:tcW w:w="0" w:type="auto"/>
          </w:tcPr>
          <w:p w:rsidR="00306C58" w:rsidRPr="00306C58" w:rsidRDefault="00306C58" w:rsidP="004E3BCC">
            <w:pPr>
              <w:spacing w:before="240"/>
              <w:jc w:val="center"/>
              <w:rPr>
                <w:rFonts w:ascii="Palatino Linotype" w:hAnsi="Palatino Linotype" w:cs="Times New Roman"/>
                <w:b/>
                <w:sz w:val="16"/>
                <w:szCs w:val="16"/>
              </w:rPr>
            </w:pPr>
            <w:r w:rsidRPr="00306C58">
              <w:rPr>
                <w:rFonts w:ascii="Palatino Linotype" w:hAnsi="Palatino Linotype" w:cs="Times New Roman"/>
                <w:b/>
                <w:sz w:val="16"/>
                <w:szCs w:val="16"/>
              </w:rPr>
              <w:t>DAT561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Japan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ST12 (CC12)</w:t>
            </w:r>
          </w:p>
        </w:tc>
        <w:tc>
          <w:tcPr>
            <w:tcW w:w="0" w:type="auto"/>
          </w:tcPr>
          <w:p w:rsidR="00306C58" w:rsidRPr="00306C58" w:rsidRDefault="00306C58" w:rsidP="000A1814">
            <w:pPr>
              <w:spacing w:before="240"/>
              <w:rPr>
                <w:rFonts w:ascii="Palatino Linotype" w:hAnsi="Palatino Linotype" w:cs="Times New Roman"/>
                <w:sz w:val="16"/>
                <w:szCs w:val="16"/>
              </w:rPr>
            </w:pPr>
            <w:r w:rsidRPr="00306C58">
              <w:rPr>
                <w:rFonts w:ascii="Palatino Linotype" w:hAnsi="Palatino Linotype" w:cs="Times New Roman"/>
                <w:sz w:val="16"/>
                <w:szCs w:val="16"/>
              </w:rPr>
              <w:t>Atypical strain</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2.045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1,595</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75</w:t>
            </w:r>
          </w:p>
        </w:tc>
        <w:tc>
          <w:tcPr>
            <w:tcW w:w="0" w:type="auto"/>
          </w:tcPr>
          <w:p w:rsidR="00306C58" w:rsidRPr="00306C58" w:rsidRDefault="008A3AF7" w:rsidP="004E3BCC">
            <w:pPr>
              <w:spacing w:before="240"/>
              <w:jc w:val="center"/>
              <w:rPr>
                <w:rFonts w:ascii="Palatino Linotype" w:hAnsi="Palatino Linotype" w:cs="Times New Roman"/>
                <w:sz w:val="16"/>
                <w:szCs w:val="16"/>
                <w:lang w:val="en-US"/>
              </w:rPr>
            </w:pPr>
            <w:r w:rsidRPr="008A3AF7">
              <w:rPr>
                <w:rFonts w:ascii="Palatino Linotype" w:hAnsi="Palatino Linotype" w:cs="Times New Roman"/>
                <w:sz w:val="16"/>
                <w:szCs w:val="16"/>
              </w:rPr>
              <w:t>pMP1</w:t>
            </w:r>
            <w:r>
              <w:rPr>
                <w:rFonts w:ascii="Palatino Linotype" w:hAnsi="Palatino Linotype" w:cs="Times New Roman"/>
                <w:sz w:val="16"/>
                <w:szCs w:val="16"/>
              </w:rPr>
              <w:t xml:space="preserve">, </w:t>
            </w:r>
            <w:r w:rsidR="00306C58">
              <w:rPr>
                <w:rFonts w:ascii="Palatino Linotype" w:hAnsi="Palatino Linotype" w:cs="Times New Roman"/>
                <w:sz w:val="16"/>
                <w:szCs w:val="16"/>
              </w:rPr>
              <w:t xml:space="preserve">pMP19 </w:t>
            </w:r>
            <w:r w:rsidR="00306C58" w:rsidRPr="00306C58">
              <w:rPr>
                <w:rFonts w:ascii="Palatino Linotype" w:hAnsi="Palatino Linotype" w:cs="Times New Roman"/>
                <w:sz w:val="16"/>
                <w:szCs w:val="16"/>
                <w:vertAlign w:val="superscript"/>
              </w:rPr>
              <w:t>c</w:t>
            </w:r>
          </w:p>
        </w:tc>
        <w:tc>
          <w:tcPr>
            <w:tcW w:w="0" w:type="auto"/>
          </w:tcPr>
          <w:p w:rsidR="00306C58" w:rsidRPr="00306C58" w:rsidRDefault="00306C58" w:rsidP="004E3BCC">
            <w:pPr>
              <w:spacing w:before="240"/>
              <w:jc w:val="center"/>
              <w:rPr>
                <w:rFonts w:ascii="Palatino Linotype" w:hAnsi="Palatino Linotype" w:cs="Times New Roman"/>
                <w:sz w:val="16"/>
                <w:szCs w:val="16"/>
                <w:lang w:val="en-US"/>
              </w:rPr>
            </w:pPr>
            <w:r w:rsidRPr="00306C58">
              <w:rPr>
                <w:rFonts w:ascii="Palatino Linotype" w:hAnsi="Palatino Linotype" w:cs="Times New Roman"/>
                <w:sz w:val="16"/>
                <w:szCs w:val="16"/>
                <w:lang w:val="en-US"/>
              </w:rPr>
              <w:t>Supplementary Data 1 (Original data NC_016938 and NC_018265.1)</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50x</w:t>
            </w:r>
          </w:p>
        </w:tc>
        <w:tc>
          <w:tcPr>
            <w:tcW w:w="0" w:type="auto"/>
          </w:tcPr>
          <w:p w:rsidR="00306C58" w:rsidRPr="00306C58" w:rsidRDefault="00306C58" w:rsidP="004E3BCC">
            <w:pPr>
              <w:spacing w:before="240"/>
              <w:jc w:val="center"/>
              <w:rPr>
                <w:rFonts w:ascii="Palatino Linotype" w:hAnsi="Palatino Linotype" w:cs="Times New Roman"/>
                <w:sz w:val="16"/>
                <w:szCs w:val="16"/>
              </w:rPr>
            </w:pPr>
            <w:r w:rsidRPr="00306C58">
              <w:rPr>
                <w:rFonts w:ascii="Palatino Linotype" w:hAnsi="Palatino Linotype" w:cs="Times New Roman"/>
                <w:sz w:val="16"/>
                <w:szCs w:val="16"/>
              </w:rPr>
              <w:t xml:space="preserve">Okumura </w:t>
            </w:r>
            <w:r w:rsidRPr="00306C58">
              <w:rPr>
                <w:rFonts w:ascii="Palatino Linotype" w:hAnsi="Palatino Linotype" w:cs="Times New Roman"/>
                <w:i/>
                <w:sz w:val="16"/>
                <w:szCs w:val="16"/>
              </w:rPr>
              <w:t>et al</w:t>
            </w:r>
            <w:r w:rsidRPr="00306C58">
              <w:rPr>
                <w:rFonts w:ascii="Palatino Linotype" w:hAnsi="Palatino Linotype" w:cs="Times New Roman"/>
                <w:sz w:val="16"/>
                <w:szCs w:val="16"/>
              </w:rPr>
              <w:t>. 2012</w:t>
            </w:r>
          </w:p>
        </w:tc>
      </w:tr>
    </w:tbl>
    <w:p w:rsidR="004E3BCC" w:rsidRPr="004E3BCC" w:rsidRDefault="004E3BCC" w:rsidP="004E3BCC">
      <w:pPr>
        <w:spacing w:after="0"/>
        <w:rPr>
          <w:rFonts w:ascii="Palatino Linotype" w:hAnsi="Palatino Linotype" w:cs="Times New Roman"/>
          <w:vertAlign w:val="superscript"/>
        </w:rPr>
      </w:pPr>
    </w:p>
    <w:p w:rsidR="004E3BCC" w:rsidRDefault="004E3BCC" w:rsidP="00F55AE6">
      <w:pPr>
        <w:spacing w:after="0"/>
        <w:jc w:val="both"/>
        <w:rPr>
          <w:rFonts w:ascii="Palatino Linotype" w:hAnsi="Palatino Linotype" w:cs="Times New Roman"/>
          <w:lang w:val="en-US"/>
        </w:rPr>
      </w:pPr>
      <w:r w:rsidRPr="004E3BCC">
        <w:rPr>
          <w:rFonts w:ascii="Palatino Linotype" w:hAnsi="Palatino Linotype" w:cs="Times New Roman"/>
          <w:vertAlign w:val="superscript"/>
          <w:lang w:val="en-US"/>
        </w:rPr>
        <w:t xml:space="preserve">a </w:t>
      </w:r>
      <w:r w:rsidRPr="004E3BCC">
        <w:rPr>
          <w:rFonts w:ascii="Palatino Linotype" w:hAnsi="Palatino Linotype" w:cs="Times New Roman"/>
          <w:lang w:val="en-US"/>
        </w:rPr>
        <w:t>Sequence type (ST) and clonal complex (CC)</w:t>
      </w:r>
      <w:r w:rsidR="00306C58">
        <w:rPr>
          <w:rFonts w:ascii="Palatino Linotype" w:hAnsi="Palatino Linotype" w:cs="Times New Roman"/>
          <w:lang w:val="en-US"/>
        </w:rPr>
        <w:t>,</w:t>
      </w:r>
      <w:r>
        <w:rPr>
          <w:rFonts w:ascii="Palatino Linotype" w:hAnsi="Palatino Linotype" w:cs="Times New Roman"/>
          <w:lang w:val="en-US"/>
        </w:rPr>
        <w:t xml:space="preserve"> </w:t>
      </w:r>
      <w:r w:rsidRPr="004E3BCC">
        <w:rPr>
          <w:rFonts w:ascii="Palatino Linotype" w:hAnsi="Palatino Linotype" w:cs="Times New Roman"/>
          <w:vertAlign w:val="superscript"/>
          <w:lang w:val="en-US"/>
        </w:rPr>
        <w:t xml:space="preserve">b </w:t>
      </w:r>
      <w:r w:rsidRPr="004E3BCC">
        <w:rPr>
          <w:rFonts w:ascii="Palatino Linotype" w:hAnsi="Palatino Linotype" w:cs="Times New Roman"/>
          <w:lang w:val="en-US"/>
        </w:rPr>
        <w:t>CDS stands for coding sequences</w:t>
      </w:r>
      <w:r w:rsidR="00306C58">
        <w:rPr>
          <w:rFonts w:ascii="Palatino Linotype" w:hAnsi="Palatino Linotype" w:cs="Times New Roman"/>
          <w:lang w:val="en-US"/>
        </w:rPr>
        <w:t xml:space="preserve">, </w:t>
      </w:r>
      <w:r w:rsidR="00306C58" w:rsidRPr="00306C58">
        <w:rPr>
          <w:rFonts w:ascii="Palatino Linotype" w:hAnsi="Palatino Linotype" w:cs="Times New Roman"/>
          <w:vertAlign w:val="superscript"/>
          <w:lang w:val="en-US"/>
        </w:rPr>
        <w:t>c</w:t>
      </w:r>
      <w:r w:rsidR="00306C58">
        <w:rPr>
          <w:rFonts w:ascii="Palatino Linotype" w:hAnsi="Palatino Linotype" w:cs="Times New Roman"/>
          <w:lang w:val="en-US"/>
        </w:rPr>
        <w:t xml:space="preserve"> recently identified </w:t>
      </w:r>
      <w:r w:rsidR="00CA589F">
        <w:rPr>
          <w:rFonts w:ascii="Palatino Linotype" w:hAnsi="Palatino Linotype" w:cs="Times New Roman"/>
          <w:lang w:val="en-US"/>
        </w:rPr>
        <w:t>in</w:t>
      </w:r>
      <w:r w:rsidR="00306C58">
        <w:rPr>
          <w:rFonts w:ascii="Palatino Linotype" w:hAnsi="Palatino Linotype" w:cs="Times New Roman"/>
          <w:lang w:val="en-US"/>
        </w:rPr>
        <w:t xml:space="preserve"> the new version of the genome (Okumura </w:t>
      </w:r>
      <w:r w:rsidR="00306C58" w:rsidRPr="00306C58">
        <w:rPr>
          <w:rFonts w:ascii="Palatino Linotype" w:hAnsi="Palatino Linotype" w:cs="Times New Roman"/>
          <w:i/>
          <w:lang w:val="en-US"/>
        </w:rPr>
        <w:t>et al</w:t>
      </w:r>
      <w:r w:rsidR="00306C58">
        <w:rPr>
          <w:rFonts w:ascii="Palatino Linotype" w:hAnsi="Palatino Linotype" w:cs="Times New Roman"/>
          <w:lang w:val="en-US"/>
        </w:rPr>
        <w:t>. 2018)</w:t>
      </w:r>
    </w:p>
    <w:p w:rsidR="004E3BCC" w:rsidRPr="004E3BCC" w:rsidRDefault="004E3BCC" w:rsidP="004E3BCC">
      <w:pPr>
        <w:spacing w:after="0"/>
        <w:rPr>
          <w:rFonts w:ascii="Palatino Linotype" w:hAnsi="Palatino Linotype" w:cs="Times New Roman"/>
          <w:lang w:val="en-US"/>
        </w:rPr>
      </w:pPr>
    </w:p>
    <w:p w:rsidR="004E3BCC" w:rsidRPr="004E3BCC" w:rsidRDefault="004E3BCC" w:rsidP="004E3BCC">
      <w:pPr>
        <w:rPr>
          <w:rFonts w:ascii="Palatino Linotype" w:hAnsi="Palatino Linotype" w:cs="Times New Roman"/>
          <w:b/>
          <w:lang w:val="en-US"/>
        </w:rPr>
      </w:pPr>
      <w:r w:rsidRPr="004E3BCC">
        <w:rPr>
          <w:rFonts w:ascii="Palatino Linotype" w:hAnsi="Palatino Linotype" w:cs="Times New Roman"/>
          <w:b/>
          <w:lang w:val="en-US"/>
        </w:rPr>
        <w:t>References:</w:t>
      </w:r>
    </w:p>
    <w:p w:rsidR="004E3BCC" w:rsidRPr="004E3BCC" w:rsidRDefault="004E3BCC" w:rsidP="004E3BCC">
      <w:pPr>
        <w:pStyle w:val="NormalWeb"/>
        <w:spacing w:before="0" w:beforeAutospacing="0" w:after="0" w:afterAutospacing="0"/>
        <w:ind w:left="480" w:hanging="480"/>
        <w:rPr>
          <w:rFonts w:ascii="Palatino Linotype" w:hAnsi="Palatino Linotype"/>
          <w:noProof/>
          <w:sz w:val="22"/>
          <w:szCs w:val="22"/>
          <w:lang w:val="en-US"/>
        </w:rPr>
      </w:pPr>
      <w:r w:rsidRPr="004E3BCC">
        <w:rPr>
          <w:rFonts w:ascii="Palatino Linotype" w:hAnsi="Palatino Linotype"/>
          <w:noProof/>
          <w:sz w:val="22"/>
          <w:szCs w:val="22"/>
          <w:lang w:val="en-US"/>
        </w:rPr>
        <w:t xml:space="preserve">Okumura, K., Arai, R., Okura, M., Kirikae, T., Takamatsu, D., Osaki, M., et al. (2011). Complete genome sequence of </w:t>
      </w:r>
      <w:r w:rsidRPr="004E3BCC">
        <w:rPr>
          <w:rFonts w:ascii="Palatino Linotype" w:hAnsi="Palatino Linotype"/>
          <w:i/>
          <w:noProof/>
          <w:sz w:val="22"/>
          <w:szCs w:val="22"/>
          <w:lang w:val="en-US"/>
        </w:rPr>
        <w:t>Melissococcus plutonius</w:t>
      </w:r>
      <w:r w:rsidRPr="004E3BCC">
        <w:rPr>
          <w:rFonts w:ascii="Palatino Linotype" w:hAnsi="Palatino Linotype"/>
          <w:noProof/>
          <w:sz w:val="22"/>
          <w:szCs w:val="22"/>
          <w:lang w:val="en-US"/>
        </w:rPr>
        <w:t xml:space="preserve"> ATCC 35311. </w:t>
      </w:r>
      <w:r>
        <w:rPr>
          <w:rFonts w:ascii="Palatino Linotype" w:hAnsi="Palatino Linotype"/>
          <w:i/>
          <w:iCs/>
          <w:noProof/>
          <w:sz w:val="22"/>
          <w:szCs w:val="22"/>
          <w:lang w:val="en-US"/>
        </w:rPr>
        <w:t>J</w:t>
      </w:r>
      <w:r w:rsidRPr="004E3BCC">
        <w:rPr>
          <w:rFonts w:ascii="Palatino Linotype" w:hAnsi="Palatino Linotype"/>
          <w:i/>
          <w:iCs/>
          <w:noProof/>
          <w:sz w:val="22"/>
          <w:szCs w:val="22"/>
          <w:lang w:val="en-US"/>
        </w:rPr>
        <w:t xml:space="preserve"> Bacteriol</w:t>
      </w:r>
      <w:r w:rsidRPr="004E3BCC">
        <w:rPr>
          <w:rFonts w:ascii="Palatino Linotype" w:hAnsi="Palatino Linotype"/>
          <w:noProof/>
          <w:sz w:val="22"/>
          <w:szCs w:val="22"/>
          <w:lang w:val="en-US"/>
        </w:rPr>
        <w:t xml:space="preserve"> 193, 4029–30. doi:10.1128/JB.05151-11.</w:t>
      </w:r>
    </w:p>
    <w:p w:rsidR="00306C58" w:rsidRDefault="004E3BCC" w:rsidP="00306C58">
      <w:pPr>
        <w:pStyle w:val="NormalWeb"/>
        <w:spacing w:before="0" w:beforeAutospacing="0" w:after="0" w:afterAutospacing="0"/>
        <w:ind w:left="480" w:hanging="480"/>
        <w:rPr>
          <w:rFonts w:ascii="Palatino Linotype" w:hAnsi="Palatino Linotype"/>
          <w:noProof/>
          <w:sz w:val="22"/>
          <w:szCs w:val="22"/>
          <w:lang w:val="en-US"/>
        </w:rPr>
      </w:pPr>
      <w:r w:rsidRPr="004E3BCC">
        <w:rPr>
          <w:rFonts w:ascii="Palatino Linotype" w:hAnsi="Palatino Linotype"/>
          <w:noProof/>
          <w:sz w:val="22"/>
          <w:szCs w:val="22"/>
          <w:lang w:val="en-US"/>
        </w:rPr>
        <w:t xml:space="preserve">Okumura, K., Arai, R., Okura, M., Kirikae, T., Takamatsu, D., Osaki, M., et al. (2012). Complete genome sequence of </w:t>
      </w:r>
      <w:r w:rsidRPr="004E3BCC">
        <w:rPr>
          <w:rFonts w:ascii="Palatino Linotype" w:hAnsi="Palatino Linotype"/>
          <w:i/>
          <w:noProof/>
          <w:sz w:val="22"/>
          <w:szCs w:val="22"/>
          <w:lang w:val="en-US"/>
        </w:rPr>
        <w:t>Melissococcus plutonius</w:t>
      </w:r>
      <w:r w:rsidRPr="004E3BCC">
        <w:rPr>
          <w:rFonts w:ascii="Palatino Linotype" w:hAnsi="Palatino Linotype"/>
          <w:noProof/>
          <w:sz w:val="22"/>
          <w:szCs w:val="22"/>
          <w:lang w:val="en-US"/>
        </w:rPr>
        <w:t xml:space="preserve"> DAT561, a strain that shows an unusual growth profile and is representative of an endemic cluster in Japan. </w:t>
      </w:r>
      <w:r w:rsidRPr="004E3BCC">
        <w:rPr>
          <w:rFonts w:ascii="Palatino Linotype" w:hAnsi="Palatino Linotype"/>
          <w:i/>
          <w:iCs/>
          <w:noProof/>
          <w:sz w:val="22"/>
          <w:szCs w:val="22"/>
          <w:lang w:val="en-US"/>
        </w:rPr>
        <w:t>J Bacteriol</w:t>
      </w:r>
      <w:r w:rsidRPr="004E3BCC">
        <w:rPr>
          <w:rFonts w:ascii="Palatino Linotype" w:hAnsi="Palatino Linotype"/>
          <w:noProof/>
          <w:sz w:val="22"/>
          <w:szCs w:val="22"/>
          <w:lang w:val="en-US"/>
        </w:rPr>
        <w:t xml:space="preserve"> 194, 3014. </w:t>
      </w:r>
      <w:r w:rsidRPr="00306C58">
        <w:rPr>
          <w:rFonts w:ascii="Palatino Linotype" w:hAnsi="Palatino Linotype"/>
          <w:noProof/>
          <w:sz w:val="22"/>
          <w:szCs w:val="22"/>
          <w:lang w:val="en-US"/>
        </w:rPr>
        <w:t>doi:10.1128/JB.00437-12.</w:t>
      </w:r>
    </w:p>
    <w:p w:rsidR="005B36A7" w:rsidRDefault="00306C58" w:rsidP="00306C58">
      <w:pPr>
        <w:pStyle w:val="NormalWeb"/>
        <w:spacing w:before="0" w:beforeAutospacing="0" w:after="0" w:afterAutospacing="0"/>
        <w:ind w:left="480" w:hanging="480"/>
        <w:rPr>
          <w:rFonts w:ascii="Palatino Linotype" w:hAnsi="Palatino Linotype"/>
          <w:sz w:val="22"/>
          <w:lang w:val="en-US"/>
        </w:rPr>
      </w:pPr>
      <w:r w:rsidRPr="00306C58">
        <w:rPr>
          <w:rFonts w:ascii="Palatino Linotype" w:hAnsi="Palatino Linotype"/>
          <w:sz w:val="22"/>
          <w:lang w:val="en-US"/>
        </w:rPr>
        <w:t xml:space="preserve">Okumura, K., Takamatsu. D., Okura, M. (2018) Complete genome sequence of </w:t>
      </w:r>
      <w:r w:rsidRPr="00306C58">
        <w:rPr>
          <w:rFonts w:ascii="Palatino Linotype" w:hAnsi="Palatino Linotype"/>
          <w:i/>
          <w:sz w:val="22"/>
          <w:lang w:val="en-US"/>
        </w:rPr>
        <w:t>Melissococcus plutonius</w:t>
      </w:r>
      <w:r w:rsidRPr="00306C58">
        <w:rPr>
          <w:rFonts w:ascii="Palatino Linotype" w:hAnsi="Palatino Linotype"/>
          <w:sz w:val="22"/>
          <w:lang w:val="en-US"/>
        </w:rPr>
        <w:t xml:space="preserve"> DAT561, a strain that shows an unusual growth profile, obtained by </w:t>
      </w:r>
      <w:proofErr w:type="spellStart"/>
      <w:r w:rsidRPr="00306C58">
        <w:rPr>
          <w:rFonts w:ascii="Palatino Linotype" w:hAnsi="Palatino Linotype"/>
          <w:sz w:val="22"/>
          <w:lang w:val="en-US"/>
        </w:rPr>
        <w:t>PacBio</w:t>
      </w:r>
      <w:proofErr w:type="spellEnd"/>
      <w:r w:rsidRPr="00306C58">
        <w:rPr>
          <w:rFonts w:ascii="Palatino Linotype" w:hAnsi="Palatino Linotype"/>
          <w:sz w:val="22"/>
          <w:lang w:val="en-US"/>
        </w:rPr>
        <w:t xml:space="preserve"> sequencing. </w:t>
      </w:r>
      <w:r w:rsidRPr="00306C58">
        <w:rPr>
          <w:rFonts w:ascii="Palatino Linotype" w:hAnsi="Palatino Linotype"/>
          <w:i/>
          <w:sz w:val="22"/>
          <w:lang w:val="en-US"/>
        </w:rPr>
        <w:t xml:space="preserve">Genome </w:t>
      </w:r>
      <w:proofErr w:type="spellStart"/>
      <w:r w:rsidRPr="00306C58">
        <w:rPr>
          <w:rFonts w:ascii="Palatino Linotype" w:hAnsi="Palatino Linotype"/>
          <w:i/>
          <w:sz w:val="22"/>
          <w:lang w:val="en-US"/>
        </w:rPr>
        <w:t>Announc</w:t>
      </w:r>
      <w:proofErr w:type="spellEnd"/>
      <w:r w:rsidRPr="00306C58">
        <w:rPr>
          <w:rFonts w:ascii="Palatino Linotype" w:hAnsi="Palatino Linotype"/>
          <w:sz w:val="22"/>
          <w:lang w:val="en-US"/>
        </w:rPr>
        <w:t xml:space="preserve"> 6: e00431-18. doi:10.1128/genomeA.00431-18.</w:t>
      </w:r>
    </w:p>
    <w:p w:rsidR="000A1814" w:rsidRDefault="000A1814">
      <w:pPr>
        <w:rPr>
          <w:rFonts w:ascii="Palatino Linotype" w:eastAsiaTheme="minorEastAsia" w:hAnsi="Palatino Linotype" w:cs="Times New Roman"/>
          <w:szCs w:val="24"/>
          <w:lang w:val="en-US" w:eastAsia="de-DE"/>
        </w:rPr>
      </w:pPr>
      <w:r>
        <w:rPr>
          <w:rFonts w:ascii="Palatino Linotype" w:hAnsi="Palatino Linotype"/>
          <w:lang w:val="en-US"/>
        </w:rPr>
        <w:br w:type="page"/>
      </w:r>
    </w:p>
    <w:p w:rsidR="000A1814" w:rsidRDefault="000A1814" w:rsidP="00306C58">
      <w:pPr>
        <w:pStyle w:val="NormalWeb"/>
        <w:spacing w:before="0" w:beforeAutospacing="0" w:after="0" w:afterAutospacing="0"/>
        <w:ind w:left="480" w:hanging="480"/>
        <w:rPr>
          <w:rFonts w:ascii="Palatino Linotype" w:hAnsi="Palatino Linotype"/>
          <w:sz w:val="22"/>
          <w:lang w:val="en-US"/>
        </w:rPr>
      </w:pPr>
    </w:p>
    <w:p w:rsidR="000A1814" w:rsidRPr="004E3BCC" w:rsidRDefault="000A1814" w:rsidP="000A1814">
      <w:pPr>
        <w:rPr>
          <w:rFonts w:ascii="Palatino Linotype" w:hAnsi="Palatino Linotype" w:cs="Times New Roman"/>
          <w:lang w:val="en-US"/>
        </w:rPr>
      </w:pPr>
      <w:r w:rsidRPr="004E3BCC">
        <w:rPr>
          <w:rFonts w:ascii="Palatino Linotype" w:hAnsi="Palatino Linotype" w:cs="Times New Roman"/>
          <w:b/>
          <w:lang w:val="en-US"/>
        </w:rPr>
        <w:t xml:space="preserve">Table </w:t>
      </w:r>
      <w:r>
        <w:rPr>
          <w:rFonts w:ascii="Palatino Linotype" w:hAnsi="Palatino Linotype" w:cs="Times New Roman"/>
          <w:b/>
          <w:lang w:val="en-US"/>
        </w:rPr>
        <w:t>S3.</w:t>
      </w:r>
      <w:r w:rsidRPr="004E3BCC">
        <w:rPr>
          <w:rFonts w:ascii="Palatino Linotype" w:hAnsi="Palatino Linotype" w:cs="Times New Roman"/>
          <w:lang w:val="en-US"/>
        </w:rPr>
        <w:t xml:space="preserve"> </w:t>
      </w:r>
      <w:r>
        <w:rPr>
          <w:rFonts w:ascii="Palatino Linotype" w:hAnsi="Palatino Linotype" w:cs="Times New Roman"/>
          <w:b/>
          <w:lang w:val="en-US"/>
        </w:rPr>
        <w:t xml:space="preserve">CheckM results for </w:t>
      </w:r>
      <w:r w:rsidR="00270C04" w:rsidRPr="00270C04">
        <w:rPr>
          <w:rFonts w:ascii="Palatino Linotype" w:hAnsi="Palatino Linotype" w:cs="Times New Roman"/>
          <w:b/>
          <w:i/>
          <w:lang w:val="en-US"/>
        </w:rPr>
        <w:t>M. plutonius</w:t>
      </w:r>
      <w:r w:rsidR="00270C04">
        <w:rPr>
          <w:rFonts w:ascii="Palatino Linotype" w:hAnsi="Palatino Linotype" w:cs="Times New Roman"/>
          <w:b/>
          <w:lang w:val="en-US"/>
        </w:rPr>
        <w:t xml:space="preserve"> </w:t>
      </w:r>
      <w:r>
        <w:rPr>
          <w:rFonts w:ascii="Palatino Linotype" w:hAnsi="Palatino Linotype" w:cs="Times New Roman"/>
          <w:b/>
          <w:lang w:val="en-US"/>
        </w:rPr>
        <w:t>genome completeness</w:t>
      </w:r>
      <w:r w:rsidR="00270C04">
        <w:rPr>
          <w:rFonts w:ascii="Palatino Linotype" w:hAnsi="Palatino Linotype" w:cs="Times New Roman"/>
          <w:b/>
          <w:lang w:val="en-US"/>
        </w:rPr>
        <w:t>,</w:t>
      </w:r>
      <w:r>
        <w:rPr>
          <w:rFonts w:ascii="Palatino Linotype" w:hAnsi="Palatino Linotype" w:cs="Times New Roman"/>
          <w:b/>
          <w:lang w:val="en-US"/>
        </w:rPr>
        <w:t xml:space="preserve"> based on the marker </w:t>
      </w:r>
      <w:r w:rsidR="006D52AA">
        <w:rPr>
          <w:rFonts w:ascii="Palatino Linotype" w:hAnsi="Palatino Linotype" w:cs="Times New Roman"/>
          <w:b/>
          <w:lang w:val="en-US"/>
        </w:rPr>
        <w:t>set</w:t>
      </w:r>
      <w:r>
        <w:rPr>
          <w:rFonts w:ascii="Palatino Linotype" w:hAnsi="Palatino Linotype" w:cs="Times New Roman"/>
          <w:b/>
          <w:lang w:val="en-US"/>
        </w:rPr>
        <w:t xml:space="preserve"> for </w:t>
      </w:r>
      <w:r w:rsidRPr="000A1814">
        <w:rPr>
          <w:rFonts w:ascii="Palatino Linotype" w:hAnsi="Palatino Linotype" w:cs="Times New Roman"/>
          <w:b/>
          <w:i/>
          <w:lang w:val="en-US"/>
        </w:rPr>
        <w:t>Enterococcaceae</w:t>
      </w:r>
      <w:r>
        <w:rPr>
          <w:rFonts w:ascii="Palatino Linotype" w:hAnsi="Palatino Linotype" w:cs="Times New Roman"/>
          <w:b/>
          <w:lang w:val="en-US"/>
        </w:rPr>
        <w:t xml:space="preserve"> (with 55 genomes)</w:t>
      </w:r>
      <w:r w:rsidRPr="004E3BCC">
        <w:rPr>
          <w:rFonts w:ascii="Palatino Linotype" w:hAnsi="Palatino Linotype" w:cs="Times New Roman"/>
          <w:b/>
          <w:lang w:val="en-US"/>
        </w:rPr>
        <w:t>.</w:t>
      </w:r>
    </w:p>
    <w:p w:rsidR="000A1814" w:rsidRDefault="000A1814" w:rsidP="00306C58">
      <w:pPr>
        <w:pStyle w:val="NormalWeb"/>
        <w:spacing w:before="0" w:beforeAutospacing="0" w:after="0" w:afterAutospacing="0"/>
        <w:ind w:left="480" w:hanging="480"/>
        <w:rPr>
          <w:rFonts w:ascii="Palatino Linotype" w:hAnsi="Palatino Linotype"/>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3"/>
        <w:gridCol w:w="907"/>
        <w:gridCol w:w="1212"/>
        <w:gridCol w:w="340"/>
        <w:gridCol w:w="440"/>
        <w:gridCol w:w="240"/>
        <w:gridCol w:w="240"/>
        <w:gridCol w:w="240"/>
        <w:gridCol w:w="340"/>
        <w:gridCol w:w="1429"/>
        <w:gridCol w:w="1518"/>
        <w:gridCol w:w="1440"/>
        <w:gridCol w:w="590"/>
        <w:gridCol w:w="1546"/>
      </w:tblGrid>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Strain</w:t>
            </w:r>
          </w:p>
        </w:tc>
        <w:tc>
          <w:tcPr>
            <w:tcW w:w="0" w:type="auto"/>
            <w:shd w:val="clear" w:color="auto" w:fill="auto"/>
            <w:noWrap/>
            <w:vAlign w:val="bottom"/>
            <w:hideMark/>
          </w:tcPr>
          <w:p w:rsidR="000A1814" w:rsidRPr="008C25C5" w:rsidRDefault="008C25C5" w:rsidP="008C25C5">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M</w:t>
            </w:r>
            <w:r w:rsidR="000A1814" w:rsidRPr="008C25C5">
              <w:rPr>
                <w:rFonts w:ascii="Palatino Linotype" w:eastAsia="Times New Roman" w:hAnsi="Palatino Linotype" w:cs="Times New Roman"/>
                <w:b/>
                <w:color w:val="000000"/>
                <w:sz w:val="20"/>
                <w:szCs w:val="20"/>
                <w:lang w:eastAsia="de-DE"/>
              </w:rPr>
              <w:t>arkers</w:t>
            </w:r>
          </w:p>
        </w:tc>
        <w:tc>
          <w:tcPr>
            <w:tcW w:w="0" w:type="auto"/>
            <w:shd w:val="clear" w:color="auto" w:fill="auto"/>
            <w:noWrap/>
            <w:vAlign w:val="bottom"/>
            <w:hideMark/>
          </w:tcPr>
          <w:p w:rsidR="000A1814" w:rsidRPr="008C25C5" w:rsidRDefault="008C25C5"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M</w:t>
            </w:r>
            <w:r w:rsidR="000A1814" w:rsidRPr="008C25C5">
              <w:rPr>
                <w:rFonts w:ascii="Palatino Linotype" w:eastAsia="Times New Roman" w:hAnsi="Palatino Linotype" w:cs="Times New Roman"/>
                <w:b/>
                <w:color w:val="000000"/>
                <w:sz w:val="20"/>
                <w:szCs w:val="20"/>
                <w:lang w:eastAsia="de-DE"/>
              </w:rPr>
              <w:t>arker sets</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1</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4</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Completeness</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Contamination</w:t>
            </w:r>
          </w:p>
        </w:tc>
        <w:tc>
          <w:tcPr>
            <w:tcW w:w="0" w:type="auto"/>
            <w:shd w:val="clear" w:color="auto" w:fill="auto"/>
            <w:noWrap/>
            <w:vAlign w:val="bottom"/>
            <w:hideMark/>
          </w:tcPr>
          <w:p w:rsidR="000A1814" w:rsidRPr="008C25C5" w:rsidRDefault="008C25C5"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H</w:t>
            </w:r>
            <w:r w:rsidR="000A1814" w:rsidRPr="008C25C5">
              <w:rPr>
                <w:rFonts w:ascii="Palatino Linotype" w:eastAsia="Times New Roman" w:hAnsi="Palatino Linotype" w:cs="Times New Roman"/>
                <w:b/>
                <w:color w:val="000000"/>
                <w:sz w:val="20"/>
                <w:szCs w:val="20"/>
                <w:lang w:eastAsia="de-DE"/>
              </w:rPr>
              <w:t>eterogeneity</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GC</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color w:val="000000"/>
                <w:sz w:val="20"/>
                <w:szCs w:val="20"/>
                <w:lang w:eastAsia="de-DE"/>
              </w:rPr>
              <w:t>Coding density</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119</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94.17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09</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80</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00</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21.1</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07</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71</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49.3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08</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7</w:t>
            </w:r>
            <w:r w:rsidR="008C25C5" w:rsidRPr="008C25C5">
              <w:rPr>
                <w:rFonts w:ascii="Palatino Linotype" w:eastAsia="Times New Roman" w:hAnsi="Palatino Linotype" w:cs="Times New Roman"/>
                <w:color w:val="000000"/>
                <w:sz w:val="20"/>
                <w:szCs w:val="20"/>
                <w:lang w:eastAsia="de-DE"/>
              </w:rPr>
              <w:t>2</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60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05</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75</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764-5B</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09</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8</w:t>
            </w:r>
            <w:r w:rsidR="008C25C5" w:rsidRPr="008C25C5">
              <w:rPr>
                <w:rFonts w:ascii="Palatino Linotype" w:eastAsia="Times New Roman" w:hAnsi="Palatino Linotype" w:cs="Times New Roman"/>
                <w:color w:val="000000"/>
                <w:sz w:val="20"/>
                <w:szCs w:val="20"/>
                <w:lang w:eastAsia="de-DE"/>
              </w:rPr>
              <w:t>9</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765-6B</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09</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8</w:t>
            </w:r>
            <w:r w:rsidR="008C25C5" w:rsidRPr="008C25C5">
              <w:rPr>
                <w:rFonts w:ascii="Palatino Linotype" w:eastAsia="Times New Roman" w:hAnsi="Palatino Linotype" w:cs="Times New Roman"/>
                <w:color w:val="000000"/>
                <w:sz w:val="20"/>
                <w:szCs w:val="20"/>
                <w:lang w:eastAsia="de-DE"/>
              </w:rPr>
              <w:t>6</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82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94.17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06</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87</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90.0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94.17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12</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80</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w:t>
            </w:r>
            <w:r w:rsidR="008C25C5" w:rsidRPr="008C25C5">
              <w:rPr>
                <w:rFonts w:ascii="Palatino Linotype" w:eastAsia="Times New Roman" w:hAnsi="Palatino Linotype" w:cs="Times New Roman"/>
                <w:color w:val="000000"/>
                <w:sz w:val="20"/>
                <w:szCs w:val="20"/>
                <w:lang w:eastAsia="de-DE"/>
              </w:rPr>
              <w:t>2</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ATCC 35311</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18</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524</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93.92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24</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16</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B5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11</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80</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w:t>
            </w:r>
            <w:r w:rsidR="008C25C5" w:rsidRPr="008C25C5">
              <w:rPr>
                <w:rFonts w:ascii="Palatino Linotype" w:eastAsia="Times New Roman" w:hAnsi="Palatino Linotype" w:cs="Times New Roman"/>
                <w:color w:val="000000"/>
                <w:sz w:val="20"/>
                <w:szCs w:val="20"/>
                <w:lang w:eastAsia="de-DE"/>
              </w:rPr>
              <w:t>2</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DAT561</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94.26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22</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3</w:t>
            </w:r>
            <w:r w:rsidR="008C25C5" w:rsidRPr="008C25C5">
              <w:rPr>
                <w:rFonts w:ascii="Palatino Linotype" w:eastAsia="Times New Roman" w:hAnsi="Palatino Linotype" w:cs="Times New Roman"/>
                <w:color w:val="000000"/>
                <w:sz w:val="20"/>
                <w:szCs w:val="20"/>
                <w:lang w:eastAsia="de-DE"/>
              </w:rPr>
              <w:t>8</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H6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07</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6</w:t>
            </w:r>
            <w:r w:rsidR="008C25C5" w:rsidRPr="008C25C5">
              <w:rPr>
                <w:rFonts w:ascii="Palatino Linotype" w:eastAsia="Times New Roman" w:hAnsi="Palatino Linotype" w:cs="Times New Roman"/>
                <w:color w:val="000000"/>
                <w:sz w:val="20"/>
                <w:szCs w:val="20"/>
                <w:lang w:eastAsia="de-DE"/>
              </w:rPr>
              <w:t>8</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L9  </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07</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83</w:t>
            </w:r>
          </w:p>
        </w:tc>
      </w:tr>
      <w:tr w:rsidR="000A1814" w:rsidRPr="008C25C5" w:rsidTr="000A1814">
        <w:trPr>
          <w:trHeight w:val="300"/>
        </w:trPr>
        <w:tc>
          <w:tcPr>
            <w:tcW w:w="0" w:type="auto"/>
            <w:shd w:val="clear" w:color="auto" w:fill="auto"/>
            <w:noWrap/>
            <w:vAlign w:val="bottom"/>
            <w:hideMark/>
          </w:tcPr>
          <w:p w:rsidR="000A1814" w:rsidRPr="008C25C5" w:rsidRDefault="000A1814" w:rsidP="000A1814">
            <w:pPr>
              <w:spacing w:after="0" w:line="240" w:lineRule="auto"/>
              <w:rPr>
                <w:rFonts w:ascii="Palatino Linotype" w:eastAsia="Times New Roman" w:hAnsi="Palatino Linotype" w:cs="Times New Roman"/>
                <w:b/>
                <w:color w:val="000000"/>
                <w:sz w:val="20"/>
                <w:szCs w:val="20"/>
                <w:lang w:eastAsia="de-DE"/>
              </w:rPr>
            </w:pPr>
            <w:r w:rsidRPr="008C25C5">
              <w:rPr>
                <w:rFonts w:ascii="Palatino Linotype" w:eastAsia="Times New Roman" w:hAnsi="Palatino Linotype" w:cs="Times New Roman"/>
                <w:b/>
                <w:i/>
                <w:iCs/>
                <w:color w:val="000000"/>
                <w:sz w:val="20"/>
                <w:szCs w:val="20"/>
                <w:lang w:eastAsia="de-DE"/>
              </w:rPr>
              <w:t>M. plutonius</w:t>
            </w:r>
            <w:r w:rsidRPr="008C25C5">
              <w:rPr>
                <w:rFonts w:ascii="Palatino Linotype" w:eastAsia="Times New Roman" w:hAnsi="Palatino Linotype" w:cs="Times New Roman"/>
                <w:b/>
                <w:color w:val="000000"/>
                <w:sz w:val="20"/>
                <w:szCs w:val="20"/>
                <w:lang w:eastAsia="de-DE"/>
              </w:rPr>
              <w:t xml:space="preserve"> S1</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542</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226</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17</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525</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93.73</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0A1814">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0.00</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31</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23</w:t>
            </w:r>
          </w:p>
        </w:tc>
        <w:tc>
          <w:tcPr>
            <w:tcW w:w="0" w:type="auto"/>
            <w:shd w:val="clear" w:color="auto" w:fill="auto"/>
            <w:noWrap/>
            <w:vAlign w:val="bottom"/>
            <w:hideMark/>
          </w:tcPr>
          <w:p w:rsidR="000A1814" w:rsidRPr="008C25C5" w:rsidRDefault="000A1814" w:rsidP="008C25C5">
            <w:pPr>
              <w:spacing w:after="0" w:line="240" w:lineRule="auto"/>
              <w:jc w:val="center"/>
              <w:rPr>
                <w:rFonts w:ascii="Palatino Linotype" w:eastAsia="Times New Roman" w:hAnsi="Palatino Linotype" w:cs="Times New Roman"/>
                <w:color w:val="000000"/>
                <w:sz w:val="20"/>
                <w:szCs w:val="20"/>
                <w:lang w:eastAsia="de-DE"/>
              </w:rPr>
            </w:pPr>
            <w:r w:rsidRPr="008C25C5">
              <w:rPr>
                <w:rFonts w:ascii="Palatino Linotype" w:eastAsia="Times New Roman" w:hAnsi="Palatino Linotype" w:cs="Times New Roman"/>
                <w:color w:val="000000"/>
                <w:sz w:val="20"/>
                <w:szCs w:val="20"/>
                <w:lang w:eastAsia="de-DE"/>
              </w:rPr>
              <w:t>79</w:t>
            </w:r>
            <w:r w:rsidR="008C25C5" w:rsidRPr="008C25C5">
              <w:rPr>
                <w:rFonts w:ascii="Palatino Linotype" w:eastAsia="Times New Roman" w:hAnsi="Palatino Linotype" w:cs="Times New Roman"/>
                <w:color w:val="000000"/>
                <w:sz w:val="20"/>
                <w:szCs w:val="20"/>
                <w:lang w:eastAsia="de-DE"/>
              </w:rPr>
              <w:t>.</w:t>
            </w:r>
            <w:r w:rsidRPr="008C25C5">
              <w:rPr>
                <w:rFonts w:ascii="Palatino Linotype" w:eastAsia="Times New Roman" w:hAnsi="Palatino Linotype" w:cs="Times New Roman"/>
                <w:color w:val="000000"/>
                <w:sz w:val="20"/>
                <w:szCs w:val="20"/>
                <w:lang w:eastAsia="de-DE"/>
              </w:rPr>
              <w:t>16</w:t>
            </w:r>
          </w:p>
        </w:tc>
      </w:tr>
    </w:tbl>
    <w:p w:rsidR="000A1814" w:rsidRPr="00306C58" w:rsidRDefault="000A1814" w:rsidP="00306C58">
      <w:pPr>
        <w:pStyle w:val="NormalWeb"/>
        <w:spacing w:before="0" w:beforeAutospacing="0" w:after="0" w:afterAutospacing="0"/>
        <w:ind w:left="480" w:hanging="480"/>
        <w:rPr>
          <w:rFonts w:ascii="Palatino Linotype" w:hAnsi="Palatino Linotype"/>
          <w:sz w:val="22"/>
          <w:lang w:val="en-US"/>
        </w:rPr>
      </w:pPr>
    </w:p>
    <w:sectPr w:rsidR="000A1814" w:rsidRPr="00306C58" w:rsidSect="004E3BCC">
      <w:pgSz w:w="16838" w:h="11906" w:orient="landscape"/>
      <w:pgMar w:top="851" w:right="1417" w:bottom="709"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36A7"/>
    <w:rsid w:val="00000EE8"/>
    <w:rsid w:val="00032C95"/>
    <w:rsid w:val="000A1814"/>
    <w:rsid w:val="001C0A9B"/>
    <w:rsid w:val="00270C04"/>
    <w:rsid w:val="00306C58"/>
    <w:rsid w:val="003A2D95"/>
    <w:rsid w:val="003A6390"/>
    <w:rsid w:val="003B46BC"/>
    <w:rsid w:val="004E3BCC"/>
    <w:rsid w:val="00566DF5"/>
    <w:rsid w:val="005B36A7"/>
    <w:rsid w:val="006D52AA"/>
    <w:rsid w:val="00723985"/>
    <w:rsid w:val="00873BC5"/>
    <w:rsid w:val="008A3AF7"/>
    <w:rsid w:val="008C25C5"/>
    <w:rsid w:val="00A8469B"/>
    <w:rsid w:val="00B4185A"/>
    <w:rsid w:val="00CA589F"/>
    <w:rsid w:val="00DA3183"/>
    <w:rsid w:val="00E751C3"/>
    <w:rsid w:val="00F55AE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C69EDECD-D3A6-429E-BA71-4A71C0A4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3authornames">
    <w:name w:val="MDPI_1.3_authornames"/>
    <w:basedOn w:val="Normal"/>
    <w:next w:val="MDPI14history"/>
    <w:qFormat/>
    <w:rsid w:val="005B36A7"/>
    <w:pPr>
      <w:adjustRightInd w:val="0"/>
      <w:snapToGrid w:val="0"/>
      <w:spacing w:after="12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
    <w:next w:val="Normal"/>
    <w:qFormat/>
    <w:rsid w:val="005B36A7"/>
    <w:pPr>
      <w:adjustRightInd w:val="0"/>
      <w:snapToGrid w:val="0"/>
      <w:spacing w:before="120" w:after="0" w:line="200" w:lineRule="atLeast"/>
      <w:ind w:left="113"/>
    </w:pPr>
    <w:rPr>
      <w:rFonts w:ascii="Palatino Linotype" w:eastAsia="Times New Roman" w:hAnsi="Palatino Linotype" w:cs="Times New Roman"/>
      <w:color w:val="000000"/>
      <w:sz w:val="18"/>
      <w:szCs w:val="20"/>
      <w:lang w:val="en-US" w:eastAsia="de-DE" w:bidi="en-US"/>
    </w:rPr>
  </w:style>
  <w:style w:type="paragraph" w:customStyle="1" w:styleId="MDPI16affiliation">
    <w:name w:val="MDPI_1.6_affiliation"/>
    <w:basedOn w:val="Normal"/>
    <w:qFormat/>
    <w:rsid w:val="005B36A7"/>
    <w:pPr>
      <w:adjustRightInd w:val="0"/>
      <w:snapToGrid w:val="0"/>
      <w:spacing w:after="0" w:line="200" w:lineRule="atLeast"/>
      <w:ind w:left="311" w:hanging="198"/>
    </w:pPr>
    <w:rPr>
      <w:rFonts w:ascii="Palatino Linotype" w:eastAsia="Times New Roman" w:hAnsi="Palatino Linotype" w:cs="Times New Roman"/>
      <w:color w:val="000000"/>
      <w:sz w:val="18"/>
      <w:szCs w:val="18"/>
      <w:lang w:val="en-US" w:eastAsia="de-DE" w:bidi="en-US"/>
    </w:rPr>
  </w:style>
  <w:style w:type="table" w:styleId="TableGrid">
    <w:name w:val="Table Grid"/>
    <w:basedOn w:val="TableNormal"/>
    <w:uiPriority w:val="59"/>
    <w:rsid w:val="00000E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00EE8"/>
    <w:pPr>
      <w:spacing w:before="100" w:beforeAutospacing="1" w:after="100" w:afterAutospacing="1" w:line="240" w:lineRule="auto"/>
    </w:pPr>
    <w:rPr>
      <w:rFonts w:ascii="Times New Roman" w:eastAsiaTheme="minorEastAsia" w:hAnsi="Times New Roman" w:cs="Times New Roman"/>
      <w:sz w:val="24"/>
      <w:szCs w:val="24"/>
      <w:lang w:eastAsia="de-DE"/>
    </w:rPr>
  </w:style>
  <w:style w:type="paragraph" w:styleId="BalloonText">
    <w:name w:val="Balloon Text"/>
    <w:basedOn w:val="Normal"/>
    <w:link w:val="BalloonTextChar"/>
    <w:uiPriority w:val="99"/>
    <w:semiHidden/>
    <w:unhideWhenUsed/>
    <w:rsid w:val="00306C5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6C5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4049517">
      <w:bodyDiv w:val="1"/>
      <w:marLeft w:val="0"/>
      <w:marRight w:val="0"/>
      <w:marTop w:val="0"/>
      <w:marBottom w:val="0"/>
      <w:divBdr>
        <w:top w:val="none" w:sz="0" w:space="0" w:color="auto"/>
        <w:left w:val="none" w:sz="0" w:space="0" w:color="auto"/>
        <w:bottom w:val="none" w:sz="0" w:space="0" w:color="auto"/>
        <w:right w:val="none" w:sz="0" w:space="0" w:color="auto"/>
      </w:divBdr>
    </w:div>
    <w:div w:id="882136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1418</Words>
  <Characters>8936</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Silvio</dc:creator>
  <cp:keywords/>
  <dc:description/>
  <cp:lastModifiedBy>Silvio</cp:lastModifiedBy>
  <cp:revision>11</cp:revision>
  <cp:lastPrinted>2018-05-17T16:42:00Z</cp:lastPrinted>
  <dcterms:created xsi:type="dcterms:W3CDTF">2018-06-14T15:29:00Z</dcterms:created>
  <dcterms:modified xsi:type="dcterms:W3CDTF">2018-07-31T14:21:00Z</dcterms:modified>
</cp:coreProperties>
</file>