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524D" w:rsidRPr="00C51F06" w:rsidRDefault="0011524D" w:rsidP="0011524D">
      <w:pPr>
        <w:pStyle w:val="ListParagraph"/>
        <w:spacing w:afterLines="50" w:after="180"/>
        <w:ind w:leftChars="0" w:left="482"/>
        <w:jc w:val="center"/>
        <w:rPr>
          <w:rFonts w:ascii="Times New Roman" w:eastAsia="DFKai-SB" w:hAnsi="Times New Roman" w:cs="Times New Roman"/>
        </w:rPr>
      </w:pPr>
      <w:r w:rsidRPr="00C51F06">
        <w:rPr>
          <w:rFonts w:ascii="Times New Roman" w:eastAsia="DFKai-SB" w:hAnsi="Times New Roman" w:cs="Times New Roman" w:hint="eastAsia"/>
        </w:rPr>
        <w:t xml:space="preserve">Table </w:t>
      </w:r>
      <w:r w:rsidR="008F4A25">
        <w:rPr>
          <w:rFonts w:ascii="Times New Roman" w:eastAsia="DFKai-SB" w:hAnsi="Times New Roman" w:cs="Times New Roman"/>
        </w:rPr>
        <w:t>S</w:t>
      </w:r>
      <w:r w:rsidRPr="00C51F06">
        <w:rPr>
          <w:rFonts w:ascii="Times New Roman" w:eastAsia="DFKai-SB" w:hAnsi="Times New Roman" w:cs="Times New Roman" w:hint="eastAsia"/>
        </w:rPr>
        <w:t xml:space="preserve">1 The water budget </w:t>
      </w:r>
      <w:r w:rsidRPr="00C51F06">
        <w:rPr>
          <w:rFonts w:ascii="Times New Roman" w:eastAsia="DFKai-SB" w:hAnsi="Times New Roman" w:cs="Times New Roman"/>
        </w:rPr>
        <w:t>of Pingtung Plain in 1999</w:t>
      </w:r>
      <w:r w:rsidR="008F4A25">
        <w:rPr>
          <w:rFonts w:ascii="Times New Roman" w:eastAsia="DFKai-SB" w:hAnsi="Times New Roman" w:cs="Times New Roman"/>
        </w:rPr>
        <w:t>.</w:t>
      </w:r>
    </w:p>
    <w:tbl>
      <w:tblPr>
        <w:tblW w:w="6427" w:type="pct"/>
        <w:tblInd w:w="-1153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257"/>
        <w:gridCol w:w="1063"/>
        <w:gridCol w:w="295"/>
        <w:gridCol w:w="1444"/>
        <w:gridCol w:w="685"/>
        <w:gridCol w:w="675"/>
        <w:gridCol w:w="1444"/>
        <w:gridCol w:w="307"/>
        <w:gridCol w:w="1057"/>
        <w:gridCol w:w="1450"/>
      </w:tblGrid>
      <w:tr w:rsidR="0011524D" w:rsidRPr="0090512F" w:rsidTr="0011524D">
        <w:trPr>
          <w:trHeight w:val="19"/>
        </w:trPr>
        <w:tc>
          <w:tcPr>
            <w:tcW w:w="1555" w:type="pct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61" w:type="dxa"/>
              <w:left w:w="122" w:type="dxa"/>
              <w:bottom w:w="61" w:type="dxa"/>
              <w:right w:w="122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rPr>
                <w:rFonts w:ascii="PMingLiU" w:eastAsia="PMingLiU" w:hAnsi="PMingLiU" w:cs="PMingLiU"/>
                <w:kern w:val="0"/>
                <w:sz w:val="18"/>
                <w:szCs w:val="18"/>
              </w:rPr>
            </w:pPr>
          </w:p>
        </w:tc>
        <w:tc>
          <w:tcPr>
            <w:tcW w:w="1135" w:type="pct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3" w:type="dxa"/>
              <w:left w:w="13" w:type="dxa"/>
              <w:bottom w:w="0" w:type="dxa"/>
              <w:right w:w="13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rPr>
                <w:rFonts w:ascii="Arial" w:eastAsia="PMingLiU" w:hAnsi="Arial" w:cs="Arial"/>
                <w:kern w:val="0"/>
                <w:szCs w:val="24"/>
              </w:rPr>
            </w:pPr>
            <w:r w:rsidRPr="0090512F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24"/>
                <w:szCs w:val="24"/>
              </w:rPr>
              <w:t>Aquifer 1</w:t>
            </w:r>
          </w:p>
        </w:tc>
        <w:tc>
          <w:tcPr>
            <w:tcW w:w="1136" w:type="pct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61" w:type="dxa"/>
              <w:left w:w="122" w:type="dxa"/>
              <w:bottom w:w="61" w:type="dxa"/>
              <w:right w:w="122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rPr>
                <w:rFonts w:ascii="Arial" w:eastAsia="PMingLiU" w:hAnsi="Arial" w:cs="Arial"/>
                <w:kern w:val="0"/>
                <w:szCs w:val="24"/>
              </w:rPr>
            </w:pPr>
            <w:r w:rsidRPr="0090512F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24"/>
                <w:szCs w:val="24"/>
              </w:rPr>
              <w:t>Aquifer 2</w:t>
            </w:r>
          </w:p>
        </w:tc>
        <w:tc>
          <w:tcPr>
            <w:tcW w:w="1174" w:type="pct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61" w:type="dxa"/>
              <w:left w:w="122" w:type="dxa"/>
              <w:bottom w:w="61" w:type="dxa"/>
              <w:right w:w="122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rPr>
                <w:rFonts w:ascii="Arial" w:eastAsia="PMingLiU" w:hAnsi="Arial" w:cs="Arial"/>
                <w:kern w:val="0"/>
                <w:szCs w:val="24"/>
              </w:rPr>
            </w:pPr>
            <w:r w:rsidRPr="0090512F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24"/>
                <w:szCs w:val="24"/>
              </w:rPr>
              <w:t>Aquifer 3-1</w:t>
            </w:r>
          </w:p>
        </w:tc>
      </w:tr>
      <w:tr w:rsidR="0011524D" w:rsidRPr="0090512F" w:rsidTr="0011524D">
        <w:trPr>
          <w:trHeight w:val="19"/>
        </w:trPr>
        <w:tc>
          <w:tcPr>
            <w:tcW w:w="1057" w:type="pct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61" w:type="dxa"/>
              <w:left w:w="122" w:type="dxa"/>
              <w:bottom w:w="61" w:type="dxa"/>
              <w:right w:w="122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</w:p>
        </w:tc>
        <w:tc>
          <w:tcPr>
            <w:tcW w:w="636" w:type="pct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61" w:type="dxa"/>
              <w:left w:w="122" w:type="dxa"/>
              <w:bottom w:w="61" w:type="dxa"/>
              <w:right w:w="122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rPr>
                <w:rFonts w:ascii="Arial" w:eastAsia="PMingLiU" w:hAnsi="Arial" w:cs="Arial"/>
                <w:kern w:val="0"/>
                <w:szCs w:val="24"/>
              </w:rPr>
            </w:pPr>
            <w:r w:rsidRPr="0090512F">
              <w:rPr>
                <w:rFonts w:ascii="Times New Roman" w:eastAsia="PMingLiU" w:hAnsi="Times New Roman" w:cs="Times New Roman"/>
                <w:b/>
                <w:bCs/>
                <w:i/>
                <w:iCs/>
                <w:color w:val="000000" w:themeColor="dark1"/>
                <w:kern w:val="24"/>
                <w:szCs w:val="24"/>
              </w:rPr>
              <w:t>Flow in</w:t>
            </w:r>
          </w:p>
        </w:tc>
        <w:tc>
          <w:tcPr>
            <w:tcW w:w="676" w:type="pct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61" w:type="dxa"/>
              <w:left w:w="122" w:type="dxa"/>
              <w:bottom w:w="61" w:type="dxa"/>
              <w:right w:w="122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rPr>
                <w:rFonts w:ascii="Arial" w:eastAsia="PMingLiU" w:hAnsi="Arial" w:cs="Arial"/>
                <w:kern w:val="0"/>
                <w:szCs w:val="24"/>
              </w:rPr>
            </w:pPr>
            <w:r w:rsidRPr="0090512F">
              <w:rPr>
                <w:rFonts w:ascii="Times New Roman" w:eastAsia="PMingLiU" w:hAnsi="Times New Roman" w:cs="Times New Roman"/>
                <w:b/>
                <w:bCs/>
                <w:i/>
                <w:iCs/>
                <w:color w:val="000000" w:themeColor="dark1"/>
                <w:kern w:val="24"/>
                <w:szCs w:val="24"/>
              </w:rPr>
              <w:t>Flow out</w:t>
            </w:r>
          </w:p>
        </w:tc>
        <w:tc>
          <w:tcPr>
            <w:tcW w:w="637" w:type="pct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61" w:type="dxa"/>
              <w:left w:w="122" w:type="dxa"/>
              <w:bottom w:w="61" w:type="dxa"/>
              <w:right w:w="122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rPr>
                <w:rFonts w:ascii="Arial" w:eastAsia="PMingLiU" w:hAnsi="Arial" w:cs="Arial"/>
                <w:kern w:val="0"/>
                <w:szCs w:val="24"/>
              </w:rPr>
            </w:pPr>
            <w:r w:rsidRPr="0090512F">
              <w:rPr>
                <w:rFonts w:ascii="Times New Roman" w:eastAsia="PMingLiU" w:hAnsi="Times New Roman" w:cs="Times New Roman"/>
                <w:b/>
                <w:bCs/>
                <w:i/>
                <w:iCs/>
                <w:color w:val="000000" w:themeColor="dark1"/>
                <w:kern w:val="24"/>
                <w:szCs w:val="24"/>
              </w:rPr>
              <w:t>Flow in</w:t>
            </w:r>
          </w:p>
        </w:tc>
        <w:tc>
          <w:tcPr>
            <w:tcW w:w="676" w:type="pct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61" w:type="dxa"/>
              <w:left w:w="122" w:type="dxa"/>
              <w:bottom w:w="61" w:type="dxa"/>
              <w:right w:w="122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rPr>
                <w:rFonts w:ascii="Arial" w:eastAsia="PMingLiU" w:hAnsi="Arial" w:cs="Arial"/>
                <w:kern w:val="0"/>
                <w:szCs w:val="24"/>
              </w:rPr>
            </w:pPr>
            <w:r w:rsidRPr="0090512F">
              <w:rPr>
                <w:rFonts w:ascii="Times New Roman" w:eastAsia="PMingLiU" w:hAnsi="Times New Roman" w:cs="Times New Roman"/>
                <w:b/>
                <w:bCs/>
                <w:i/>
                <w:iCs/>
                <w:color w:val="000000" w:themeColor="dark1"/>
                <w:kern w:val="24"/>
                <w:szCs w:val="24"/>
              </w:rPr>
              <w:t>Flow out</w:t>
            </w:r>
          </w:p>
        </w:tc>
        <w:tc>
          <w:tcPr>
            <w:tcW w:w="639" w:type="pct"/>
            <w:gridSpan w:val="2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61" w:type="dxa"/>
              <w:left w:w="122" w:type="dxa"/>
              <w:bottom w:w="61" w:type="dxa"/>
              <w:right w:w="122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rPr>
                <w:rFonts w:ascii="Arial" w:eastAsia="PMingLiU" w:hAnsi="Arial" w:cs="Arial"/>
                <w:kern w:val="0"/>
                <w:szCs w:val="24"/>
              </w:rPr>
            </w:pPr>
            <w:r w:rsidRPr="0090512F">
              <w:rPr>
                <w:rFonts w:ascii="Times New Roman" w:eastAsia="PMingLiU" w:hAnsi="Times New Roman" w:cs="Times New Roman"/>
                <w:b/>
                <w:bCs/>
                <w:i/>
                <w:iCs/>
                <w:color w:val="000000" w:themeColor="dark1"/>
                <w:kern w:val="24"/>
                <w:szCs w:val="24"/>
              </w:rPr>
              <w:t>Flow in</w:t>
            </w:r>
          </w:p>
        </w:tc>
        <w:tc>
          <w:tcPr>
            <w:tcW w:w="678" w:type="pct"/>
            <w:tcBorders>
              <w:top w:val="single" w:sz="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61" w:type="dxa"/>
              <w:left w:w="122" w:type="dxa"/>
              <w:bottom w:w="61" w:type="dxa"/>
              <w:right w:w="122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rPr>
                <w:rFonts w:ascii="Arial" w:eastAsia="PMingLiU" w:hAnsi="Arial" w:cs="Arial"/>
                <w:kern w:val="0"/>
                <w:szCs w:val="24"/>
              </w:rPr>
            </w:pPr>
            <w:r w:rsidRPr="0090512F">
              <w:rPr>
                <w:rFonts w:ascii="Times New Roman" w:eastAsia="PMingLiU" w:hAnsi="Times New Roman" w:cs="Times New Roman"/>
                <w:b/>
                <w:bCs/>
                <w:i/>
                <w:iCs/>
                <w:color w:val="000000" w:themeColor="dark1"/>
                <w:kern w:val="24"/>
                <w:szCs w:val="24"/>
              </w:rPr>
              <w:t>Flow out</w:t>
            </w:r>
          </w:p>
        </w:tc>
      </w:tr>
      <w:tr w:rsidR="0011524D" w:rsidRPr="0090512F" w:rsidTr="0011524D">
        <w:trPr>
          <w:trHeight w:val="19"/>
        </w:trPr>
        <w:tc>
          <w:tcPr>
            <w:tcW w:w="10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hideMark/>
          </w:tcPr>
          <w:p w:rsidR="0011524D" w:rsidRPr="0090512F" w:rsidRDefault="0011524D" w:rsidP="0052146C">
            <w:pPr>
              <w:widowControl/>
              <w:textAlignment w:val="center"/>
              <w:rPr>
                <w:rFonts w:ascii="Arial" w:eastAsia="PMingLiU" w:hAnsi="Arial" w:cs="Arial"/>
                <w:kern w:val="0"/>
                <w:szCs w:val="24"/>
              </w:rPr>
            </w:pPr>
            <w:r w:rsidRPr="0090512F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24"/>
                <w:szCs w:val="24"/>
              </w:rPr>
              <w:t>Sources/Sinks(m</w:t>
            </w:r>
            <w:r w:rsidRPr="0090512F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24"/>
                <w:szCs w:val="24"/>
                <w:vertAlign w:val="superscript"/>
              </w:rPr>
              <w:t>3</w:t>
            </w:r>
            <w:r w:rsidRPr="0090512F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24"/>
                <w:szCs w:val="24"/>
              </w:rPr>
              <w:t>/day)</w:t>
            </w:r>
          </w:p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STORAGE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3,987,571.26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-33,969.48</w:t>
            </w:r>
          </w:p>
        </w:tc>
        <w:tc>
          <w:tcPr>
            <w:tcW w:w="63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30,058.92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-148.02</w:t>
            </w:r>
          </w:p>
        </w:tc>
        <w:tc>
          <w:tcPr>
            <w:tcW w:w="63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33,888.42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-0.45</w:t>
            </w:r>
          </w:p>
        </w:tc>
      </w:tr>
      <w:tr w:rsidR="0011524D" w:rsidRPr="0090512F" w:rsidTr="0011524D">
        <w:trPr>
          <w:trHeight w:val="19"/>
        </w:trPr>
        <w:tc>
          <w:tcPr>
            <w:tcW w:w="10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CONSTANT HEAD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118,524.15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-8,794</w:t>
            </w:r>
          </w:p>
        </w:tc>
        <w:tc>
          <w:tcPr>
            <w:tcW w:w="63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361,489.81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-4,424.23</w:t>
            </w:r>
          </w:p>
        </w:tc>
        <w:tc>
          <w:tcPr>
            <w:tcW w:w="63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352,342.06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-38.60</w:t>
            </w:r>
          </w:p>
        </w:tc>
      </w:tr>
      <w:tr w:rsidR="0011524D" w:rsidRPr="0090512F" w:rsidTr="0011524D">
        <w:trPr>
          <w:trHeight w:val="19"/>
        </w:trPr>
        <w:tc>
          <w:tcPr>
            <w:tcW w:w="10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WELLS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569,279.16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-3,014,694.19</w:t>
            </w:r>
          </w:p>
        </w:tc>
        <w:tc>
          <w:tcPr>
            <w:tcW w:w="63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24,643.41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-1,280,297.81</w:t>
            </w:r>
          </w:p>
        </w:tc>
        <w:tc>
          <w:tcPr>
            <w:tcW w:w="63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34,720.31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-1,183,564.56</w:t>
            </w:r>
          </w:p>
        </w:tc>
      </w:tr>
      <w:tr w:rsidR="0011524D" w:rsidRPr="0090512F" w:rsidTr="0011524D">
        <w:trPr>
          <w:trHeight w:val="19"/>
        </w:trPr>
        <w:tc>
          <w:tcPr>
            <w:tcW w:w="10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Total Source/Sink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4,675,374.57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-3,057,457.68</w:t>
            </w:r>
          </w:p>
        </w:tc>
        <w:tc>
          <w:tcPr>
            <w:tcW w:w="63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416,192.14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-1,284,870.06</w:t>
            </w:r>
          </w:p>
        </w:tc>
        <w:tc>
          <w:tcPr>
            <w:tcW w:w="63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420,950.79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-1,183,603.60</w:t>
            </w:r>
          </w:p>
        </w:tc>
      </w:tr>
      <w:tr w:rsidR="0011524D" w:rsidRPr="0090512F" w:rsidTr="0011524D">
        <w:trPr>
          <w:trHeight w:val="19"/>
        </w:trPr>
        <w:tc>
          <w:tcPr>
            <w:tcW w:w="10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hideMark/>
          </w:tcPr>
          <w:p w:rsidR="0011524D" w:rsidRPr="0090512F" w:rsidRDefault="0011524D" w:rsidP="0052146C">
            <w:pPr>
              <w:widowControl/>
              <w:textAlignment w:val="center"/>
              <w:rPr>
                <w:rFonts w:ascii="Arial" w:eastAsia="PMingLiU" w:hAnsi="Arial" w:cs="Arial"/>
                <w:kern w:val="0"/>
                <w:szCs w:val="24"/>
              </w:rPr>
            </w:pPr>
            <w:r w:rsidRPr="0090512F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24"/>
                <w:szCs w:val="24"/>
              </w:rPr>
              <w:t>Zone Flow(m</w:t>
            </w:r>
            <w:r w:rsidRPr="0090512F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24"/>
                <w:szCs w:val="24"/>
                <w:vertAlign w:val="superscript"/>
              </w:rPr>
              <w:t>3</w:t>
            </w:r>
            <w:r w:rsidRPr="0090512F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24"/>
                <w:szCs w:val="24"/>
              </w:rPr>
              <w:t>/day)</w:t>
            </w:r>
          </w:p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FLOW RIGHT FACE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3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3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</w:tr>
      <w:tr w:rsidR="0011524D" w:rsidRPr="0090512F" w:rsidTr="0011524D">
        <w:trPr>
          <w:trHeight w:val="19"/>
        </w:trPr>
        <w:tc>
          <w:tcPr>
            <w:tcW w:w="10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FLOW FRONT FACE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3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3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</w:tr>
      <w:tr w:rsidR="0011524D" w:rsidRPr="0090512F" w:rsidTr="0011524D">
        <w:trPr>
          <w:trHeight w:val="19"/>
        </w:trPr>
        <w:tc>
          <w:tcPr>
            <w:tcW w:w="10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 xml:space="preserve">FLOW LOWER </w:t>
            </w: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FACE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174,863.77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-1,792,774.20</w:t>
            </w:r>
          </w:p>
        </w:tc>
        <w:tc>
          <w:tcPr>
            <w:tcW w:w="63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133,546.35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-888,669.99</w:t>
            </w:r>
          </w:p>
        </w:tc>
        <w:tc>
          <w:tcPr>
            <w:tcW w:w="63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</w:tr>
      <w:tr w:rsidR="0011524D" w:rsidRPr="0090512F" w:rsidTr="0011524D">
        <w:trPr>
          <w:trHeight w:val="19"/>
        </w:trPr>
        <w:tc>
          <w:tcPr>
            <w:tcW w:w="10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FLOW LEFT FACE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3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3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</w:tr>
      <w:tr w:rsidR="0011524D" w:rsidRPr="0090512F" w:rsidTr="0011524D">
        <w:trPr>
          <w:trHeight w:val="19"/>
        </w:trPr>
        <w:tc>
          <w:tcPr>
            <w:tcW w:w="10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FLOW UPPER FACE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3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1,795,044.10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-171,243.61</w:t>
            </w:r>
          </w:p>
        </w:tc>
        <w:tc>
          <w:tcPr>
            <w:tcW w:w="63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889,090.70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-126,438.18</w:t>
            </w:r>
          </w:p>
        </w:tc>
      </w:tr>
      <w:tr w:rsidR="0011524D" w:rsidRPr="0090512F" w:rsidTr="0011524D">
        <w:trPr>
          <w:trHeight w:val="19"/>
        </w:trPr>
        <w:tc>
          <w:tcPr>
            <w:tcW w:w="10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FLOW BACK FACE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3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3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0</w:t>
            </w:r>
          </w:p>
        </w:tc>
      </w:tr>
      <w:tr w:rsidR="0011524D" w:rsidRPr="0090512F" w:rsidTr="0011524D">
        <w:trPr>
          <w:trHeight w:val="19"/>
        </w:trPr>
        <w:tc>
          <w:tcPr>
            <w:tcW w:w="105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Total Zone Flow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174,863.77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-1,792,774.20</w:t>
            </w:r>
          </w:p>
        </w:tc>
        <w:tc>
          <w:tcPr>
            <w:tcW w:w="63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1,928,590.45</w:t>
            </w:r>
          </w:p>
        </w:tc>
        <w:tc>
          <w:tcPr>
            <w:tcW w:w="67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-1,059,913.60</w:t>
            </w:r>
          </w:p>
        </w:tc>
        <w:tc>
          <w:tcPr>
            <w:tcW w:w="639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889,090.70</w:t>
            </w:r>
          </w:p>
        </w:tc>
        <w:tc>
          <w:tcPr>
            <w:tcW w:w="6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-126,438.18</w:t>
            </w:r>
          </w:p>
        </w:tc>
      </w:tr>
      <w:tr w:rsidR="0011524D" w:rsidRPr="0090512F" w:rsidTr="0011524D">
        <w:trPr>
          <w:trHeight w:val="19"/>
        </w:trPr>
        <w:tc>
          <w:tcPr>
            <w:tcW w:w="1057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Cs w:val="24"/>
              </w:rPr>
            </w:pPr>
            <w:r w:rsidRPr="0090512F">
              <w:rPr>
                <w:rFonts w:ascii="Times New Roman" w:hAnsi="Times New Roman" w:cs="Times New Roman"/>
                <w:b/>
                <w:bCs/>
                <w:i/>
                <w:iCs/>
                <w:color w:val="000000"/>
                <w:kern w:val="24"/>
                <w:szCs w:val="24"/>
              </w:rPr>
              <w:t>TOTAL FLOW</w:t>
            </w:r>
          </w:p>
        </w:tc>
        <w:tc>
          <w:tcPr>
            <w:tcW w:w="636" w:type="pct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4,850,238.34</w:t>
            </w:r>
          </w:p>
        </w:tc>
        <w:tc>
          <w:tcPr>
            <w:tcW w:w="676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-4,850,231.88</w:t>
            </w:r>
          </w:p>
        </w:tc>
        <w:tc>
          <w:tcPr>
            <w:tcW w:w="637" w:type="pct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2,344,782.59</w:t>
            </w:r>
          </w:p>
        </w:tc>
        <w:tc>
          <w:tcPr>
            <w:tcW w:w="676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-2,344,783.66</w:t>
            </w:r>
          </w:p>
        </w:tc>
        <w:tc>
          <w:tcPr>
            <w:tcW w:w="639" w:type="pct"/>
            <w:gridSpan w:val="2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1,310,041.49</w:t>
            </w:r>
          </w:p>
        </w:tc>
        <w:tc>
          <w:tcPr>
            <w:tcW w:w="678" w:type="pc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8" w:type="dxa"/>
              <w:left w:w="8" w:type="dxa"/>
              <w:bottom w:w="0" w:type="dxa"/>
              <w:right w:w="8" w:type="dxa"/>
            </w:tcMar>
            <w:vAlign w:val="center"/>
            <w:hideMark/>
          </w:tcPr>
          <w:p w:rsidR="0011524D" w:rsidRPr="0090512F" w:rsidRDefault="0011524D" w:rsidP="0052146C">
            <w:pPr>
              <w:widowControl/>
              <w:jc w:val="center"/>
              <w:textAlignment w:val="center"/>
              <w:rPr>
                <w:rFonts w:ascii="Arial" w:eastAsia="PMingLiU" w:hAnsi="Arial" w:cs="Arial"/>
                <w:kern w:val="0"/>
                <w:sz w:val="18"/>
                <w:szCs w:val="18"/>
              </w:rPr>
            </w:pPr>
            <w:r w:rsidRPr="0090512F">
              <w:rPr>
                <w:rFonts w:ascii="Times New Roman" w:eastAsia="PMingLiU" w:hAnsi="Times New Roman" w:cs="Times New Roman"/>
                <w:color w:val="000000"/>
                <w:kern w:val="24"/>
                <w:sz w:val="18"/>
                <w:szCs w:val="18"/>
              </w:rPr>
              <w:t>-1,310,041.78</w:t>
            </w:r>
          </w:p>
        </w:tc>
      </w:tr>
    </w:tbl>
    <w:p w:rsidR="0011524D" w:rsidRDefault="0011524D" w:rsidP="0011524D">
      <w:pPr>
        <w:pStyle w:val="ListParagraph"/>
        <w:ind w:leftChars="0"/>
        <w:jc w:val="center"/>
        <w:rPr>
          <w:rFonts w:ascii="Times New Roman" w:hAnsi="Times New Roman" w:cs="Times New Roman"/>
          <w:color w:val="4472C4" w:themeColor="accent5"/>
        </w:rPr>
      </w:pPr>
    </w:p>
    <w:p w:rsidR="0011524D" w:rsidRDefault="0011524D">
      <w:pPr>
        <w:widowControl/>
        <w:rPr>
          <w:rFonts w:ascii="Times New Roman" w:hAnsi="Times New Roman" w:cs="Times New Roman"/>
          <w:color w:val="4472C4" w:themeColor="accent5"/>
        </w:rPr>
      </w:pPr>
      <w:r>
        <w:rPr>
          <w:rFonts w:ascii="Times New Roman" w:hAnsi="Times New Roman" w:cs="Times New Roman"/>
          <w:color w:val="4472C4" w:themeColor="accent5"/>
        </w:rPr>
        <w:br w:type="page"/>
      </w:r>
    </w:p>
    <w:p w:rsidR="0011524D" w:rsidRDefault="0011524D" w:rsidP="0011524D">
      <w:pPr>
        <w:pStyle w:val="ListParagraph"/>
        <w:ind w:leftChars="0"/>
        <w:jc w:val="center"/>
        <w:rPr>
          <w:rFonts w:ascii="Times New Roman" w:hAnsi="Times New Roman" w:cs="Times New Roman"/>
          <w:color w:val="4472C4" w:themeColor="accent5"/>
        </w:rPr>
      </w:pPr>
      <w:r>
        <w:rPr>
          <w:rFonts w:ascii="Times New Roman" w:hAnsi="Times New Roman" w:cs="Times New Roman" w:hint="eastAsia"/>
          <w:noProof/>
          <w:color w:val="4472C4" w:themeColor="accent5"/>
          <w:lang w:eastAsia="zh-CN"/>
        </w:rPr>
        <w:lastRenderedPageBreak/>
        <w:drawing>
          <wp:inline distT="0" distB="0" distL="0" distR="0">
            <wp:extent cx="5274310" cy="6983095"/>
            <wp:effectExtent l="0" t="0" r="2540" b="8255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ureS1.ti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8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524D" w:rsidRPr="00CD54F7" w:rsidRDefault="0011524D" w:rsidP="0011524D">
      <w:pPr>
        <w:pStyle w:val="ListParagraph"/>
        <w:ind w:leftChars="0"/>
        <w:jc w:val="center"/>
        <w:rPr>
          <w:rFonts w:ascii="Times New Roman" w:hAnsi="Times New Roman" w:cs="Times New Roman"/>
        </w:rPr>
      </w:pPr>
      <w:r w:rsidRPr="00CD54F7">
        <w:rPr>
          <w:rFonts w:ascii="Times New Roman" w:hAnsi="Times New Roman" w:cs="Times New Roman"/>
        </w:rPr>
        <w:t xml:space="preserve">Figure </w:t>
      </w:r>
      <w:r w:rsidR="008F4A25">
        <w:rPr>
          <w:rFonts w:ascii="Times New Roman" w:hAnsi="Times New Roman" w:cs="Times New Roman"/>
        </w:rPr>
        <w:t>S</w:t>
      </w:r>
      <w:r w:rsidRPr="00CD54F7">
        <w:rPr>
          <w:rFonts w:ascii="Times New Roman" w:hAnsi="Times New Roman" w:cs="Times New Roman"/>
        </w:rPr>
        <w:t>1 The sensitivity analysis of dispersivity: (a) aquifer F1, (b) aquifer F2, (c) aquifer F3-1</w:t>
      </w:r>
    </w:p>
    <w:p w:rsidR="0011524D" w:rsidRDefault="0011524D">
      <w:pPr>
        <w:widowControl/>
        <w:rPr>
          <w:rFonts w:ascii="Times New Roman" w:hAnsi="Times New Roman" w:cs="Times New Roman"/>
          <w:color w:val="4472C4" w:themeColor="accent5"/>
        </w:rPr>
      </w:pPr>
      <w:r>
        <w:rPr>
          <w:rFonts w:ascii="Times New Roman" w:hAnsi="Times New Roman" w:cs="Times New Roman"/>
          <w:color w:val="4472C4" w:themeColor="accent5"/>
        </w:rPr>
        <w:br w:type="page"/>
      </w:r>
    </w:p>
    <w:p w:rsidR="0011524D" w:rsidRDefault="0011524D" w:rsidP="0011524D">
      <w:pPr>
        <w:pStyle w:val="ListParagraph"/>
        <w:ind w:leftChars="0"/>
        <w:jc w:val="center"/>
        <w:rPr>
          <w:rFonts w:ascii="Times New Roman" w:hAnsi="Times New Roman" w:cs="Times New Roman"/>
          <w:color w:val="4472C4" w:themeColor="accent5"/>
        </w:rPr>
      </w:pPr>
      <w:r>
        <w:rPr>
          <w:rFonts w:ascii="Times New Roman" w:hAnsi="Times New Roman" w:cs="Times New Roman"/>
          <w:noProof/>
          <w:color w:val="4472C4" w:themeColor="accent5"/>
          <w:lang w:eastAsia="zh-CN"/>
        </w:rPr>
        <w:lastRenderedPageBreak/>
        <w:drawing>
          <wp:inline distT="0" distB="0" distL="0" distR="0">
            <wp:extent cx="3751747" cy="8210550"/>
            <wp:effectExtent l="0" t="0" r="127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S2.ti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8544" cy="8225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524D" w:rsidRPr="00CD54F7" w:rsidRDefault="0011524D" w:rsidP="0011524D">
      <w:pPr>
        <w:widowControl/>
        <w:jc w:val="center"/>
        <w:rPr>
          <w:rFonts w:ascii="Times New Roman" w:hAnsi="Times New Roman" w:cs="Times New Roman"/>
        </w:rPr>
      </w:pPr>
      <w:r w:rsidRPr="00CD54F7">
        <w:rPr>
          <w:rFonts w:ascii="Times New Roman" w:hAnsi="Times New Roman" w:cs="Times New Roman"/>
          <w:szCs w:val="24"/>
        </w:rPr>
        <w:t xml:space="preserve">Figure </w:t>
      </w:r>
      <w:r w:rsidR="008F4A25">
        <w:rPr>
          <w:rFonts w:ascii="Times New Roman" w:hAnsi="Times New Roman" w:cs="Times New Roman"/>
          <w:szCs w:val="24"/>
        </w:rPr>
        <w:t>S</w:t>
      </w:r>
      <w:r w:rsidRPr="00CD54F7">
        <w:rPr>
          <w:rFonts w:ascii="Times New Roman" w:hAnsi="Times New Roman" w:cs="Times New Roman"/>
          <w:szCs w:val="24"/>
        </w:rPr>
        <w:t>2 The associated zones of dispersivities: (a) aquifer F1, (b) aquifer F2, (c) aquife</w:t>
      </w:r>
      <w:bookmarkStart w:id="0" w:name="_GoBack"/>
      <w:bookmarkEnd w:id="0"/>
      <w:r w:rsidRPr="00CD54F7">
        <w:rPr>
          <w:rFonts w:ascii="Times New Roman" w:hAnsi="Times New Roman" w:cs="Times New Roman"/>
          <w:szCs w:val="24"/>
        </w:rPr>
        <w:t>r F3-1 (the zones indicated with “*” are the high sensitive zones)</w:t>
      </w:r>
    </w:p>
    <w:sectPr w:rsidR="0011524D" w:rsidRPr="00CD54F7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72726" w:rsidRDefault="00272726" w:rsidP="00CD54F7">
      <w:r>
        <w:separator/>
      </w:r>
    </w:p>
  </w:endnote>
  <w:endnote w:type="continuationSeparator" w:id="0">
    <w:p w:rsidR="00272726" w:rsidRDefault="00272726" w:rsidP="00CD54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DFKai-SB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72726" w:rsidRDefault="00272726" w:rsidP="00CD54F7">
      <w:r>
        <w:separator/>
      </w:r>
    </w:p>
  </w:footnote>
  <w:footnote w:type="continuationSeparator" w:id="0">
    <w:p w:rsidR="00272726" w:rsidRDefault="00272726" w:rsidP="00CD54F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524D"/>
    <w:rsid w:val="00010F99"/>
    <w:rsid w:val="0011524D"/>
    <w:rsid w:val="00272726"/>
    <w:rsid w:val="00392B72"/>
    <w:rsid w:val="005650AB"/>
    <w:rsid w:val="008E4DC9"/>
    <w:rsid w:val="008F4A25"/>
    <w:rsid w:val="00CD54F7"/>
    <w:rsid w:val="00CF5086"/>
    <w:rsid w:val="00D62E33"/>
    <w:rsid w:val="00F76C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11BC2367-673F-4581-BAF1-D9991467F4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1524D"/>
    <w:pPr>
      <w:ind w:leftChars="200" w:left="480"/>
    </w:pPr>
  </w:style>
  <w:style w:type="paragraph" w:styleId="Header">
    <w:name w:val="header"/>
    <w:basedOn w:val="Normal"/>
    <w:link w:val="HeaderChar"/>
    <w:uiPriority w:val="99"/>
    <w:unhideWhenUsed/>
    <w:rsid w:val="00CD54F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CD54F7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CD54F7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CD54F7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ti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</Pages>
  <Words>179</Words>
  <Characters>1022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Brain</dc:creator>
  <cp:keywords/>
  <dc:description/>
  <cp:lastModifiedBy>MDPI</cp:lastModifiedBy>
  <cp:revision>5</cp:revision>
  <dcterms:created xsi:type="dcterms:W3CDTF">2018-02-06T07:50:00Z</dcterms:created>
  <dcterms:modified xsi:type="dcterms:W3CDTF">2018-03-08T03:35:00Z</dcterms:modified>
</cp:coreProperties>
</file>