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BF" w:rsidRDefault="00521ABF" w:rsidP="00521ABF">
      <w:pPr>
        <w:pStyle w:val="MDPI41tablecaption"/>
        <w:spacing w:before="0"/>
        <w:ind w:left="0"/>
      </w:pPr>
      <w:r>
        <w:t>Table S1: Metal concentrations measured in the transplanted clams (TM), artificial mussels (AM) and water from two surveys conducted in Bospoort Dam, Olifantsnek Dam and the Pollution control Dam. The control refers to concentrations in reference clams that were maintained in the laboratory. Concentrations are presented in μg/g dry mass for transplanted clams, μg/g Chelex for the AMs and water concentrations in µg/L (mean ± SEM, ND = below detection limit, the * indicates significant difference from control group in a specific survey).</w:t>
      </w:r>
    </w:p>
    <w:tbl>
      <w:tblPr>
        <w:tblStyle w:val="TableGrid1"/>
        <w:tblW w:w="14367" w:type="dxa"/>
        <w:jc w:val="right"/>
        <w:tblInd w:w="0" w:type="dxa"/>
        <w:tblLook w:val="04A0" w:firstRow="1" w:lastRow="0" w:firstColumn="1" w:lastColumn="0" w:noHBand="0" w:noVBand="1"/>
      </w:tblPr>
      <w:tblGrid>
        <w:gridCol w:w="508"/>
        <w:gridCol w:w="811"/>
        <w:gridCol w:w="1864"/>
        <w:gridCol w:w="1864"/>
        <w:gridCol w:w="1864"/>
        <w:gridCol w:w="1864"/>
        <w:gridCol w:w="1864"/>
        <w:gridCol w:w="1953"/>
        <w:gridCol w:w="1775"/>
      </w:tblGrid>
      <w:tr w:rsidR="00521ABF" w:rsidTr="00521ABF">
        <w:trPr>
          <w:jc w:val="right"/>
        </w:trPr>
        <w:tc>
          <w:tcPr>
            <w:tcW w:w="508" w:type="dxa"/>
            <w:tcBorders>
              <w:top w:val="single" w:sz="18" w:space="0" w:color="auto"/>
              <w:left w:val="single" w:sz="18" w:space="0" w:color="auto"/>
              <w:bottom w:val="single" w:sz="18" w:space="0" w:color="auto"/>
              <w:right w:val="single" w:sz="4" w:space="0" w:color="auto"/>
            </w:tcBorders>
          </w:tcPr>
          <w:p w:rsidR="00521ABF" w:rsidRDefault="00521ABF">
            <w:pPr>
              <w:pStyle w:val="MDPI42tablebody"/>
              <w:rPr>
                <w:szCs w:val="18"/>
              </w:rPr>
            </w:pPr>
          </w:p>
        </w:tc>
        <w:tc>
          <w:tcPr>
            <w:tcW w:w="811" w:type="dxa"/>
            <w:tcBorders>
              <w:top w:val="single" w:sz="18" w:space="0" w:color="auto"/>
              <w:left w:val="single" w:sz="4" w:space="0" w:color="auto"/>
              <w:bottom w:val="single" w:sz="18" w:space="0" w:color="auto"/>
              <w:right w:val="single" w:sz="4" w:space="0" w:color="auto"/>
            </w:tcBorders>
          </w:tcPr>
          <w:p w:rsidR="00521ABF" w:rsidRDefault="00521ABF">
            <w:pPr>
              <w:pStyle w:val="MDPI42tablebody"/>
              <w:rPr>
                <w:szCs w:val="18"/>
              </w:rPr>
            </w:pPr>
          </w:p>
        </w:tc>
        <w:tc>
          <w:tcPr>
            <w:tcW w:w="3728" w:type="dxa"/>
            <w:gridSpan w:val="2"/>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Control</w:t>
            </w:r>
          </w:p>
        </w:tc>
        <w:tc>
          <w:tcPr>
            <w:tcW w:w="3728" w:type="dxa"/>
            <w:gridSpan w:val="2"/>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Olifantsnek Dam</w:t>
            </w:r>
          </w:p>
        </w:tc>
        <w:tc>
          <w:tcPr>
            <w:tcW w:w="3817" w:type="dxa"/>
            <w:gridSpan w:val="2"/>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Bospoort Dam</w:t>
            </w:r>
          </w:p>
        </w:tc>
        <w:tc>
          <w:tcPr>
            <w:tcW w:w="1775" w:type="dxa"/>
            <w:tcBorders>
              <w:top w:val="single" w:sz="18"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Pollution control Dam</w:t>
            </w:r>
          </w:p>
        </w:tc>
      </w:tr>
      <w:tr w:rsidR="00521ABF" w:rsidTr="00521ABF">
        <w:trPr>
          <w:jc w:val="right"/>
        </w:trPr>
        <w:tc>
          <w:tcPr>
            <w:tcW w:w="508" w:type="dxa"/>
            <w:tcBorders>
              <w:top w:val="single" w:sz="18" w:space="0" w:color="auto"/>
              <w:left w:val="single" w:sz="18" w:space="0" w:color="auto"/>
              <w:bottom w:val="single" w:sz="18" w:space="0" w:color="auto"/>
              <w:right w:val="single" w:sz="4" w:space="0" w:color="auto"/>
            </w:tcBorders>
          </w:tcPr>
          <w:p w:rsidR="00521ABF" w:rsidRDefault="00521ABF">
            <w:pPr>
              <w:pStyle w:val="MDPI42tablebody"/>
              <w:rPr>
                <w:szCs w:val="18"/>
              </w:rPr>
            </w:pPr>
          </w:p>
        </w:tc>
        <w:tc>
          <w:tcPr>
            <w:tcW w:w="811" w:type="dxa"/>
            <w:tcBorders>
              <w:top w:val="single" w:sz="18" w:space="0" w:color="auto"/>
              <w:left w:val="single" w:sz="4" w:space="0" w:color="auto"/>
              <w:bottom w:val="single" w:sz="18" w:space="0" w:color="auto"/>
              <w:right w:val="single" w:sz="4" w:space="0" w:color="auto"/>
            </w:tcBorders>
          </w:tcPr>
          <w:p w:rsidR="00521ABF" w:rsidRDefault="00521ABF">
            <w:pPr>
              <w:pStyle w:val="MDPI42tablebody"/>
              <w:rPr>
                <w:szCs w:val="18"/>
              </w:rPr>
            </w:pPr>
          </w:p>
        </w:tc>
        <w:tc>
          <w:tcPr>
            <w:tcW w:w="1864" w:type="dxa"/>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2017</w:t>
            </w:r>
          </w:p>
        </w:tc>
        <w:tc>
          <w:tcPr>
            <w:tcW w:w="1864" w:type="dxa"/>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2018</w:t>
            </w:r>
          </w:p>
        </w:tc>
        <w:tc>
          <w:tcPr>
            <w:tcW w:w="1864" w:type="dxa"/>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2017</w:t>
            </w:r>
          </w:p>
        </w:tc>
        <w:tc>
          <w:tcPr>
            <w:tcW w:w="1864" w:type="dxa"/>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2018</w:t>
            </w:r>
          </w:p>
        </w:tc>
        <w:tc>
          <w:tcPr>
            <w:tcW w:w="1864" w:type="dxa"/>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2017</w:t>
            </w:r>
          </w:p>
        </w:tc>
        <w:tc>
          <w:tcPr>
            <w:tcW w:w="1953" w:type="dxa"/>
            <w:tcBorders>
              <w:top w:val="single" w:sz="18"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2018</w:t>
            </w:r>
          </w:p>
        </w:tc>
        <w:tc>
          <w:tcPr>
            <w:tcW w:w="1775" w:type="dxa"/>
            <w:tcBorders>
              <w:top w:val="single" w:sz="18"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2018</w:t>
            </w:r>
          </w:p>
        </w:tc>
      </w:tr>
      <w:tr w:rsidR="00521ABF" w:rsidTr="00521ABF">
        <w:trPr>
          <w:jc w:val="right"/>
        </w:trPr>
        <w:tc>
          <w:tcPr>
            <w:tcW w:w="508" w:type="dxa"/>
            <w:vMerge w:val="restart"/>
            <w:tcBorders>
              <w:top w:val="single" w:sz="18" w:space="0" w:color="auto"/>
              <w:left w:val="single" w:sz="18" w:space="0" w:color="auto"/>
              <w:bottom w:val="single" w:sz="18" w:space="0" w:color="auto"/>
              <w:right w:val="single" w:sz="4" w:space="0" w:color="auto"/>
            </w:tcBorders>
            <w:hideMark/>
          </w:tcPr>
          <w:p w:rsidR="00521ABF" w:rsidRDefault="00521ABF">
            <w:pPr>
              <w:pStyle w:val="MDPI42tablebody"/>
              <w:rPr>
                <w:szCs w:val="18"/>
              </w:rPr>
            </w:pPr>
            <w:r>
              <w:rPr>
                <w:szCs w:val="18"/>
              </w:rPr>
              <w:t>As</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5.162 ± 0.349</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5.962 ± 0.671</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6.127 ± 1.666</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6.386 ± 0.624</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5.119 ± 0.822</w:t>
            </w: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5.760 ± 1.134</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6.327 ± 0.306</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22.171 ± 4.163*</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6.933 ± 1.396</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6.912 ± 0.503</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7.778 ± 1.349</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1.020 ± 0.192</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0.902 ± 0.066</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1.160 ± 0.1997</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1.037 ± 0.132</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1.807 ± 0.178</w:t>
            </w:r>
          </w:p>
        </w:tc>
      </w:tr>
      <w:tr w:rsidR="00521ABF" w:rsidTr="00521ABF">
        <w:trPr>
          <w:jc w:val="right"/>
        </w:trPr>
        <w:tc>
          <w:tcPr>
            <w:tcW w:w="508" w:type="dxa"/>
            <w:vMerge w:val="restart"/>
            <w:tcBorders>
              <w:top w:val="single" w:sz="18" w:space="0" w:color="auto"/>
              <w:left w:val="single" w:sz="18" w:space="0" w:color="auto"/>
              <w:bottom w:val="single" w:sz="18" w:space="0" w:color="auto"/>
              <w:right w:val="single" w:sz="4" w:space="0" w:color="auto"/>
            </w:tcBorders>
            <w:hideMark/>
          </w:tcPr>
          <w:p w:rsidR="00521ABF" w:rsidRDefault="00521ABF">
            <w:pPr>
              <w:pStyle w:val="MDPI42tablebody"/>
              <w:rPr>
                <w:szCs w:val="18"/>
              </w:rPr>
            </w:pPr>
            <w:r>
              <w:rPr>
                <w:szCs w:val="18"/>
              </w:rPr>
              <w:t>Cd</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0.0171 ± 0.0037</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0.0079 ±  0.0011</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0.0144 ± 0.0044</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0.0101 ± 0.0034</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0.0096 ± 0.0069</w:t>
            </w: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0.064 ± 0.0270</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0.370 ± 0.087</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0.0714 ± 0.0302</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0.1475 ± 0.0222</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0.070 ± 0.0255</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0.1750 ± 0.0881</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0.0367 ± 0.0047</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0.0417 ± 0.0186</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0.033 ± 0.0094</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0.0633 ± 0.0399</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0.070 ± 0.013</w:t>
            </w:r>
          </w:p>
        </w:tc>
      </w:tr>
      <w:tr w:rsidR="00521ABF" w:rsidTr="00521ABF">
        <w:trPr>
          <w:jc w:val="right"/>
        </w:trPr>
        <w:tc>
          <w:tcPr>
            <w:tcW w:w="508" w:type="dxa"/>
            <w:vMerge w:val="restart"/>
            <w:tcBorders>
              <w:top w:val="single" w:sz="18" w:space="0" w:color="auto"/>
              <w:left w:val="single" w:sz="18" w:space="0" w:color="auto"/>
              <w:bottom w:val="single" w:sz="18" w:space="0" w:color="auto"/>
              <w:right w:val="single" w:sz="4" w:space="0" w:color="auto"/>
            </w:tcBorders>
            <w:hideMark/>
          </w:tcPr>
          <w:p w:rsidR="00521ABF" w:rsidRDefault="00521ABF">
            <w:pPr>
              <w:pStyle w:val="MDPI42tablebody"/>
              <w:rPr>
                <w:szCs w:val="18"/>
              </w:rPr>
            </w:pPr>
            <w:r>
              <w:rPr>
                <w:szCs w:val="18"/>
              </w:rPr>
              <w:t>Co</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0.231 ± 0.138</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0.221 ± 0.087</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0.431 ± 0.187</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0.214 ± 0.130</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0.088 ± 0.030</w:t>
            </w: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1.102 ± 0.374</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2.043 ± 0.076</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1.527 ± 0.313</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2.735 ± 0.674</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1.283 ± 0.135</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1.680 ± 0.364</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0.215 ±  0.098</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0.258 ± 0.0769</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0.442 ± 0.1860</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0.435 ± 0.1867</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2.810 ± 0.252</w:t>
            </w:r>
          </w:p>
        </w:tc>
      </w:tr>
      <w:tr w:rsidR="00521ABF" w:rsidTr="00521ABF">
        <w:trPr>
          <w:jc w:val="right"/>
        </w:trPr>
        <w:tc>
          <w:tcPr>
            <w:tcW w:w="508" w:type="dxa"/>
            <w:vMerge w:val="restart"/>
            <w:tcBorders>
              <w:top w:val="single" w:sz="18" w:space="0" w:color="auto"/>
              <w:left w:val="single" w:sz="18" w:space="0" w:color="auto"/>
              <w:bottom w:val="single" w:sz="18" w:space="0" w:color="auto"/>
              <w:right w:val="single" w:sz="4" w:space="0" w:color="auto"/>
            </w:tcBorders>
            <w:hideMark/>
          </w:tcPr>
          <w:p w:rsidR="00521ABF" w:rsidRDefault="00521ABF">
            <w:pPr>
              <w:pStyle w:val="MDPI42tablebody"/>
              <w:rPr>
                <w:szCs w:val="18"/>
              </w:rPr>
            </w:pPr>
            <w:r>
              <w:rPr>
                <w:szCs w:val="18"/>
              </w:rPr>
              <w:t>Cr</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0.053 ± 0.022</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0.108 ± 0.113</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0.050 ± 0.015</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0.165 ± 0.125</w:t>
            </w: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3.270 ± 3.238</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0.810 ± 0.030</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8.040 ± 4.069</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10.363 ± 5.155*</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1.470 ± 1.540</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2.085 ± 1.676</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1.485 ± 0.692</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2.262 ± 1.099</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2.048 ± 0.596</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0.740 ± 0.405</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3.533 ± 1.116</w:t>
            </w:r>
          </w:p>
        </w:tc>
      </w:tr>
      <w:tr w:rsidR="00521ABF" w:rsidTr="00521ABF">
        <w:trPr>
          <w:jc w:val="right"/>
        </w:trPr>
        <w:tc>
          <w:tcPr>
            <w:tcW w:w="508" w:type="dxa"/>
            <w:vMerge w:val="restart"/>
            <w:tcBorders>
              <w:top w:val="single" w:sz="18" w:space="0" w:color="auto"/>
              <w:left w:val="single" w:sz="18" w:space="0" w:color="auto"/>
              <w:bottom w:val="single" w:sz="18" w:space="0" w:color="auto"/>
              <w:right w:val="single" w:sz="4" w:space="0" w:color="auto"/>
            </w:tcBorders>
            <w:hideMark/>
          </w:tcPr>
          <w:p w:rsidR="00521ABF" w:rsidRDefault="00521ABF">
            <w:pPr>
              <w:pStyle w:val="MDPI42tablebody"/>
              <w:rPr>
                <w:szCs w:val="18"/>
              </w:rPr>
            </w:pPr>
            <w:r>
              <w:rPr>
                <w:szCs w:val="18"/>
              </w:rPr>
              <w:t>Ni</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3.086 ± 0.624</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36.026 ± 5.873</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17.238 ± 1.959</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6.728 ± 0.848</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0.876 ± 0.166</w:t>
            </w: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1.212 ± 0.517</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4.353 ± 0.769</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4.389 ± 1.523*</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8.067 ± 0.494</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11.028 ± 2.465*</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7.487 ± 0.306</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7.032 ± 6.908</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3.813 ± 0.468</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27.523 ± 12.8166</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11.713 ± 1.971</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50.728 ± 9.846</w:t>
            </w:r>
          </w:p>
        </w:tc>
      </w:tr>
      <w:tr w:rsidR="00521ABF" w:rsidTr="00521ABF">
        <w:trPr>
          <w:jc w:val="right"/>
        </w:trPr>
        <w:tc>
          <w:tcPr>
            <w:tcW w:w="508" w:type="dxa"/>
            <w:vMerge w:val="restart"/>
            <w:tcBorders>
              <w:top w:val="single" w:sz="18" w:space="0" w:color="auto"/>
              <w:left w:val="single" w:sz="18" w:space="0" w:color="auto"/>
              <w:bottom w:val="single" w:sz="18" w:space="0" w:color="auto"/>
              <w:right w:val="single" w:sz="4" w:space="0" w:color="auto"/>
            </w:tcBorders>
            <w:hideMark/>
          </w:tcPr>
          <w:p w:rsidR="00521ABF" w:rsidRDefault="00521ABF">
            <w:pPr>
              <w:pStyle w:val="MDPI42tablebody"/>
              <w:rPr>
                <w:szCs w:val="18"/>
              </w:rPr>
            </w:pPr>
            <w:r>
              <w:rPr>
                <w:szCs w:val="18"/>
              </w:rPr>
              <w:t>Pb</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0.254 ± 0.0623</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0.055 ± 0.02349</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0.263 ± 0.0940</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0.00487 ± 0.00106</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0.0698 ± 0.0654</w:t>
            </w: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0.0436 ± 0.015</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0.0797 ± 0.016</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0.0283 ± 0.01097</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0.0510 ± 0.00572</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0.0114 ± 0.0023*</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0.0138 ± 0.0062*</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0.130 ± 0.101</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0.07 ± 0.064</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0.128 ± 0.0267</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0.0683 ± 0.0615</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0.1 ±  0.088</w:t>
            </w:r>
          </w:p>
        </w:tc>
      </w:tr>
      <w:tr w:rsidR="00521ABF" w:rsidTr="00521ABF">
        <w:trPr>
          <w:jc w:val="right"/>
        </w:trPr>
        <w:tc>
          <w:tcPr>
            <w:tcW w:w="508" w:type="dxa"/>
            <w:vMerge w:val="restart"/>
            <w:tcBorders>
              <w:top w:val="single" w:sz="18" w:space="0" w:color="auto"/>
              <w:left w:val="single" w:sz="18" w:space="0" w:color="auto"/>
              <w:bottom w:val="single" w:sz="18" w:space="0" w:color="auto"/>
              <w:right w:val="single" w:sz="4" w:space="0" w:color="auto"/>
            </w:tcBorders>
            <w:hideMark/>
          </w:tcPr>
          <w:p w:rsidR="00521ABF" w:rsidRDefault="00521ABF">
            <w:pPr>
              <w:pStyle w:val="MDPI42tablebody"/>
              <w:rPr>
                <w:szCs w:val="18"/>
              </w:rPr>
            </w:pPr>
            <w:r>
              <w:rPr>
                <w:szCs w:val="18"/>
              </w:rPr>
              <w:t>Pt</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0.003 ± 0.0015</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0.002 ± 0.001</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0.003 ± 0.0012</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0.002 ± 0.00011</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0.002 ± 0.0009</w:t>
            </w: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0.0415 ± 0.0065</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0.0762 ± 0.1033</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0.042 ± 0.0062</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0.0597 ± 0.0142</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0.1428 ± 0.0265</w:t>
            </w:r>
          </w:p>
        </w:tc>
      </w:tr>
      <w:tr w:rsidR="00521ABF" w:rsidTr="00521ABF">
        <w:trPr>
          <w:jc w:val="right"/>
        </w:trPr>
        <w:tc>
          <w:tcPr>
            <w:tcW w:w="508" w:type="dxa"/>
            <w:vMerge w:val="restart"/>
            <w:tcBorders>
              <w:top w:val="single" w:sz="18" w:space="0" w:color="auto"/>
              <w:left w:val="single" w:sz="18" w:space="0" w:color="auto"/>
              <w:bottom w:val="single" w:sz="24" w:space="0" w:color="auto"/>
              <w:right w:val="single" w:sz="4" w:space="0" w:color="auto"/>
            </w:tcBorders>
            <w:hideMark/>
          </w:tcPr>
          <w:p w:rsidR="00521ABF" w:rsidRDefault="00521ABF">
            <w:pPr>
              <w:pStyle w:val="MDPI42tablebody"/>
              <w:rPr>
                <w:szCs w:val="18"/>
              </w:rPr>
            </w:pPr>
            <w:r>
              <w:rPr>
                <w:szCs w:val="18"/>
              </w:rPr>
              <w:lastRenderedPageBreak/>
              <w:t>V</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7.898 ± 0.292</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8.483 ± 0.480</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8.233 ± 0.933</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10.450 ± 1.052</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9.285 ± 0.643</w:t>
            </w:r>
          </w:p>
        </w:tc>
      </w:tr>
      <w:tr w:rsidR="00521ABF" w:rsidTr="00521ABF">
        <w:trPr>
          <w:jc w:val="right"/>
        </w:trPr>
        <w:tc>
          <w:tcPr>
            <w:tcW w:w="0" w:type="auto"/>
            <w:vMerge/>
            <w:tcBorders>
              <w:top w:val="single" w:sz="18" w:space="0" w:color="auto"/>
              <w:left w:val="single" w:sz="18" w:space="0" w:color="auto"/>
              <w:bottom w:val="single" w:sz="24"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3.182 ± 0.830</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0.783 ±  0.035</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4.069 ± 1.382</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3.863 ± 0.444</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1.146 ± 0.152*</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1.068 ± 0.076</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24"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18"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5.893 ± 0.922</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7.175 ± 0.275</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7.315 ± 0.742</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6.992 ± 0.916</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13.967 ± 1.935</w:t>
            </w:r>
          </w:p>
        </w:tc>
      </w:tr>
      <w:tr w:rsidR="00521ABF" w:rsidTr="00521ABF">
        <w:trPr>
          <w:jc w:val="right"/>
        </w:trPr>
        <w:tc>
          <w:tcPr>
            <w:tcW w:w="508" w:type="dxa"/>
            <w:vMerge w:val="restart"/>
            <w:tcBorders>
              <w:top w:val="single" w:sz="18" w:space="0" w:color="auto"/>
              <w:left w:val="single" w:sz="18" w:space="0" w:color="auto"/>
              <w:bottom w:val="single" w:sz="18" w:space="0" w:color="auto"/>
              <w:right w:val="single" w:sz="4" w:space="0" w:color="auto"/>
            </w:tcBorders>
            <w:hideMark/>
          </w:tcPr>
          <w:p w:rsidR="00521ABF" w:rsidRDefault="00521ABF">
            <w:pPr>
              <w:pStyle w:val="MDPI42tablebody"/>
              <w:rPr>
                <w:szCs w:val="18"/>
              </w:rPr>
            </w:pPr>
            <w:r>
              <w:rPr>
                <w:szCs w:val="18"/>
              </w:rPr>
              <w:t>Zn</w:t>
            </w:r>
          </w:p>
        </w:tc>
        <w:tc>
          <w:tcPr>
            <w:tcW w:w="811"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AM</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1.014 ± 0.762</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2.971 ± 2.269</w:t>
            </w:r>
          </w:p>
        </w:tc>
        <w:tc>
          <w:tcPr>
            <w:tcW w:w="1864"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0.962 ± 1.521</w:t>
            </w:r>
          </w:p>
        </w:tc>
        <w:tc>
          <w:tcPr>
            <w:tcW w:w="1953" w:type="dxa"/>
            <w:tcBorders>
              <w:top w:val="single" w:sz="18"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3.070 ± 1.382</w:t>
            </w:r>
          </w:p>
        </w:tc>
        <w:tc>
          <w:tcPr>
            <w:tcW w:w="1775" w:type="dxa"/>
            <w:tcBorders>
              <w:top w:val="single" w:sz="18" w:space="0" w:color="auto"/>
              <w:left w:val="single" w:sz="4" w:space="0" w:color="auto"/>
              <w:bottom w:val="single" w:sz="4" w:space="0" w:color="auto"/>
              <w:right w:val="single" w:sz="18" w:space="0" w:color="auto"/>
            </w:tcBorders>
            <w:hideMark/>
          </w:tcPr>
          <w:p w:rsidR="00521ABF" w:rsidRDefault="00521ABF">
            <w:pPr>
              <w:pStyle w:val="MDPI42tablebody"/>
              <w:rPr>
                <w:szCs w:val="18"/>
              </w:rPr>
            </w:pPr>
            <w:r>
              <w:rPr>
                <w:szCs w:val="18"/>
              </w:rPr>
              <w:t>ND</w:t>
            </w: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TM</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183.474 ±  49.884</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292.833 ± 13.873</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185.590 ± 21.479</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168.408 ± 28.880</w:t>
            </w:r>
          </w:p>
        </w:tc>
        <w:tc>
          <w:tcPr>
            <w:tcW w:w="1864"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191.618 ± 10.235*</w:t>
            </w:r>
          </w:p>
        </w:tc>
        <w:tc>
          <w:tcPr>
            <w:tcW w:w="1953" w:type="dxa"/>
            <w:tcBorders>
              <w:top w:val="single" w:sz="4" w:space="0" w:color="auto"/>
              <w:left w:val="single" w:sz="4" w:space="0" w:color="auto"/>
              <w:bottom w:val="single" w:sz="4" w:space="0" w:color="auto"/>
              <w:right w:val="single" w:sz="4" w:space="0" w:color="auto"/>
            </w:tcBorders>
            <w:hideMark/>
          </w:tcPr>
          <w:p w:rsidR="00521ABF" w:rsidRDefault="00521ABF">
            <w:pPr>
              <w:pStyle w:val="MDPI42tablebody"/>
              <w:rPr>
                <w:szCs w:val="18"/>
              </w:rPr>
            </w:pPr>
            <w:r>
              <w:rPr>
                <w:szCs w:val="18"/>
              </w:rPr>
              <w:t>185.830 ± 21.645*</w:t>
            </w:r>
          </w:p>
        </w:tc>
        <w:tc>
          <w:tcPr>
            <w:tcW w:w="1775" w:type="dxa"/>
            <w:tcBorders>
              <w:top w:val="single" w:sz="4" w:space="0" w:color="auto"/>
              <w:left w:val="single" w:sz="4" w:space="0" w:color="auto"/>
              <w:bottom w:val="single" w:sz="4" w:space="0" w:color="auto"/>
              <w:right w:val="single" w:sz="18" w:space="0" w:color="auto"/>
            </w:tcBorders>
            <w:shd w:val="clear" w:color="auto" w:fill="A6A6A6" w:themeFill="background1" w:themeFillShade="A6"/>
          </w:tcPr>
          <w:p w:rsidR="00521ABF" w:rsidRDefault="00521ABF">
            <w:pPr>
              <w:pStyle w:val="MDPI42tablebody"/>
              <w:rPr>
                <w:szCs w:val="18"/>
              </w:rPr>
            </w:pPr>
          </w:p>
        </w:tc>
      </w:tr>
      <w:tr w:rsidR="00521ABF" w:rsidTr="00521ABF">
        <w:trPr>
          <w:jc w:val="right"/>
        </w:trPr>
        <w:tc>
          <w:tcPr>
            <w:tcW w:w="0" w:type="auto"/>
            <w:vMerge/>
            <w:tcBorders>
              <w:top w:val="single" w:sz="18" w:space="0" w:color="auto"/>
              <w:left w:val="single" w:sz="18" w:space="0" w:color="auto"/>
              <w:bottom w:val="single" w:sz="18" w:space="0" w:color="auto"/>
              <w:right w:val="single" w:sz="4" w:space="0" w:color="auto"/>
            </w:tcBorders>
            <w:vAlign w:val="center"/>
            <w:hideMark/>
          </w:tcPr>
          <w:p w:rsidR="00521ABF" w:rsidRDefault="00521ABF">
            <w:pPr>
              <w:spacing w:line="240" w:lineRule="auto"/>
              <w:jc w:val="left"/>
              <w:rPr>
                <w:rFonts w:ascii="Palatino Linotype" w:hAnsi="Palatino Linotype"/>
                <w:sz w:val="20"/>
                <w:szCs w:val="18"/>
                <w:lang w:bidi="en-US"/>
              </w:rPr>
            </w:pPr>
          </w:p>
        </w:tc>
        <w:tc>
          <w:tcPr>
            <w:tcW w:w="811"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Water</w:t>
            </w: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shd w:val="clear" w:color="auto" w:fill="A6A6A6" w:themeFill="background1" w:themeFillShade="A6"/>
          </w:tcPr>
          <w:p w:rsidR="00521ABF" w:rsidRDefault="00521ABF">
            <w:pPr>
              <w:pStyle w:val="MDPI42tablebody"/>
              <w:rPr>
                <w:szCs w:val="18"/>
              </w:rPr>
            </w:pP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ND</w:t>
            </w:r>
          </w:p>
        </w:tc>
        <w:tc>
          <w:tcPr>
            <w:tcW w:w="1864"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ND</w:t>
            </w:r>
          </w:p>
        </w:tc>
        <w:tc>
          <w:tcPr>
            <w:tcW w:w="1953" w:type="dxa"/>
            <w:tcBorders>
              <w:top w:val="single" w:sz="4" w:space="0" w:color="auto"/>
              <w:left w:val="single" w:sz="4" w:space="0" w:color="auto"/>
              <w:bottom w:val="single" w:sz="18" w:space="0" w:color="auto"/>
              <w:right w:val="single" w:sz="4" w:space="0" w:color="auto"/>
            </w:tcBorders>
            <w:hideMark/>
          </w:tcPr>
          <w:p w:rsidR="00521ABF" w:rsidRDefault="00521ABF">
            <w:pPr>
              <w:pStyle w:val="MDPI42tablebody"/>
              <w:rPr>
                <w:szCs w:val="18"/>
              </w:rPr>
            </w:pPr>
            <w:r>
              <w:rPr>
                <w:szCs w:val="18"/>
              </w:rPr>
              <w:t>ND</w:t>
            </w:r>
          </w:p>
        </w:tc>
        <w:tc>
          <w:tcPr>
            <w:tcW w:w="1775" w:type="dxa"/>
            <w:tcBorders>
              <w:top w:val="single" w:sz="4" w:space="0" w:color="auto"/>
              <w:left w:val="single" w:sz="4" w:space="0" w:color="auto"/>
              <w:bottom w:val="single" w:sz="18" w:space="0" w:color="auto"/>
              <w:right w:val="single" w:sz="18" w:space="0" w:color="auto"/>
            </w:tcBorders>
            <w:hideMark/>
          </w:tcPr>
          <w:p w:rsidR="00521ABF" w:rsidRDefault="00521ABF">
            <w:pPr>
              <w:pStyle w:val="MDPI42tablebody"/>
              <w:rPr>
                <w:szCs w:val="18"/>
              </w:rPr>
            </w:pPr>
            <w:r>
              <w:rPr>
                <w:szCs w:val="18"/>
              </w:rPr>
              <w:t>39.505 ± 8.077</w:t>
            </w:r>
          </w:p>
        </w:tc>
      </w:tr>
    </w:tbl>
    <w:p w:rsidR="00521ABF" w:rsidRDefault="00521ABF" w:rsidP="00521ABF">
      <w:pPr>
        <w:pStyle w:val="MDPI71References"/>
        <w:numPr>
          <w:ilvl w:val="0"/>
          <w:numId w:val="0"/>
        </w:numPr>
        <w:spacing w:after="240"/>
        <w:rPr>
          <w:rFonts w:eastAsia="SimSun"/>
        </w:rPr>
      </w:pPr>
      <w:bookmarkStart w:id="0" w:name="_GoBack"/>
      <w:bookmarkEnd w:id="0"/>
    </w:p>
    <w:sectPr w:rsidR="00521ABF" w:rsidSect="00521AB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D37" w:rsidRDefault="00B87D37" w:rsidP="00521ABF">
      <w:pPr>
        <w:spacing w:line="240" w:lineRule="auto"/>
      </w:pPr>
      <w:r>
        <w:separator/>
      </w:r>
    </w:p>
  </w:endnote>
  <w:endnote w:type="continuationSeparator" w:id="0">
    <w:p w:rsidR="00B87D37" w:rsidRDefault="00B87D37" w:rsidP="00521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D37" w:rsidRDefault="00B87D37" w:rsidP="00521ABF">
      <w:pPr>
        <w:spacing w:line="240" w:lineRule="auto"/>
      </w:pPr>
      <w:r>
        <w:separator/>
      </w:r>
    </w:p>
  </w:footnote>
  <w:footnote w:type="continuationSeparator" w:id="0">
    <w:p w:rsidR="00B87D37" w:rsidRDefault="00B87D37" w:rsidP="00521AB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A0NDI0NLe0MDI1sTBU0lEKTi0uzszPAykwrAUAtM3wjiwAAAA="/>
  </w:docVars>
  <w:rsids>
    <w:rsidRoot w:val="00FE0339"/>
    <w:rsid w:val="001103CD"/>
    <w:rsid w:val="00166291"/>
    <w:rsid w:val="001F5F68"/>
    <w:rsid w:val="002F0EAC"/>
    <w:rsid w:val="00324E86"/>
    <w:rsid w:val="00326B6C"/>
    <w:rsid w:val="00384A5F"/>
    <w:rsid w:val="003E618A"/>
    <w:rsid w:val="003F6D21"/>
    <w:rsid w:val="00425C83"/>
    <w:rsid w:val="004A0E09"/>
    <w:rsid w:val="004A5165"/>
    <w:rsid w:val="004C27E6"/>
    <w:rsid w:val="004D2975"/>
    <w:rsid w:val="004D52FA"/>
    <w:rsid w:val="00500204"/>
    <w:rsid w:val="00521ABF"/>
    <w:rsid w:val="005E3DD7"/>
    <w:rsid w:val="005E6FA6"/>
    <w:rsid w:val="00676C44"/>
    <w:rsid w:val="00684186"/>
    <w:rsid w:val="0079785F"/>
    <w:rsid w:val="007B0C8E"/>
    <w:rsid w:val="007F6325"/>
    <w:rsid w:val="008068F2"/>
    <w:rsid w:val="00847850"/>
    <w:rsid w:val="00932904"/>
    <w:rsid w:val="0098793D"/>
    <w:rsid w:val="009A40E8"/>
    <w:rsid w:val="00A52ADA"/>
    <w:rsid w:val="00AA1801"/>
    <w:rsid w:val="00B87D37"/>
    <w:rsid w:val="00C03398"/>
    <w:rsid w:val="00C41782"/>
    <w:rsid w:val="00D63B6B"/>
    <w:rsid w:val="00DA0490"/>
    <w:rsid w:val="00DC37E0"/>
    <w:rsid w:val="00DF2490"/>
    <w:rsid w:val="00DF5CFF"/>
    <w:rsid w:val="00E23378"/>
    <w:rsid w:val="00E90762"/>
    <w:rsid w:val="00E914C4"/>
    <w:rsid w:val="00E91930"/>
    <w:rsid w:val="00EB204F"/>
    <w:rsid w:val="00ED3FE7"/>
    <w:rsid w:val="00F63BF3"/>
    <w:rsid w:val="00FB689D"/>
    <w:rsid w:val="00FE033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64F007-6EEA-4255-BC03-F35E9176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339"/>
    <w:pPr>
      <w:spacing w:after="0" w:line="340" w:lineRule="atLeast"/>
      <w:jc w:val="both"/>
    </w:pPr>
    <w:rPr>
      <w:rFonts w:ascii="Times New Roman" w:eastAsia="Times New Roman" w:hAnsi="Times New Roman" w:cs="Times New Roman"/>
      <w:color w:val="000000"/>
      <w:sz w:val="24"/>
      <w:szCs w:val="20"/>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41tablecaption">
    <w:name w:val="MDPI_4.1_table_caption"/>
    <w:basedOn w:val="Normal"/>
    <w:qFormat/>
    <w:rsid w:val="00FE0339"/>
    <w:pPr>
      <w:adjustRightInd w:val="0"/>
      <w:snapToGrid w:val="0"/>
      <w:spacing w:before="240" w:after="120" w:line="260" w:lineRule="atLeast"/>
      <w:ind w:left="425" w:right="425"/>
    </w:pPr>
    <w:rPr>
      <w:rFonts w:ascii="Palatino Linotype" w:hAnsi="Palatino Linotype"/>
      <w:sz w:val="18"/>
      <w:szCs w:val="22"/>
      <w:lang w:bidi="en-US"/>
    </w:rPr>
  </w:style>
  <w:style w:type="paragraph" w:customStyle="1" w:styleId="MDPI42tablebody">
    <w:name w:val="MDPI_4.2_table_body"/>
    <w:qFormat/>
    <w:rsid w:val="00FE0339"/>
    <w:pPr>
      <w:adjustRightInd w:val="0"/>
      <w:snapToGrid w:val="0"/>
      <w:spacing w:after="0" w:line="260" w:lineRule="atLeast"/>
      <w:jc w:val="center"/>
    </w:pPr>
    <w:rPr>
      <w:rFonts w:ascii="Palatino Linotype" w:eastAsia="Times New Roman" w:hAnsi="Palatino Linotype" w:cs="Times New Roman"/>
      <w:color w:val="000000"/>
      <w:sz w:val="20"/>
      <w:szCs w:val="20"/>
      <w:lang w:val="en-US" w:eastAsia="de-DE" w:bidi="en-US"/>
    </w:rPr>
  </w:style>
  <w:style w:type="table" w:styleId="TableGrid">
    <w:name w:val="Table Grid"/>
    <w:basedOn w:val="TableNormal"/>
    <w:uiPriority w:val="59"/>
    <w:rsid w:val="00FE0339"/>
    <w:pPr>
      <w:spacing w:after="0" w:line="240" w:lineRule="auto"/>
    </w:pPr>
    <w:rPr>
      <w:rFonts w:ascii="Times New Roman" w:eastAsia="SimSun" w:hAnsi="Times New Roman" w:cs="Times New Roman"/>
      <w:sz w:val="20"/>
      <w:szCs w:val="20"/>
      <w:lang w:eastAsia="en-Z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71References">
    <w:name w:val="MDPI_7.1_References"/>
    <w:basedOn w:val="Normal"/>
    <w:qFormat/>
    <w:rsid w:val="00521ABF"/>
    <w:pPr>
      <w:numPr>
        <w:numId w:val="1"/>
      </w:numPr>
      <w:adjustRightInd w:val="0"/>
      <w:snapToGrid w:val="0"/>
      <w:spacing w:line="260" w:lineRule="atLeast"/>
      <w:ind w:left="425" w:hanging="425"/>
    </w:pPr>
    <w:rPr>
      <w:rFonts w:ascii="Palatino Linotype" w:hAnsi="Palatino Linotype"/>
      <w:sz w:val="18"/>
      <w:lang w:bidi="en-US"/>
    </w:rPr>
  </w:style>
  <w:style w:type="table" w:customStyle="1" w:styleId="TableGrid1">
    <w:name w:val="Table Grid1"/>
    <w:basedOn w:val="TableNormal"/>
    <w:uiPriority w:val="39"/>
    <w:rsid w:val="00521A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21ABF"/>
    <w:pPr>
      <w:tabs>
        <w:tab w:val="center" w:pos="4513"/>
        <w:tab w:val="right" w:pos="9026"/>
      </w:tabs>
      <w:spacing w:line="240" w:lineRule="auto"/>
    </w:pPr>
  </w:style>
  <w:style w:type="character" w:customStyle="1" w:styleId="HeaderChar">
    <w:name w:val="Header Char"/>
    <w:basedOn w:val="DefaultParagraphFont"/>
    <w:link w:val="Header"/>
    <w:uiPriority w:val="99"/>
    <w:rsid w:val="00521ABF"/>
    <w:rPr>
      <w:rFonts w:ascii="Times New Roman" w:eastAsia="Times New Roman" w:hAnsi="Times New Roman" w:cs="Times New Roman"/>
      <w:color w:val="000000"/>
      <w:sz w:val="24"/>
      <w:szCs w:val="20"/>
      <w:lang w:val="en-US" w:eastAsia="de-DE"/>
    </w:rPr>
  </w:style>
  <w:style w:type="paragraph" w:styleId="Footer">
    <w:name w:val="footer"/>
    <w:basedOn w:val="Normal"/>
    <w:link w:val="FooterChar"/>
    <w:uiPriority w:val="99"/>
    <w:unhideWhenUsed/>
    <w:rsid w:val="00521ABF"/>
    <w:pPr>
      <w:tabs>
        <w:tab w:val="center" w:pos="4513"/>
        <w:tab w:val="right" w:pos="9026"/>
      </w:tabs>
      <w:spacing w:line="240" w:lineRule="auto"/>
    </w:pPr>
  </w:style>
  <w:style w:type="character" w:customStyle="1" w:styleId="FooterChar">
    <w:name w:val="Footer Char"/>
    <w:basedOn w:val="DefaultParagraphFont"/>
    <w:link w:val="Footer"/>
    <w:uiPriority w:val="99"/>
    <w:rsid w:val="00521ABF"/>
    <w:rPr>
      <w:rFonts w:ascii="Times New Roman" w:eastAsia="Times New Roman" w:hAnsi="Times New Roman" w:cs="Times New Roman"/>
      <w:color w:val="000000"/>
      <w:sz w:val="24"/>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142667">
      <w:bodyDiv w:val="1"/>
      <w:marLeft w:val="0"/>
      <w:marRight w:val="0"/>
      <w:marTop w:val="0"/>
      <w:marBottom w:val="0"/>
      <w:divBdr>
        <w:top w:val="none" w:sz="0" w:space="0" w:color="auto"/>
        <w:left w:val="none" w:sz="0" w:space="0" w:color="auto"/>
        <w:bottom w:val="none" w:sz="0" w:space="0" w:color="auto"/>
        <w:right w:val="none" w:sz="0" w:space="0" w:color="auto"/>
      </w:divBdr>
    </w:div>
    <w:div w:id="14649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North-West University</Company>
  <LinksUpToDate>false</LinksUpToDate>
  <CharactersWithSpaces>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24279862</dc:creator>
  <cp:keywords/>
  <dc:description/>
  <cp:lastModifiedBy>24279862</cp:lastModifiedBy>
  <cp:revision>4</cp:revision>
  <dcterms:created xsi:type="dcterms:W3CDTF">2019-10-30T09:35:00Z</dcterms:created>
  <dcterms:modified xsi:type="dcterms:W3CDTF">2019-12-06T13:22:00Z</dcterms:modified>
</cp:coreProperties>
</file>