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239" w:rsidRDefault="00506239"/>
    <w:tbl>
      <w:tblPr>
        <w:tblStyle w:val="Mriekatabuky"/>
        <w:tblW w:w="11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7474"/>
      </w:tblGrid>
      <w:tr w:rsidR="003728FC" w:rsidRPr="00752C27" w:rsidTr="003728FC">
        <w:trPr>
          <w:trHeight w:val="300"/>
        </w:trPr>
        <w:tc>
          <w:tcPr>
            <w:tcW w:w="4416" w:type="dxa"/>
            <w:shd w:val="clear" w:color="auto" w:fill="auto"/>
            <w:noWrap/>
            <w:hideMark/>
          </w:tcPr>
          <w:p w:rsidR="003728FC" w:rsidRDefault="003728FC"/>
          <w:p w:rsidR="003728FC" w:rsidRDefault="003728FC"/>
          <w:p w:rsidR="003728FC" w:rsidRDefault="003728FC"/>
          <w:p w:rsidR="003728FC" w:rsidRDefault="003728FC"/>
          <w:p w:rsidR="003728FC" w:rsidRPr="00752C27" w:rsidRDefault="003728FC" w:rsidP="00492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74" w:type="dxa"/>
            <w:shd w:val="clear" w:color="auto" w:fill="auto"/>
            <w:noWrap/>
            <w:hideMark/>
          </w:tcPr>
          <w:p w:rsidR="003728FC" w:rsidRDefault="003728FC" w:rsidP="00492C23">
            <w:pPr>
              <w:rPr>
                <w:rFonts w:cstheme="minorHAnsi"/>
                <w:sz w:val="20"/>
                <w:szCs w:val="20"/>
              </w:rPr>
            </w:pPr>
          </w:p>
          <w:p w:rsidR="003728FC" w:rsidRPr="00752C27" w:rsidRDefault="003728FC" w:rsidP="00492C2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506239" w:rsidRDefault="00506239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23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73"/>
        <w:gridCol w:w="1288"/>
      </w:tblGrid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MAY</w:t>
            </w:r>
            <w:r>
              <w:t xml:space="preserve"> 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MAY</w:t>
            </w:r>
            <w:r>
              <w:t xml:space="preserve"> 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JUNE</w:t>
            </w:r>
            <w:r>
              <w:t xml:space="preserve"> 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JUNE</w:t>
            </w:r>
            <w:r>
              <w:t xml:space="preserve"> 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JULY</w:t>
            </w:r>
            <w:r>
              <w:t xml:space="preserve"> 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JULY</w:t>
            </w:r>
            <w:r>
              <w:t xml:space="preserve"> 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JULY 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JULY II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>
              <w:t>AUG I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>
              <w:t>AUG  II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avg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sd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avg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sd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avg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sd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avg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sd</w:t>
            </w:r>
            <w:proofErr w:type="spellEnd"/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avg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sd</w:t>
            </w:r>
            <w:proofErr w:type="spellEnd"/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Calamagrostis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18</w:t>
            </w:r>
            <w:r w:rsidR="005D12CA">
              <w:t>.</w:t>
            </w:r>
            <w:r w:rsidRPr="006A74C6"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20</w:t>
            </w:r>
            <w:r w:rsidR="005D12CA">
              <w:t>.</w:t>
            </w:r>
            <w:r w:rsidRPr="006A74C6"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19</w:t>
            </w:r>
            <w:r w:rsidR="005D12CA">
              <w:t>.</w:t>
            </w:r>
            <w:r w:rsidRPr="006A74C6"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642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9</w:t>
            </w:r>
            <w:r w:rsidR="005D12CA">
              <w:t>.</w:t>
            </w:r>
            <w:r w:rsidRPr="006A74C6">
              <w:t>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589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495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898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villosa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006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Chamaerion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17</w:t>
            </w:r>
            <w:r w:rsidR="005D12CA">
              <w:t>.</w:t>
            </w:r>
            <w:r w:rsidRPr="006A74C6">
              <w:t>58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649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17</w:t>
            </w:r>
            <w:r w:rsidR="005D12CA">
              <w:t>.</w:t>
            </w:r>
            <w:r w:rsidRPr="006A74C6">
              <w:t>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465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15</w:t>
            </w:r>
            <w:r w:rsidR="005D12CA">
              <w:t>.</w:t>
            </w:r>
            <w:r w:rsidRPr="006A74C6">
              <w:t>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483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72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307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294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548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angustifoliu</w:t>
            </w:r>
            <w:r w:rsidR="005D12CA">
              <w:rPr>
                <w:rFonts w:ascii="Arial" w:hAnsi="Arial" w:cs="Arial"/>
                <w:i/>
              </w:rPr>
              <w:t>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019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Avenel</w:t>
            </w:r>
            <w:r w:rsidR="005D12CA">
              <w:rPr>
                <w:rFonts w:ascii="Arial" w:hAnsi="Arial" w:cs="Arial"/>
                <w:i/>
              </w:rPr>
              <w:t>l</w:t>
            </w:r>
            <w:r w:rsidRPr="006A74C6">
              <w:rPr>
                <w:rFonts w:ascii="Arial" w:hAnsi="Arial" w:cs="Arial"/>
                <w:i/>
              </w:rPr>
              <w:t>a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9</w:t>
            </w:r>
            <w:r w:rsidR="005D12CA">
              <w:t>.</w:t>
            </w:r>
            <w:r w:rsidRPr="006A74C6">
              <w:t>93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487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93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14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339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5</w:t>
            </w:r>
            <w:r w:rsidR="005D12CA">
              <w:t>.</w:t>
            </w:r>
            <w:r w:rsidRPr="006A74C6">
              <w:t>713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273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4</w:t>
            </w:r>
            <w:r w:rsidR="005D12CA">
              <w:t>.</w:t>
            </w:r>
            <w:r w:rsidRPr="006A74C6">
              <w:t>302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223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flexuosa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006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Rubus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16</w:t>
            </w:r>
            <w:r w:rsidR="005D12CA">
              <w:t>.</w:t>
            </w:r>
            <w:r w:rsidRPr="006A74C6">
              <w:t>19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689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19</w:t>
            </w:r>
            <w:r w:rsidR="005D12CA">
              <w:t>.</w:t>
            </w:r>
            <w:r w:rsidRPr="006A74C6">
              <w:t>047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643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16</w:t>
            </w:r>
            <w:r w:rsidR="005D12CA">
              <w:t>.</w:t>
            </w:r>
            <w:r w:rsidRPr="006A74C6">
              <w:t>877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689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10</w:t>
            </w:r>
            <w:r w:rsidR="005D12CA">
              <w:t>.</w:t>
            </w:r>
            <w:r w:rsidRPr="006A74C6">
              <w:t>448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398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201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479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ideaus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Vaccinium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17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373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375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459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23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332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5</w:t>
            </w:r>
            <w:r w:rsidR="005D12CA">
              <w:t>.</w:t>
            </w:r>
            <w:r w:rsidRPr="006A74C6">
              <w:t>323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302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myrtillus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Calamagrostis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14</w:t>
            </w:r>
            <w:r w:rsidR="005D12CA">
              <w:t>.</w:t>
            </w:r>
            <w:r w:rsidRPr="006A74C6">
              <w:t>81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718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17</w:t>
            </w:r>
            <w:r w:rsidR="005D12CA">
              <w:t>.</w:t>
            </w:r>
            <w:r w:rsidRPr="006A74C6">
              <w:t>372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375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16</w:t>
            </w:r>
            <w:r w:rsidR="005D12CA">
              <w:t>.</w:t>
            </w:r>
            <w:r w:rsidRPr="006A74C6">
              <w:t>112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589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11</w:t>
            </w:r>
            <w:r w:rsidR="005D12CA">
              <w:t>.</w:t>
            </w:r>
            <w:r w:rsidRPr="006A74C6">
              <w:t>605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355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4</w:t>
            </w:r>
            <w:r w:rsidR="005D12CA">
              <w:t>.</w:t>
            </w:r>
            <w:r w:rsidRPr="006A74C6">
              <w:t>049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403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arrundinacea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Picea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12</w:t>
            </w:r>
            <w:r w:rsidR="005D12CA">
              <w:t>.</w:t>
            </w:r>
            <w:r w:rsidRPr="006A74C6">
              <w:t>53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433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72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307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84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288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11</w:t>
            </w:r>
            <w:r w:rsidR="005D12CA">
              <w:t>.</w:t>
            </w:r>
            <w:r w:rsidRPr="006A74C6">
              <w:t>731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621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203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313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abies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005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Larix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12</w:t>
            </w:r>
            <w:r w:rsidR="005D12CA">
              <w:t>.</w:t>
            </w:r>
            <w:r w:rsidRPr="006A74C6">
              <w:t>74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346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11</w:t>
            </w:r>
            <w:r w:rsidR="005D12CA">
              <w:t>.</w:t>
            </w:r>
            <w:r w:rsidRPr="006A74C6">
              <w:t>96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474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10</w:t>
            </w:r>
            <w:r w:rsidR="005D12CA">
              <w:t>.</w:t>
            </w:r>
            <w:r w:rsidRPr="006A74C6">
              <w:t>48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449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11</w:t>
            </w:r>
            <w:r w:rsidR="005D12CA">
              <w:t>.</w:t>
            </w:r>
            <w:r w:rsidRPr="006A74C6">
              <w:t>227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406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4</w:t>
            </w:r>
            <w:r w:rsidR="005D12CA">
              <w:t>.</w:t>
            </w:r>
            <w:r w:rsidRPr="006A74C6">
              <w:t>201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253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decidua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016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Pinus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5</w:t>
            </w:r>
            <w:r w:rsidR="005D12CA">
              <w:t>.</w:t>
            </w:r>
            <w:r w:rsidRPr="006A74C6">
              <w:t>34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251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5</w:t>
            </w:r>
            <w:r w:rsidR="005D12CA">
              <w:t>.</w:t>
            </w:r>
            <w:r w:rsidRPr="006A74C6">
              <w:t>72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348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5</w:t>
            </w:r>
            <w:r w:rsidR="005D12CA">
              <w:t>.</w:t>
            </w:r>
            <w:r w:rsidRPr="006A74C6">
              <w:t>91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256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6</w:t>
            </w:r>
            <w:r w:rsidR="005D12CA">
              <w:t>.</w:t>
            </w:r>
            <w:r w:rsidRPr="006A74C6">
              <w:t>041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6</w:t>
            </w:r>
            <w:r w:rsidR="005D12CA">
              <w:t>.</w:t>
            </w:r>
            <w:r w:rsidRPr="006A74C6">
              <w:t>801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362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mugo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015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Betula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7</w:t>
            </w:r>
            <w:r w:rsidR="005D12CA">
              <w:t>.</w:t>
            </w:r>
            <w:r w:rsidRPr="006A74C6">
              <w:t>97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373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8</w:t>
            </w:r>
            <w:r w:rsidR="005D12CA">
              <w:t>.</w:t>
            </w:r>
            <w:r w:rsidRPr="006A74C6">
              <w:t>413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587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6</w:t>
            </w:r>
            <w:r w:rsidR="005D12CA">
              <w:t>.</w:t>
            </w:r>
            <w:r w:rsidRPr="006A74C6">
              <w:t>98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463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6</w:t>
            </w:r>
            <w:r w:rsidR="005D12CA">
              <w:t>.</w:t>
            </w:r>
            <w:r w:rsidRPr="006A74C6">
              <w:t>451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251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6</w:t>
            </w:r>
            <w:r w:rsidR="005D12CA">
              <w:t>.</w:t>
            </w:r>
            <w:r w:rsidRPr="006A74C6">
              <w:t>353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271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alba</w:t>
            </w:r>
            <w:bookmarkStart w:id="0" w:name="_GoBack"/>
            <w:bookmarkEnd w:id="0"/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016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lastRenderedPageBreak/>
              <w:t>Populus</w:t>
            </w:r>
            <w:proofErr w:type="spellEnd"/>
            <w:r w:rsidRPr="006A74C6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16</w:t>
            </w:r>
            <w:r w:rsidR="005D12CA">
              <w:t>.</w:t>
            </w:r>
            <w:r w:rsidRPr="006A74C6">
              <w:t>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748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20</w:t>
            </w:r>
            <w:r w:rsidR="005D12CA">
              <w:t>.</w:t>
            </w:r>
            <w:r w:rsidRPr="006A74C6">
              <w:t>414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494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17</w:t>
            </w:r>
            <w:r w:rsidR="005D12CA">
              <w:t>.</w:t>
            </w:r>
            <w:r w:rsidRPr="006A74C6">
              <w:t>584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612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9</w:t>
            </w:r>
            <w:r w:rsidR="005D12CA">
              <w:t>.</w:t>
            </w:r>
            <w:r w:rsidRPr="006A74C6">
              <w:t>445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454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9</w:t>
            </w:r>
            <w:r w:rsidR="005D12CA">
              <w:t>.</w:t>
            </w:r>
            <w:r w:rsidRPr="006A74C6">
              <w:t>445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454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tremulae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012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Salix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19</w:t>
            </w:r>
            <w:r w:rsidR="005D12CA">
              <w:t>.</w:t>
            </w:r>
            <w:r w:rsidRPr="006A74C6">
              <w:t>46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821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23</w:t>
            </w:r>
            <w:r w:rsidR="005D12CA">
              <w:t>.</w:t>
            </w:r>
            <w:r w:rsidRPr="006A74C6">
              <w:t>35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706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19</w:t>
            </w:r>
            <w:r w:rsidR="005D12CA">
              <w:t>.</w:t>
            </w:r>
            <w:r w:rsidRPr="006A74C6">
              <w:t>36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981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10</w:t>
            </w:r>
            <w:r w:rsidR="005D12CA">
              <w:t>.</w:t>
            </w:r>
            <w:r w:rsidRPr="006A74C6">
              <w:t>507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594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5</w:t>
            </w:r>
            <w:r w:rsidR="005D12CA">
              <w:t>.</w:t>
            </w:r>
            <w:r w:rsidRPr="006A74C6">
              <w:t>802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387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caprea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028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Sorbus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GPPmax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12</w:t>
            </w:r>
            <w:r w:rsidR="005D12CA">
              <w:t>.</w:t>
            </w:r>
            <w:r w:rsidRPr="006A74C6">
              <w:t>56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425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15</w:t>
            </w:r>
            <w:r w:rsidR="005D12CA">
              <w:t>.</w:t>
            </w:r>
            <w:r w:rsidRPr="006A74C6">
              <w:t>843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399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13</w:t>
            </w:r>
            <w:r w:rsidR="005D12CA">
              <w:t>.</w:t>
            </w:r>
            <w:r w:rsidRPr="006A74C6">
              <w:t>503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384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13</w:t>
            </w:r>
            <w:r w:rsidR="005D12CA">
              <w:t>.</w:t>
            </w:r>
            <w:r w:rsidRPr="006A74C6">
              <w:t>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414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6</w:t>
            </w:r>
            <w:r w:rsidR="005D12CA">
              <w:t>.</w:t>
            </w:r>
            <w:r w:rsidRPr="006A74C6">
              <w:t>632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517</w:t>
            </w:r>
          </w:p>
        </w:tc>
      </w:tr>
      <w:tr w:rsidR="003728FC" w:rsidRPr="006A74C6" w:rsidTr="008712C0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pPr>
              <w:rPr>
                <w:rFonts w:ascii="Arial" w:hAnsi="Arial" w:cs="Arial"/>
                <w:i/>
              </w:rPr>
            </w:pPr>
            <w:proofErr w:type="spellStart"/>
            <w:r w:rsidRPr="006A74C6">
              <w:rPr>
                <w:rFonts w:ascii="Arial" w:hAnsi="Arial" w:cs="Arial"/>
                <w:i/>
              </w:rPr>
              <w:t>aucuparia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proofErr w:type="spellStart"/>
            <w:r w:rsidRPr="006A74C6"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67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0054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0044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069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021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058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noWrap/>
            <w:hideMark/>
          </w:tcPr>
          <w:p w:rsidR="003728FC" w:rsidRPr="006A74C6" w:rsidRDefault="003728FC" w:rsidP="008712C0">
            <w:r w:rsidRPr="006A74C6">
              <w:t>0</w:t>
            </w:r>
            <w:r w:rsidR="005D12CA">
              <w:t>.</w:t>
            </w:r>
            <w:r w:rsidRPr="006A74C6">
              <w:t>016</w:t>
            </w:r>
          </w:p>
        </w:tc>
      </w:tr>
    </w:tbl>
    <w:p w:rsidR="003728FC" w:rsidRDefault="003728FC"/>
    <w:sectPr w:rsidR="003728FC" w:rsidSect="006748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39"/>
    <w:rsid w:val="003728FC"/>
    <w:rsid w:val="003F3747"/>
    <w:rsid w:val="004529CE"/>
    <w:rsid w:val="004E38AA"/>
    <w:rsid w:val="00506239"/>
    <w:rsid w:val="005D12CA"/>
    <w:rsid w:val="006748CF"/>
    <w:rsid w:val="00FC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5B9E"/>
  <w15:chartTrackingRefBased/>
  <w15:docId w15:val="{FE2B6CBC-7FD6-492A-BFF6-EC1351D3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6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Fleischer</dc:creator>
  <cp:keywords/>
  <dc:description/>
  <cp:lastModifiedBy>Peter Fleischer</cp:lastModifiedBy>
  <cp:revision>2</cp:revision>
  <dcterms:created xsi:type="dcterms:W3CDTF">2020-10-05T11:42:00Z</dcterms:created>
  <dcterms:modified xsi:type="dcterms:W3CDTF">2020-10-05T11:42:00Z</dcterms:modified>
</cp:coreProperties>
</file>