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F73" w:rsidRDefault="002C7AAC">
      <w:r>
        <w:t xml:space="preserve">Supplementary Table 3: </w:t>
      </w:r>
      <w:bookmarkStart w:id="0" w:name="_GoBack"/>
      <w:r>
        <w:t>Comparison of indicative laboratory data form COVID-19 patients grouped by final outcome</w:t>
      </w:r>
      <w:bookmarkEnd w:id="0"/>
    </w:p>
    <w:tbl>
      <w:tblPr>
        <w:tblW w:w="11339" w:type="dxa"/>
        <w:tblLook w:val="00A0" w:firstRow="1" w:lastRow="0" w:firstColumn="1" w:lastColumn="0" w:noHBand="0" w:noVBand="0"/>
      </w:tblPr>
      <w:tblGrid>
        <w:gridCol w:w="2835"/>
        <w:gridCol w:w="1418"/>
        <w:gridCol w:w="1276"/>
        <w:gridCol w:w="1559"/>
        <w:gridCol w:w="1417"/>
        <w:gridCol w:w="1417"/>
        <w:gridCol w:w="1417"/>
      </w:tblGrid>
      <w:tr w:rsidR="00D26E33" w:rsidRPr="00EF72E7" w:rsidTr="00D26E33">
        <w:trPr>
          <w:trHeight w:val="380"/>
        </w:trPr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26E33" w:rsidRPr="00EF72E7" w:rsidRDefault="00D26E33" w:rsidP="003452D0">
            <w:pPr>
              <w:rPr>
                <w:rFonts w:cs="Arial"/>
                <w:bCs/>
                <w:lang w:eastAsia="de-DE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26E33" w:rsidRPr="00EF72E7" w:rsidRDefault="00D26E33" w:rsidP="003452D0">
            <w:pPr>
              <w:jc w:val="center"/>
              <w:rPr>
                <w:rFonts w:cs="Arial"/>
                <w:bCs/>
                <w:lang w:eastAsia="de-DE"/>
              </w:rPr>
            </w:pPr>
            <w:r w:rsidRPr="00EF72E7">
              <w:rPr>
                <w:rFonts w:cs="Arial"/>
                <w:bCs/>
                <w:lang w:eastAsia="de-DE"/>
              </w:rPr>
              <w:t>COVID-19</w:t>
            </w:r>
          </w:p>
          <w:p w:rsidR="00D26E33" w:rsidRPr="00EF72E7" w:rsidRDefault="00D26E33" w:rsidP="003452D0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All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26E33" w:rsidRPr="00EF72E7" w:rsidRDefault="00D26E33" w:rsidP="003452D0">
            <w:pPr>
              <w:jc w:val="center"/>
              <w:rPr>
                <w:rFonts w:cs="Arial"/>
                <w:bCs/>
                <w:lang w:eastAsia="de-DE"/>
              </w:rPr>
            </w:pPr>
            <w:r w:rsidRPr="00EF72E7">
              <w:rPr>
                <w:rFonts w:cs="Arial"/>
                <w:bCs/>
                <w:lang w:eastAsia="de-DE"/>
              </w:rPr>
              <w:t>COVID-19</w:t>
            </w:r>
          </w:p>
          <w:p w:rsidR="00D26E33" w:rsidRPr="00EF72E7" w:rsidRDefault="00B7177A" w:rsidP="003452D0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NPCC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</w:tcBorders>
          </w:tcPr>
          <w:p w:rsidR="00D26E33" w:rsidRPr="00EF72E7" w:rsidRDefault="00D26E33" w:rsidP="003452D0">
            <w:pPr>
              <w:jc w:val="center"/>
              <w:rPr>
                <w:rFonts w:cs="Arial"/>
                <w:bCs/>
                <w:lang w:eastAsia="de-DE"/>
              </w:rPr>
            </w:pPr>
            <w:r w:rsidRPr="00EF72E7">
              <w:rPr>
                <w:rFonts w:cs="Arial"/>
                <w:bCs/>
                <w:lang w:eastAsia="de-DE"/>
              </w:rPr>
              <w:t>COVID-19</w:t>
            </w:r>
          </w:p>
          <w:p w:rsidR="00D26E33" w:rsidRPr="00EF72E7" w:rsidRDefault="00B7177A" w:rsidP="003452D0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PCC</w:t>
            </w:r>
          </w:p>
        </w:tc>
      </w:tr>
      <w:tr w:rsidR="00D26E33" w:rsidRPr="00EF72E7" w:rsidTr="00D26E33">
        <w:trPr>
          <w:trHeight w:val="380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6E33" w:rsidRPr="00EF72E7" w:rsidRDefault="00D26E33" w:rsidP="003452D0">
            <w:pPr>
              <w:rPr>
                <w:rFonts w:cs="Arial"/>
                <w:bCs/>
                <w:lang w:eastAsia="de-DE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26E33" w:rsidRPr="00EF72E7" w:rsidRDefault="00D26E33" w:rsidP="003452D0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Acute phase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6E33" w:rsidRPr="00EF72E7" w:rsidRDefault="00D26E33" w:rsidP="003452D0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Follow-up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6E33" w:rsidRPr="00EF72E7" w:rsidRDefault="00D26E33" w:rsidP="003452D0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Acute phase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6E33" w:rsidRPr="00EF72E7" w:rsidRDefault="00D26E33" w:rsidP="003452D0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Follow-up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26E33" w:rsidRPr="00EF72E7" w:rsidRDefault="00D26E33" w:rsidP="003452D0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Acute phase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26E33" w:rsidRPr="00EF72E7" w:rsidRDefault="00D26E33" w:rsidP="003452D0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Follow-up</w:t>
            </w:r>
          </w:p>
        </w:tc>
      </w:tr>
      <w:tr w:rsidR="00D26E33" w:rsidRPr="00EF72E7" w:rsidTr="00D26E33">
        <w:trPr>
          <w:trHeight w:val="352"/>
        </w:trPr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26E33" w:rsidRPr="00EF72E7" w:rsidRDefault="00D26E33" w:rsidP="003452D0">
            <w:pPr>
              <w:rPr>
                <w:rFonts w:cs="Arial"/>
                <w:bCs/>
                <w:lang w:eastAsia="de-DE"/>
              </w:rPr>
            </w:pPr>
            <w:r w:rsidRPr="00EF72E7">
              <w:rPr>
                <w:rFonts w:cs="Arial"/>
                <w:bCs/>
                <w:lang w:eastAsia="de-DE"/>
              </w:rPr>
              <w:t>N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26E33" w:rsidRPr="00EF72E7" w:rsidRDefault="00D26E33" w:rsidP="003452D0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73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26E33" w:rsidRPr="00EF72E7" w:rsidRDefault="00D26E33" w:rsidP="003452D0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26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</w:tcBorders>
          </w:tcPr>
          <w:p w:rsidR="00D26E33" w:rsidRPr="00EF72E7" w:rsidRDefault="00D26E33" w:rsidP="003452D0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47</w:t>
            </w:r>
          </w:p>
        </w:tc>
      </w:tr>
      <w:tr w:rsidR="00D26E33" w:rsidRPr="00EF72E7" w:rsidTr="00D26E33">
        <w:trPr>
          <w:trHeight w:val="644"/>
        </w:trPr>
        <w:tc>
          <w:tcPr>
            <w:tcW w:w="2835" w:type="dxa"/>
            <w:shd w:val="clear" w:color="auto" w:fill="auto"/>
            <w:vAlign w:val="center"/>
          </w:tcPr>
          <w:p w:rsidR="00D26E33" w:rsidRPr="00EF72E7" w:rsidRDefault="00D26E33" w:rsidP="003452D0">
            <w:pPr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>L</w:t>
            </w:r>
            <w:r w:rsidRPr="00EF72E7">
              <w:rPr>
                <w:rFonts w:cs="Arial"/>
                <w:lang w:eastAsia="de-DE"/>
              </w:rPr>
              <w:t xml:space="preserve">ymphocytes </w:t>
            </w:r>
            <w:r>
              <w:rPr>
                <w:rFonts w:cs="Arial"/>
                <w:lang w:eastAsia="de-DE"/>
              </w:rPr>
              <w:t>in Gpt/l</w:t>
            </w:r>
          </w:p>
          <w:p w:rsidR="00D26E33" w:rsidRPr="00EF72E7" w:rsidRDefault="00D26E33" w:rsidP="003452D0">
            <w:pPr>
              <w:rPr>
                <w:rFonts w:cs="Arial"/>
                <w:lang w:eastAsia="de-DE"/>
              </w:rPr>
            </w:pPr>
            <w:r w:rsidRPr="00EF72E7">
              <w:rPr>
                <w:rFonts w:cs="Arial"/>
                <w:lang w:eastAsia="de-DE"/>
              </w:rPr>
              <w:t>(</w:t>
            </w:r>
            <w:r>
              <w:rPr>
                <w:rFonts w:cs="Arial"/>
                <w:lang w:eastAsia="de-DE"/>
              </w:rPr>
              <w:t>IQR</w:t>
            </w:r>
            <w:r w:rsidRPr="00EF72E7">
              <w:rPr>
                <w:rFonts w:cs="Arial"/>
                <w:lang w:eastAsia="de-DE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26E33" w:rsidRPr="002C7AAC" w:rsidRDefault="00D26E33" w:rsidP="003452D0">
            <w:pPr>
              <w:jc w:val="center"/>
              <w:rPr>
                <w:rFonts w:cs="Arial"/>
                <w:b/>
                <w:bCs/>
                <w:color w:val="000000" w:themeColor="text1"/>
                <w:lang w:eastAsia="de-DE"/>
              </w:rPr>
            </w:pPr>
            <w:r w:rsidRPr="002C7AAC">
              <w:rPr>
                <w:rFonts w:cs="Arial"/>
                <w:b/>
                <w:bCs/>
                <w:color w:val="000000" w:themeColor="text1"/>
                <w:lang w:eastAsia="de-DE"/>
              </w:rPr>
              <w:t xml:space="preserve">0.96 </w:t>
            </w:r>
          </w:p>
          <w:p w:rsidR="00D26E33" w:rsidRPr="002C7AAC" w:rsidRDefault="00D26E33" w:rsidP="003452D0">
            <w:pPr>
              <w:jc w:val="center"/>
              <w:rPr>
                <w:rFonts w:cs="Arial"/>
                <w:bCs/>
                <w:color w:val="000000" w:themeColor="text1"/>
                <w:lang w:eastAsia="de-DE"/>
              </w:rPr>
            </w:pPr>
            <w:r w:rsidRPr="002C7AAC">
              <w:rPr>
                <w:rFonts w:cs="Arial"/>
                <w:b/>
                <w:bCs/>
                <w:color w:val="000000" w:themeColor="text1"/>
                <w:lang w:eastAsia="de-DE"/>
              </w:rPr>
              <w:t>(0.76-1.27)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E33" w:rsidRPr="002C7AAC" w:rsidRDefault="00D26E33" w:rsidP="003452D0">
            <w:pPr>
              <w:jc w:val="center"/>
              <w:rPr>
                <w:rFonts w:cs="Arial"/>
                <w:bCs/>
                <w:color w:val="000000" w:themeColor="text1"/>
                <w:lang w:eastAsia="de-DE"/>
              </w:rPr>
            </w:pPr>
            <w:r w:rsidRPr="002C7AAC">
              <w:rPr>
                <w:rFonts w:cs="Arial"/>
                <w:bCs/>
                <w:color w:val="000000" w:themeColor="text1"/>
                <w:lang w:eastAsia="de-DE"/>
              </w:rPr>
              <w:t xml:space="preserve">1.75 </w:t>
            </w:r>
          </w:p>
          <w:p w:rsidR="00D26E33" w:rsidRPr="002C7AAC" w:rsidRDefault="00D26E33" w:rsidP="003452D0">
            <w:pPr>
              <w:jc w:val="center"/>
              <w:rPr>
                <w:rFonts w:cs="Arial"/>
                <w:bCs/>
                <w:color w:val="000000" w:themeColor="text1"/>
                <w:lang w:eastAsia="de-DE"/>
              </w:rPr>
            </w:pPr>
            <w:r w:rsidRPr="002C7AAC">
              <w:rPr>
                <w:rFonts w:cs="Arial"/>
                <w:bCs/>
                <w:color w:val="000000" w:themeColor="text1"/>
                <w:lang w:eastAsia="de-DE"/>
              </w:rPr>
              <w:t>(1.45-2.31)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26E33" w:rsidRPr="002C7AAC" w:rsidRDefault="00D26E33" w:rsidP="003452D0">
            <w:pPr>
              <w:spacing w:line="240" w:lineRule="auto"/>
              <w:jc w:val="center"/>
              <w:rPr>
                <w:rFonts w:cs="Arial"/>
                <w:b/>
                <w:bCs/>
                <w:lang w:eastAsia="de-DE"/>
              </w:rPr>
            </w:pPr>
            <w:r w:rsidRPr="002C7AAC">
              <w:rPr>
                <w:rFonts w:cs="Arial"/>
                <w:b/>
                <w:bCs/>
                <w:lang w:eastAsia="de-DE"/>
              </w:rPr>
              <w:t>1.04</w:t>
            </w:r>
          </w:p>
          <w:p w:rsidR="00D26E33" w:rsidRPr="00EF72E7" w:rsidRDefault="00D26E33" w:rsidP="003452D0">
            <w:pPr>
              <w:spacing w:line="240" w:lineRule="auto"/>
              <w:jc w:val="center"/>
              <w:rPr>
                <w:rFonts w:cs="Arial"/>
                <w:bCs/>
                <w:lang w:eastAsia="de-DE"/>
              </w:rPr>
            </w:pPr>
            <w:r w:rsidRPr="002C7AAC">
              <w:rPr>
                <w:rFonts w:cs="Arial"/>
                <w:b/>
                <w:bCs/>
                <w:lang w:eastAsia="de-DE"/>
              </w:rPr>
              <w:t>(0,82-1,51)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26E33" w:rsidRDefault="00D26E33" w:rsidP="003452D0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1.92</w:t>
            </w:r>
          </w:p>
          <w:p w:rsidR="00D26E33" w:rsidRPr="00EF72E7" w:rsidRDefault="00D26E33" w:rsidP="003452D0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(1.58-2.43)</w:t>
            </w:r>
          </w:p>
        </w:tc>
        <w:tc>
          <w:tcPr>
            <w:tcW w:w="1417" w:type="dxa"/>
          </w:tcPr>
          <w:p w:rsidR="00D26E33" w:rsidRPr="002C7AAC" w:rsidRDefault="00374CBA" w:rsidP="003452D0">
            <w:pPr>
              <w:jc w:val="center"/>
              <w:rPr>
                <w:rFonts w:cs="Arial"/>
                <w:b/>
                <w:bCs/>
                <w:lang w:eastAsia="de-DE"/>
              </w:rPr>
            </w:pPr>
            <w:r w:rsidRPr="002C7AAC">
              <w:rPr>
                <w:rFonts w:cs="Arial"/>
                <w:b/>
                <w:bCs/>
                <w:lang w:eastAsia="de-DE"/>
              </w:rPr>
              <w:t>0.94</w:t>
            </w:r>
          </w:p>
          <w:p w:rsidR="00374CBA" w:rsidRPr="00EF72E7" w:rsidRDefault="00374CBA" w:rsidP="003452D0">
            <w:pPr>
              <w:jc w:val="center"/>
              <w:rPr>
                <w:rFonts w:cs="Arial"/>
                <w:bCs/>
                <w:lang w:eastAsia="de-DE"/>
              </w:rPr>
            </w:pPr>
            <w:r w:rsidRPr="002C7AAC">
              <w:rPr>
                <w:rFonts w:cs="Arial"/>
                <w:b/>
                <w:bCs/>
                <w:lang w:eastAsia="de-DE"/>
              </w:rPr>
              <w:t>(0.715-1.13)</w:t>
            </w:r>
          </w:p>
        </w:tc>
        <w:tc>
          <w:tcPr>
            <w:tcW w:w="1417" w:type="dxa"/>
          </w:tcPr>
          <w:p w:rsidR="00D26E33" w:rsidRDefault="00D26E33" w:rsidP="003452D0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1.71</w:t>
            </w:r>
          </w:p>
          <w:p w:rsidR="00D26E33" w:rsidRPr="00EF72E7" w:rsidRDefault="00D26E33" w:rsidP="003452D0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(1.41-2.26)</w:t>
            </w:r>
          </w:p>
        </w:tc>
      </w:tr>
      <w:tr w:rsidR="00D26E33" w:rsidRPr="00EF72E7" w:rsidTr="00D26E33">
        <w:trPr>
          <w:trHeight w:val="644"/>
        </w:trPr>
        <w:tc>
          <w:tcPr>
            <w:tcW w:w="2835" w:type="dxa"/>
            <w:shd w:val="clear" w:color="auto" w:fill="auto"/>
            <w:vAlign w:val="center"/>
          </w:tcPr>
          <w:p w:rsidR="00D26E33" w:rsidRPr="00EF72E7" w:rsidRDefault="00D26E33" w:rsidP="003452D0">
            <w:pPr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>Neutrophils</w:t>
            </w:r>
            <w:r w:rsidRPr="00EF72E7">
              <w:rPr>
                <w:rFonts w:cs="Arial"/>
                <w:lang w:eastAsia="de-DE"/>
              </w:rPr>
              <w:t xml:space="preserve"> </w:t>
            </w:r>
            <w:r>
              <w:rPr>
                <w:rFonts w:cs="Arial"/>
                <w:lang w:eastAsia="de-DE"/>
              </w:rPr>
              <w:t>in Gpt/l</w:t>
            </w:r>
          </w:p>
          <w:p w:rsidR="00D26E33" w:rsidRPr="00EF72E7" w:rsidRDefault="00D26E33" w:rsidP="003452D0">
            <w:pPr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>(IQR</w:t>
            </w:r>
            <w:r w:rsidRPr="00EF72E7" w:rsidDel="00A72041">
              <w:rPr>
                <w:rFonts w:cs="Arial"/>
                <w:lang w:eastAsia="de-DE"/>
              </w:rPr>
              <w:t xml:space="preserve"> </w:t>
            </w:r>
            <w:r w:rsidRPr="00EF72E7">
              <w:rPr>
                <w:rFonts w:cs="Arial"/>
                <w:lang w:eastAsia="de-DE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26E33" w:rsidRPr="002C7AAC" w:rsidRDefault="00D26E33" w:rsidP="003452D0">
            <w:pPr>
              <w:jc w:val="center"/>
              <w:rPr>
                <w:rFonts w:cs="Arial"/>
                <w:bCs/>
                <w:color w:val="000000" w:themeColor="text1"/>
                <w:lang w:eastAsia="de-DE"/>
              </w:rPr>
            </w:pPr>
            <w:r w:rsidRPr="002C7AAC">
              <w:rPr>
                <w:rFonts w:cs="Arial"/>
                <w:bCs/>
                <w:color w:val="000000" w:themeColor="text1"/>
                <w:lang w:eastAsia="de-DE"/>
              </w:rPr>
              <w:t xml:space="preserve">4.04 </w:t>
            </w:r>
          </w:p>
          <w:p w:rsidR="00D26E33" w:rsidRPr="002C7AAC" w:rsidRDefault="00D26E33" w:rsidP="003452D0">
            <w:pPr>
              <w:jc w:val="center"/>
              <w:rPr>
                <w:rFonts w:cs="Arial"/>
                <w:bCs/>
                <w:color w:val="000000" w:themeColor="text1"/>
                <w:lang w:eastAsia="de-DE"/>
              </w:rPr>
            </w:pPr>
            <w:r w:rsidRPr="002C7AAC">
              <w:rPr>
                <w:rFonts w:cs="Arial"/>
                <w:bCs/>
                <w:color w:val="000000" w:themeColor="text1"/>
                <w:lang w:eastAsia="de-DE"/>
              </w:rPr>
              <w:t>(3.18-5.80)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E33" w:rsidRPr="002C7AAC" w:rsidRDefault="00D26E33" w:rsidP="003452D0">
            <w:pPr>
              <w:jc w:val="center"/>
              <w:rPr>
                <w:rFonts w:cs="Arial"/>
                <w:bCs/>
                <w:color w:val="000000" w:themeColor="text1"/>
                <w:lang w:eastAsia="de-DE"/>
              </w:rPr>
            </w:pPr>
            <w:r w:rsidRPr="002C7AAC">
              <w:rPr>
                <w:rFonts w:cs="Arial"/>
                <w:bCs/>
                <w:color w:val="000000" w:themeColor="text1"/>
                <w:lang w:eastAsia="de-DE"/>
              </w:rPr>
              <w:t>4.16</w:t>
            </w:r>
          </w:p>
          <w:p w:rsidR="00D26E33" w:rsidRPr="002C7AAC" w:rsidRDefault="00D26E33" w:rsidP="003452D0">
            <w:pPr>
              <w:jc w:val="center"/>
              <w:rPr>
                <w:rFonts w:cs="Arial"/>
                <w:bCs/>
                <w:color w:val="000000" w:themeColor="text1"/>
                <w:lang w:eastAsia="de-DE"/>
              </w:rPr>
            </w:pPr>
            <w:r w:rsidRPr="002C7AAC">
              <w:rPr>
                <w:rFonts w:cs="Arial"/>
                <w:bCs/>
                <w:color w:val="000000" w:themeColor="text1"/>
                <w:lang w:eastAsia="de-DE"/>
              </w:rPr>
              <w:t>(3.48-5.40)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26E33" w:rsidRDefault="00D26E33" w:rsidP="003452D0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4.87</w:t>
            </w:r>
          </w:p>
          <w:p w:rsidR="00D26E33" w:rsidRPr="00EF72E7" w:rsidRDefault="00D26E33" w:rsidP="003452D0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(3.64-6.03)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26E33" w:rsidRDefault="00374CBA" w:rsidP="003452D0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4.</w:t>
            </w:r>
            <w:r w:rsidR="00D26E33">
              <w:rPr>
                <w:rFonts w:cs="Arial"/>
                <w:bCs/>
                <w:lang w:eastAsia="de-DE"/>
              </w:rPr>
              <w:t>11</w:t>
            </w:r>
          </w:p>
          <w:p w:rsidR="00D26E33" w:rsidRPr="00EF72E7" w:rsidRDefault="00D26E33" w:rsidP="003452D0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(3.49-4.78)</w:t>
            </w:r>
          </w:p>
        </w:tc>
        <w:tc>
          <w:tcPr>
            <w:tcW w:w="1417" w:type="dxa"/>
          </w:tcPr>
          <w:p w:rsidR="00D26E33" w:rsidRDefault="00374CBA" w:rsidP="003452D0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3.83</w:t>
            </w:r>
          </w:p>
          <w:p w:rsidR="00374CBA" w:rsidRDefault="00374CBA" w:rsidP="003452D0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(2.92-5.49)</w:t>
            </w:r>
          </w:p>
        </w:tc>
        <w:tc>
          <w:tcPr>
            <w:tcW w:w="1417" w:type="dxa"/>
          </w:tcPr>
          <w:p w:rsidR="00D26E33" w:rsidRDefault="00D26E33" w:rsidP="003452D0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4.17</w:t>
            </w:r>
          </w:p>
          <w:p w:rsidR="00D26E33" w:rsidRPr="00EF72E7" w:rsidRDefault="00D26E33" w:rsidP="003452D0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(3.45-5.41)</w:t>
            </w:r>
          </w:p>
        </w:tc>
      </w:tr>
      <w:tr w:rsidR="00D26E33" w:rsidRPr="00EF72E7" w:rsidTr="00D26E33">
        <w:trPr>
          <w:trHeight w:val="644"/>
        </w:trPr>
        <w:tc>
          <w:tcPr>
            <w:tcW w:w="2835" w:type="dxa"/>
            <w:shd w:val="clear" w:color="auto" w:fill="auto"/>
            <w:vAlign w:val="center"/>
          </w:tcPr>
          <w:p w:rsidR="00D26E33" w:rsidRDefault="00D26E33" w:rsidP="003452D0">
            <w:pPr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>Neutrophil lymphocyte Ratio</w:t>
            </w:r>
          </w:p>
          <w:p w:rsidR="00D26E33" w:rsidRDefault="00D26E33" w:rsidP="003452D0">
            <w:pPr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>(IQR)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26E33" w:rsidRPr="002C7AAC" w:rsidRDefault="00D26E33" w:rsidP="003452D0">
            <w:pPr>
              <w:jc w:val="center"/>
              <w:rPr>
                <w:rFonts w:cs="Arial"/>
                <w:b/>
                <w:bCs/>
                <w:color w:val="000000" w:themeColor="text1"/>
                <w:lang w:eastAsia="de-DE"/>
              </w:rPr>
            </w:pPr>
            <w:r w:rsidRPr="002C7AAC">
              <w:rPr>
                <w:rFonts w:cs="Arial"/>
                <w:b/>
                <w:bCs/>
                <w:color w:val="000000" w:themeColor="text1"/>
                <w:lang w:eastAsia="de-DE"/>
              </w:rPr>
              <w:t xml:space="preserve">4.17 </w:t>
            </w:r>
          </w:p>
          <w:p w:rsidR="00D26E33" w:rsidRPr="002C7AAC" w:rsidRDefault="00D26E33" w:rsidP="003452D0">
            <w:pPr>
              <w:jc w:val="center"/>
              <w:rPr>
                <w:rFonts w:cs="Arial"/>
                <w:bCs/>
                <w:color w:val="000000" w:themeColor="text1"/>
                <w:lang w:eastAsia="de-DE"/>
              </w:rPr>
            </w:pPr>
            <w:r w:rsidRPr="002C7AAC">
              <w:rPr>
                <w:rFonts w:cs="Arial"/>
                <w:b/>
                <w:bCs/>
                <w:color w:val="000000" w:themeColor="text1"/>
                <w:lang w:eastAsia="de-DE"/>
              </w:rPr>
              <w:t>(3.22-6.49)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E33" w:rsidRPr="002C7AAC" w:rsidRDefault="00D26E33" w:rsidP="003452D0">
            <w:pPr>
              <w:jc w:val="center"/>
              <w:rPr>
                <w:rFonts w:cs="Arial"/>
                <w:bCs/>
                <w:color w:val="000000" w:themeColor="text1"/>
                <w:lang w:eastAsia="de-DE"/>
              </w:rPr>
            </w:pPr>
            <w:r w:rsidRPr="002C7AAC">
              <w:rPr>
                <w:rFonts w:cs="Arial"/>
                <w:bCs/>
                <w:color w:val="000000" w:themeColor="text1"/>
                <w:lang w:eastAsia="de-DE"/>
              </w:rPr>
              <w:t xml:space="preserve">2.14 </w:t>
            </w:r>
          </w:p>
          <w:p w:rsidR="00D26E33" w:rsidRPr="002C7AAC" w:rsidRDefault="00D26E33" w:rsidP="003452D0">
            <w:pPr>
              <w:jc w:val="center"/>
              <w:rPr>
                <w:rFonts w:cs="Arial"/>
                <w:bCs/>
                <w:color w:val="000000" w:themeColor="text1"/>
                <w:lang w:eastAsia="de-DE"/>
              </w:rPr>
            </w:pPr>
            <w:r w:rsidRPr="002C7AAC">
              <w:rPr>
                <w:rFonts w:cs="Arial"/>
                <w:bCs/>
                <w:color w:val="000000" w:themeColor="text1"/>
                <w:lang w:eastAsia="de-DE"/>
              </w:rPr>
              <w:t>(1.68-3.28)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26E33" w:rsidRPr="002C7AAC" w:rsidRDefault="00D26E33" w:rsidP="003452D0">
            <w:pPr>
              <w:spacing w:line="240" w:lineRule="auto"/>
              <w:jc w:val="center"/>
              <w:rPr>
                <w:rFonts w:cs="Arial"/>
                <w:b/>
                <w:bCs/>
                <w:lang w:eastAsia="de-DE"/>
              </w:rPr>
            </w:pPr>
            <w:r w:rsidRPr="002C7AAC">
              <w:rPr>
                <w:rFonts w:cs="Arial"/>
                <w:b/>
                <w:bCs/>
                <w:lang w:eastAsia="de-DE"/>
              </w:rPr>
              <w:t>4.30</w:t>
            </w:r>
          </w:p>
          <w:p w:rsidR="00D26E33" w:rsidRPr="002C7AAC" w:rsidRDefault="00D26E33" w:rsidP="003452D0">
            <w:pPr>
              <w:spacing w:line="240" w:lineRule="auto"/>
              <w:jc w:val="center"/>
              <w:rPr>
                <w:rFonts w:cs="Arial"/>
                <w:b/>
                <w:bCs/>
                <w:lang w:eastAsia="de-DE"/>
              </w:rPr>
            </w:pPr>
            <w:r w:rsidRPr="002C7AAC">
              <w:rPr>
                <w:rFonts w:cs="Arial"/>
                <w:b/>
                <w:bCs/>
                <w:lang w:eastAsia="de-DE"/>
              </w:rPr>
              <w:t>(2.42-6-78)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26E33" w:rsidRDefault="00D26E33" w:rsidP="003452D0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2.16</w:t>
            </w:r>
          </w:p>
          <w:p w:rsidR="00D26E33" w:rsidRPr="00EF72E7" w:rsidRDefault="00D26E33" w:rsidP="003452D0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(1.73-3.23)</w:t>
            </w:r>
          </w:p>
        </w:tc>
        <w:tc>
          <w:tcPr>
            <w:tcW w:w="1417" w:type="dxa"/>
          </w:tcPr>
          <w:p w:rsidR="00D26E33" w:rsidRPr="002C7AAC" w:rsidRDefault="00374CBA" w:rsidP="003452D0">
            <w:pPr>
              <w:spacing w:line="240" w:lineRule="auto"/>
              <w:jc w:val="center"/>
              <w:rPr>
                <w:rFonts w:cs="Arial"/>
                <w:b/>
                <w:bCs/>
                <w:lang w:eastAsia="de-DE"/>
              </w:rPr>
            </w:pPr>
            <w:r w:rsidRPr="002C7AAC">
              <w:rPr>
                <w:rFonts w:cs="Arial"/>
                <w:b/>
                <w:bCs/>
                <w:lang w:eastAsia="de-DE"/>
              </w:rPr>
              <w:t>4.12</w:t>
            </w:r>
          </w:p>
          <w:p w:rsidR="00374CBA" w:rsidRPr="00EF72E7" w:rsidRDefault="00374CBA" w:rsidP="003452D0">
            <w:pPr>
              <w:spacing w:line="240" w:lineRule="auto"/>
              <w:jc w:val="center"/>
              <w:rPr>
                <w:rFonts w:cs="Arial"/>
                <w:bCs/>
                <w:lang w:eastAsia="de-DE"/>
              </w:rPr>
            </w:pPr>
            <w:r w:rsidRPr="002C7AAC">
              <w:rPr>
                <w:rFonts w:cs="Arial"/>
                <w:b/>
                <w:bCs/>
                <w:lang w:eastAsia="de-DE"/>
              </w:rPr>
              <w:t>(3.31-5.75)</w:t>
            </w:r>
          </w:p>
        </w:tc>
        <w:tc>
          <w:tcPr>
            <w:tcW w:w="1417" w:type="dxa"/>
          </w:tcPr>
          <w:p w:rsidR="00D26E33" w:rsidRDefault="00D26E33" w:rsidP="003452D0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2.14</w:t>
            </w:r>
          </w:p>
          <w:p w:rsidR="00374CBA" w:rsidRPr="00EF72E7" w:rsidRDefault="00374CBA" w:rsidP="003452D0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(1.68-3.37)</w:t>
            </w:r>
          </w:p>
        </w:tc>
      </w:tr>
      <w:tr w:rsidR="00D26E33" w:rsidRPr="00EF72E7" w:rsidTr="00D26E33">
        <w:trPr>
          <w:trHeight w:val="352"/>
        </w:trPr>
        <w:tc>
          <w:tcPr>
            <w:tcW w:w="2835" w:type="dxa"/>
            <w:shd w:val="clear" w:color="auto" w:fill="auto"/>
            <w:vAlign w:val="center"/>
          </w:tcPr>
          <w:p w:rsidR="00D26E33" w:rsidRDefault="00D26E33" w:rsidP="003452D0">
            <w:pPr>
              <w:rPr>
                <w:rFonts w:cs="Arial"/>
                <w:lang w:eastAsia="de-DE"/>
              </w:rPr>
            </w:pPr>
            <w:r w:rsidRPr="00EF72E7">
              <w:rPr>
                <w:rFonts w:cs="Arial"/>
                <w:lang w:eastAsia="de-DE"/>
              </w:rPr>
              <w:t>C</w:t>
            </w:r>
            <w:r>
              <w:rPr>
                <w:rFonts w:cs="Arial"/>
                <w:lang w:eastAsia="de-DE"/>
              </w:rPr>
              <w:t xml:space="preserve"> reactive </w:t>
            </w:r>
            <w:r w:rsidRPr="00EF72E7">
              <w:rPr>
                <w:rFonts w:cs="Arial"/>
                <w:lang w:eastAsia="de-DE"/>
              </w:rPr>
              <w:t>P</w:t>
            </w:r>
            <w:r>
              <w:rPr>
                <w:rFonts w:cs="Arial"/>
                <w:lang w:eastAsia="de-DE"/>
              </w:rPr>
              <w:t>rotein</w:t>
            </w:r>
            <w:r w:rsidRPr="00EF72E7">
              <w:rPr>
                <w:rFonts w:cs="Arial"/>
                <w:lang w:eastAsia="de-DE"/>
              </w:rPr>
              <w:t xml:space="preserve"> </w:t>
            </w:r>
            <w:r>
              <w:rPr>
                <w:rFonts w:cs="Arial"/>
                <w:lang w:eastAsia="de-DE"/>
              </w:rPr>
              <w:t xml:space="preserve">in </w:t>
            </w:r>
            <w:r w:rsidRPr="00EF72E7">
              <w:rPr>
                <w:rFonts w:cs="Arial"/>
                <w:lang w:eastAsia="de-DE"/>
              </w:rPr>
              <w:t>mg/l</w:t>
            </w:r>
          </w:p>
          <w:p w:rsidR="00D26E33" w:rsidRPr="00EF72E7" w:rsidRDefault="00D26E33" w:rsidP="003452D0">
            <w:pPr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>(IQR)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26E33" w:rsidRPr="002C7AAC" w:rsidRDefault="00D26E33" w:rsidP="003452D0">
            <w:pPr>
              <w:jc w:val="center"/>
              <w:rPr>
                <w:rFonts w:cs="Arial"/>
                <w:b/>
                <w:bCs/>
                <w:color w:val="000000" w:themeColor="text1"/>
                <w:lang w:eastAsia="de-DE"/>
              </w:rPr>
            </w:pPr>
            <w:r w:rsidRPr="002C7AAC">
              <w:rPr>
                <w:rFonts w:cs="Arial"/>
                <w:b/>
                <w:bCs/>
                <w:color w:val="000000" w:themeColor="text1"/>
                <w:lang w:eastAsia="de-DE"/>
              </w:rPr>
              <w:t>40.7</w:t>
            </w:r>
          </w:p>
          <w:p w:rsidR="00D26E33" w:rsidRPr="002C7AAC" w:rsidRDefault="00D26E33" w:rsidP="003452D0">
            <w:pPr>
              <w:jc w:val="center"/>
              <w:rPr>
                <w:rFonts w:cs="Arial"/>
                <w:bCs/>
                <w:color w:val="000000" w:themeColor="text1"/>
                <w:lang w:eastAsia="de-DE"/>
              </w:rPr>
            </w:pPr>
            <w:r w:rsidRPr="002C7AAC">
              <w:rPr>
                <w:rFonts w:cs="Arial"/>
                <w:b/>
                <w:bCs/>
                <w:color w:val="000000" w:themeColor="text1"/>
                <w:lang w:eastAsia="de-DE"/>
              </w:rPr>
              <w:t>(20.1-69.8)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E33" w:rsidRPr="002C7AAC" w:rsidRDefault="00D26E33" w:rsidP="003452D0">
            <w:pPr>
              <w:jc w:val="center"/>
              <w:rPr>
                <w:rFonts w:cs="Arial"/>
                <w:bCs/>
                <w:color w:val="000000" w:themeColor="text1"/>
                <w:lang w:eastAsia="de-DE"/>
              </w:rPr>
            </w:pPr>
            <w:r w:rsidRPr="002C7AAC">
              <w:rPr>
                <w:rFonts w:cs="Arial"/>
                <w:bCs/>
                <w:color w:val="000000" w:themeColor="text1"/>
                <w:lang w:eastAsia="de-DE"/>
              </w:rPr>
              <w:t xml:space="preserve">2.3 </w:t>
            </w:r>
          </w:p>
          <w:p w:rsidR="00D26E33" w:rsidRPr="002C7AAC" w:rsidRDefault="00D26E33" w:rsidP="003452D0">
            <w:pPr>
              <w:jc w:val="center"/>
              <w:rPr>
                <w:rFonts w:cs="Arial"/>
                <w:bCs/>
                <w:color w:val="000000" w:themeColor="text1"/>
                <w:lang w:eastAsia="de-DE"/>
              </w:rPr>
            </w:pPr>
            <w:r w:rsidRPr="002C7AAC">
              <w:rPr>
                <w:rFonts w:cs="Arial"/>
                <w:bCs/>
                <w:color w:val="000000" w:themeColor="text1"/>
                <w:lang w:eastAsia="de-DE"/>
              </w:rPr>
              <w:t>(1.1-3.7)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26E33" w:rsidRPr="002C7AAC" w:rsidRDefault="00D26E33" w:rsidP="003452D0">
            <w:pPr>
              <w:spacing w:line="240" w:lineRule="auto"/>
              <w:jc w:val="center"/>
              <w:rPr>
                <w:rFonts w:cs="Arial"/>
                <w:b/>
                <w:bCs/>
                <w:lang w:eastAsia="de-DE"/>
              </w:rPr>
            </w:pPr>
            <w:r w:rsidRPr="002C7AAC">
              <w:rPr>
                <w:rFonts w:cs="Arial"/>
                <w:b/>
                <w:bCs/>
                <w:lang w:eastAsia="de-DE"/>
              </w:rPr>
              <w:t>36.05</w:t>
            </w:r>
          </w:p>
          <w:p w:rsidR="00D26E33" w:rsidRPr="002C7AAC" w:rsidRDefault="00D26E33" w:rsidP="003452D0">
            <w:pPr>
              <w:spacing w:line="240" w:lineRule="auto"/>
              <w:jc w:val="center"/>
              <w:rPr>
                <w:rFonts w:cs="Arial"/>
                <w:b/>
                <w:bCs/>
                <w:lang w:eastAsia="de-DE"/>
              </w:rPr>
            </w:pPr>
            <w:r w:rsidRPr="002C7AAC">
              <w:rPr>
                <w:rFonts w:cs="Arial"/>
                <w:b/>
                <w:bCs/>
                <w:lang w:eastAsia="de-DE"/>
              </w:rPr>
              <w:t>(16.2-68.9)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26E33" w:rsidRDefault="00D26E33" w:rsidP="003452D0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1.55</w:t>
            </w:r>
          </w:p>
          <w:p w:rsidR="00D26E33" w:rsidRPr="00EF72E7" w:rsidRDefault="00D26E33" w:rsidP="003452D0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(1.03-3.03)</w:t>
            </w:r>
          </w:p>
        </w:tc>
        <w:tc>
          <w:tcPr>
            <w:tcW w:w="1417" w:type="dxa"/>
          </w:tcPr>
          <w:p w:rsidR="00D26E33" w:rsidRPr="002C7AAC" w:rsidRDefault="00374CBA" w:rsidP="003452D0">
            <w:pPr>
              <w:spacing w:line="240" w:lineRule="auto"/>
              <w:jc w:val="center"/>
              <w:rPr>
                <w:rFonts w:cs="Arial"/>
                <w:b/>
                <w:bCs/>
                <w:lang w:eastAsia="de-DE"/>
              </w:rPr>
            </w:pPr>
            <w:r w:rsidRPr="002C7AAC">
              <w:rPr>
                <w:rFonts w:cs="Arial"/>
                <w:b/>
                <w:bCs/>
                <w:lang w:eastAsia="de-DE"/>
              </w:rPr>
              <w:t>43.3</w:t>
            </w:r>
          </w:p>
          <w:p w:rsidR="00374CBA" w:rsidRPr="00EF72E7" w:rsidRDefault="00374CBA" w:rsidP="003452D0">
            <w:pPr>
              <w:spacing w:line="240" w:lineRule="auto"/>
              <w:jc w:val="center"/>
              <w:rPr>
                <w:rFonts w:cs="Arial"/>
                <w:bCs/>
                <w:lang w:eastAsia="de-DE"/>
              </w:rPr>
            </w:pPr>
            <w:r w:rsidRPr="002C7AAC">
              <w:rPr>
                <w:rFonts w:cs="Arial"/>
                <w:b/>
                <w:bCs/>
                <w:lang w:eastAsia="de-DE"/>
              </w:rPr>
              <w:t>(24.5-70-2)</w:t>
            </w:r>
          </w:p>
        </w:tc>
        <w:tc>
          <w:tcPr>
            <w:tcW w:w="1417" w:type="dxa"/>
          </w:tcPr>
          <w:p w:rsidR="00374CBA" w:rsidRDefault="00374CBA" w:rsidP="003452D0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2.6</w:t>
            </w:r>
          </w:p>
          <w:p w:rsidR="00D26E33" w:rsidRPr="00EF72E7" w:rsidRDefault="00374CBA" w:rsidP="003452D0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(1.2-4.6</w:t>
            </w:r>
            <w:r w:rsidR="00D26E33">
              <w:rPr>
                <w:rFonts w:cs="Arial"/>
                <w:bCs/>
                <w:lang w:eastAsia="de-DE"/>
              </w:rPr>
              <w:t>)</w:t>
            </w:r>
          </w:p>
        </w:tc>
      </w:tr>
    </w:tbl>
    <w:p w:rsidR="004B0D53" w:rsidRDefault="004B0D53" w:rsidP="004B0D53">
      <w:r>
        <w:t>Values are given as Median with interquartil range (IQR). Significant difference (p&lt;0.05) applying the non-parametric Mann-Whitney-Wilcoxon test are highlighted in bold.</w:t>
      </w:r>
    </w:p>
    <w:p w:rsidR="00D26E33" w:rsidRDefault="00D26E33" w:rsidP="004B0D53"/>
    <w:sectPr w:rsidR="00D26E33" w:rsidSect="008806E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65C62"/>
    <w:multiLevelType w:val="hybridMultilevel"/>
    <w:tmpl w:val="71ECD3F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E3"/>
    <w:rsid w:val="00020291"/>
    <w:rsid w:val="000A3714"/>
    <w:rsid w:val="001C375C"/>
    <w:rsid w:val="002C7AAC"/>
    <w:rsid w:val="00374CBA"/>
    <w:rsid w:val="004B0D53"/>
    <w:rsid w:val="004B708E"/>
    <w:rsid w:val="008806E3"/>
    <w:rsid w:val="00B7177A"/>
    <w:rsid w:val="00C65BA8"/>
    <w:rsid w:val="00C83007"/>
    <w:rsid w:val="00D07844"/>
    <w:rsid w:val="00D26E33"/>
    <w:rsid w:val="00FB5F73"/>
    <w:rsid w:val="00FF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C53C1"/>
  <w15:chartTrackingRefBased/>
  <w15:docId w15:val="{1171E657-1380-4541-B981-53B92939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806E3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Klinikum St. Georg gGmbH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Wolf, Johannes</dc:creator>
  <cp:keywords/>
  <dc:description/>
  <cp:lastModifiedBy>Berger, Luisa (ÄD)</cp:lastModifiedBy>
  <cp:revision>4</cp:revision>
  <dcterms:created xsi:type="dcterms:W3CDTF">2024-05-31T07:55:00Z</dcterms:created>
  <dcterms:modified xsi:type="dcterms:W3CDTF">2024-05-31T19:05:00Z</dcterms:modified>
</cp:coreProperties>
</file>