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EE" w:rsidRDefault="00695EEE" w:rsidP="00695EEE">
      <w:pPr>
        <w:spacing w:before="120" w:line="360" w:lineRule="auto"/>
        <w:ind w:firstLine="284"/>
        <w:jc w:val="center"/>
        <w:rPr>
          <w:rFonts w:ascii="Arial" w:hAnsi="Arial" w:cs="Arial"/>
          <w:b/>
          <w:color w:val="000000"/>
        </w:rPr>
      </w:pPr>
    </w:p>
    <w:p w:rsidR="00695EEE" w:rsidRPr="002D0A37" w:rsidRDefault="00695EEE" w:rsidP="00695EEE">
      <w:pPr>
        <w:spacing w:before="120" w:line="360" w:lineRule="auto"/>
        <w:ind w:firstLine="28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2D0A37">
        <w:rPr>
          <w:rFonts w:ascii="Arial" w:hAnsi="Arial" w:cs="Arial"/>
          <w:b/>
          <w:color w:val="000000"/>
          <w:sz w:val="32"/>
          <w:szCs w:val="32"/>
        </w:rPr>
        <w:t>SUPPORTING INFORMATION FILE</w:t>
      </w:r>
    </w:p>
    <w:p w:rsidR="00695EEE" w:rsidRDefault="00695EEE" w:rsidP="00695EEE">
      <w:pPr>
        <w:spacing w:before="120" w:line="360" w:lineRule="auto"/>
        <w:ind w:firstLine="284"/>
        <w:jc w:val="center"/>
        <w:rPr>
          <w:rFonts w:ascii="Arial" w:hAnsi="Arial" w:cs="Arial"/>
          <w:b/>
          <w:color w:val="000000"/>
        </w:rPr>
      </w:pPr>
    </w:p>
    <w:p w:rsidR="00695EEE" w:rsidRDefault="00695EEE" w:rsidP="00695EEE">
      <w:pPr>
        <w:spacing w:before="120" w:line="360" w:lineRule="auto"/>
        <w:ind w:firstLine="284"/>
        <w:jc w:val="center"/>
        <w:rPr>
          <w:rFonts w:ascii="Arial" w:hAnsi="Arial" w:cs="Arial"/>
          <w:b/>
          <w:color w:val="000000"/>
        </w:rPr>
      </w:pPr>
    </w:p>
    <w:p w:rsidR="00695EEE" w:rsidRPr="000B4169" w:rsidRDefault="00F140E8" w:rsidP="00695EEE">
      <w:pPr>
        <w:spacing w:before="120" w:line="360" w:lineRule="auto"/>
        <w:ind w:firstLine="284"/>
        <w:jc w:val="center"/>
        <w:rPr>
          <w:rFonts w:ascii="Arial" w:hAnsi="Arial" w:cs="Arial"/>
          <w:b/>
          <w:color w:val="000000"/>
        </w:rPr>
      </w:pPr>
      <w:r w:rsidRPr="000B4169">
        <w:rPr>
          <w:rFonts w:ascii="Arial" w:hAnsi="Arial" w:cs="Arial"/>
          <w:b/>
          <w:color w:val="000000"/>
        </w:rPr>
        <w:t>Glycan analysis as biomarkers for testicular cancer</w:t>
      </w:r>
      <w:bookmarkStart w:id="0" w:name="_GoBack"/>
      <w:bookmarkEnd w:id="0"/>
      <w:r w:rsidR="00695EEE" w:rsidRPr="000B4169">
        <w:rPr>
          <w:rFonts w:ascii="Arial" w:hAnsi="Arial" w:cs="Arial"/>
          <w:b/>
          <w:color w:val="000000"/>
        </w:rPr>
        <w:t xml:space="preserve"> </w:t>
      </w:r>
    </w:p>
    <w:p w:rsidR="00695EEE" w:rsidRPr="000B4169" w:rsidRDefault="00695EEE" w:rsidP="00695EEE">
      <w:pPr>
        <w:spacing w:before="120" w:line="360" w:lineRule="auto"/>
        <w:jc w:val="both"/>
        <w:rPr>
          <w:rFonts w:ascii="Arial" w:hAnsi="Arial" w:cs="Arial"/>
          <w:color w:val="000000"/>
          <w:szCs w:val="20"/>
        </w:rPr>
      </w:pPr>
    </w:p>
    <w:p w:rsidR="00695EEE" w:rsidRPr="000B4169" w:rsidRDefault="00695EEE" w:rsidP="00695EEE">
      <w:pPr>
        <w:spacing w:before="120" w:line="360" w:lineRule="auto"/>
        <w:jc w:val="center"/>
        <w:rPr>
          <w:rFonts w:ascii="Arial" w:hAnsi="Arial" w:cs="Arial"/>
          <w:b/>
        </w:rPr>
      </w:pPr>
      <w:r w:rsidRPr="000B4169">
        <w:rPr>
          <w:rFonts w:ascii="Arial" w:hAnsi="Arial" w:cs="Arial"/>
          <w:b/>
        </w:rPr>
        <w:t xml:space="preserve">Michal </w:t>
      </w:r>
      <w:proofErr w:type="spellStart"/>
      <w:r w:rsidRPr="000B4169">
        <w:rPr>
          <w:rFonts w:ascii="Arial" w:hAnsi="Arial" w:cs="Arial"/>
          <w:b/>
        </w:rPr>
        <w:t>Hires</w:t>
      </w:r>
      <w:r w:rsidRPr="000B4169">
        <w:rPr>
          <w:rFonts w:ascii="Arial" w:hAnsi="Arial" w:cs="Arial"/>
          <w:b/>
          <w:vertAlign w:val="superscript"/>
        </w:rPr>
        <w:t>a</w:t>
      </w:r>
      <w:proofErr w:type="spellEnd"/>
      <w:r w:rsidRPr="000B4169">
        <w:rPr>
          <w:rFonts w:ascii="Arial" w:hAnsi="Arial" w:cs="Arial"/>
          <w:b/>
        </w:rPr>
        <w:t xml:space="preserve">, Eduard </w:t>
      </w:r>
      <w:proofErr w:type="spellStart"/>
      <w:r w:rsidRPr="000B4169">
        <w:rPr>
          <w:rFonts w:ascii="Arial" w:hAnsi="Arial" w:cs="Arial"/>
          <w:b/>
        </w:rPr>
        <w:t>Jane</w:t>
      </w:r>
      <w:r w:rsidRPr="000B4169">
        <w:rPr>
          <w:rFonts w:ascii="Arial" w:hAnsi="Arial" w:cs="Arial"/>
          <w:b/>
          <w:vertAlign w:val="superscript"/>
        </w:rPr>
        <w:t>a</w:t>
      </w:r>
      <w:proofErr w:type="spellEnd"/>
      <w:r w:rsidRPr="000B4169">
        <w:rPr>
          <w:rFonts w:ascii="Arial" w:hAnsi="Arial" w:cs="Arial"/>
          <w:b/>
        </w:rPr>
        <w:t xml:space="preserve">, Michal </w:t>
      </w:r>
      <w:proofErr w:type="spellStart"/>
      <w:r w:rsidRPr="000B4169">
        <w:rPr>
          <w:rFonts w:ascii="Arial" w:hAnsi="Arial" w:cs="Arial"/>
          <w:b/>
        </w:rPr>
        <w:t>Mego</w:t>
      </w:r>
      <w:r w:rsidRPr="000B4169">
        <w:rPr>
          <w:rFonts w:ascii="Arial" w:hAnsi="Arial" w:cs="Arial"/>
          <w:b/>
          <w:vertAlign w:val="superscript"/>
        </w:rPr>
        <w:t>b</w:t>
      </w:r>
      <w:proofErr w:type="gramStart"/>
      <w:r w:rsidRPr="000B4169">
        <w:rPr>
          <w:rFonts w:ascii="Arial" w:hAnsi="Arial" w:cs="Arial"/>
          <w:b/>
          <w:vertAlign w:val="superscript"/>
        </w:rPr>
        <w:t>,c</w:t>
      </w:r>
      <w:proofErr w:type="spellEnd"/>
      <w:proofErr w:type="gramEnd"/>
      <w:r w:rsidRPr="000B4169">
        <w:rPr>
          <w:rFonts w:ascii="Arial" w:hAnsi="Arial" w:cs="Arial"/>
          <w:b/>
        </w:rPr>
        <w:t xml:space="preserve">, Michal </w:t>
      </w:r>
      <w:proofErr w:type="spellStart"/>
      <w:r w:rsidRPr="000B4169">
        <w:rPr>
          <w:rFonts w:ascii="Arial" w:hAnsi="Arial" w:cs="Arial"/>
          <w:b/>
        </w:rPr>
        <w:t>Chovanec</w:t>
      </w:r>
      <w:r w:rsidRPr="000B4169">
        <w:rPr>
          <w:rFonts w:ascii="Arial" w:hAnsi="Arial" w:cs="Arial"/>
          <w:b/>
          <w:vertAlign w:val="superscript"/>
        </w:rPr>
        <w:t>b</w:t>
      </w:r>
      <w:proofErr w:type="spellEnd"/>
      <w:r w:rsidRPr="000B4169">
        <w:rPr>
          <w:rFonts w:ascii="Arial" w:hAnsi="Arial" w:cs="Arial"/>
          <w:b/>
        </w:rPr>
        <w:t xml:space="preserve">, Peter </w:t>
      </w:r>
      <w:proofErr w:type="spellStart"/>
      <w:r w:rsidRPr="000B4169">
        <w:rPr>
          <w:rFonts w:ascii="Arial" w:hAnsi="Arial" w:cs="Arial"/>
          <w:b/>
        </w:rPr>
        <w:t>Kasak</w:t>
      </w:r>
      <w:r w:rsidRPr="000B4169">
        <w:rPr>
          <w:rFonts w:ascii="Arial" w:hAnsi="Arial" w:cs="Arial"/>
          <w:b/>
          <w:vertAlign w:val="superscript"/>
        </w:rPr>
        <w:t>d</w:t>
      </w:r>
      <w:proofErr w:type="spellEnd"/>
      <w:r w:rsidRPr="000B4169">
        <w:rPr>
          <w:rFonts w:ascii="Arial" w:hAnsi="Arial" w:cs="Arial"/>
          <w:b/>
        </w:rPr>
        <w:t xml:space="preserve">, Jan </w:t>
      </w:r>
      <w:proofErr w:type="spellStart"/>
      <w:r w:rsidRPr="000B4169">
        <w:rPr>
          <w:rFonts w:ascii="Arial" w:hAnsi="Arial" w:cs="Arial"/>
          <w:b/>
        </w:rPr>
        <w:t>Tkac</w:t>
      </w:r>
      <w:r w:rsidRPr="000B4169">
        <w:rPr>
          <w:rFonts w:ascii="Arial" w:hAnsi="Arial" w:cs="Arial"/>
          <w:b/>
          <w:vertAlign w:val="superscript"/>
        </w:rPr>
        <w:t>a</w:t>
      </w:r>
      <w:proofErr w:type="spellEnd"/>
      <w:r w:rsidRPr="000B4169">
        <w:rPr>
          <w:rFonts w:ascii="Arial" w:hAnsi="Arial" w:cs="Arial"/>
          <w:b/>
          <w:vertAlign w:val="superscript"/>
        </w:rPr>
        <w:t>,</w:t>
      </w:r>
      <w:r w:rsidRPr="000B4169">
        <w:rPr>
          <w:rStyle w:val="Odkaznapoznmkupodiarou"/>
          <w:rFonts w:ascii="Arial" w:hAnsi="Arial" w:cs="Arial"/>
        </w:rPr>
        <w:footnoteReference w:id="1"/>
      </w:r>
      <w:r w:rsidRPr="000B4169">
        <w:rPr>
          <w:rFonts w:ascii="Arial" w:hAnsi="Arial" w:cs="Arial"/>
          <w:b/>
        </w:rPr>
        <w:t xml:space="preserve"> </w:t>
      </w:r>
    </w:p>
    <w:p w:rsidR="00695EEE" w:rsidRDefault="00695EEE" w:rsidP="00695EEE">
      <w:pPr>
        <w:spacing w:before="120" w:line="360" w:lineRule="auto"/>
        <w:jc w:val="center"/>
        <w:rPr>
          <w:rFonts w:ascii="Arial" w:hAnsi="Arial" w:cs="Arial"/>
          <w:szCs w:val="20"/>
          <w:vertAlign w:val="superscript"/>
        </w:rPr>
      </w:pPr>
    </w:p>
    <w:p w:rsidR="001543B2" w:rsidRPr="000B4169" w:rsidRDefault="001543B2" w:rsidP="00695EEE">
      <w:pPr>
        <w:spacing w:before="120" w:line="360" w:lineRule="auto"/>
        <w:jc w:val="center"/>
        <w:rPr>
          <w:rFonts w:ascii="Arial" w:hAnsi="Arial" w:cs="Arial"/>
          <w:szCs w:val="20"/>
          <w:vertAlign w:val="superscript"/>
        </w:rPr>
      </w:pPr>
    </w:p>
    <w:p w:rsidR="00695EEE" w:rsidRPr="002D0A37" w:rsidRDefault="00695EEE" w:rsidP="00695E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D0A37">
        <w:rPr>
          <w:rFonts w:ascii="Arial" w:hAnsi="Arial" w:cs="Arial"/>
          <w:sz w:val="22"/>
          <w:szCs w:val="22"/>
          <w:vertAlign w:val="superscript"/>
        </w:rPr>
        <w:t>a</w:t>
      </w:r>
      <w:proofErr w:type="spellEnd"/>
      <w:proofErr w:type="gramEnd"/>
      <w:r w:rsidRPr="002D0A37">
        <w:rPr>
          <w:rFonts w:ascii="Arial" w:hAnsi="Arial" w:cs="Arial"/>
          <w:sz w:val="22"/>
          <w:szCs w:val="22"/>
        </w:rPr>
        <w:t xml:space="preserve"> Institute of Chemistry, Slovak Academy of Sciences, Dubravska cesta 9, 845 38 Bratislava, Slovakia;</w:t>
      </w:r>
    </w:p>
    <w:p w:rsidR="00695EEE" w:rsidRPr="002D0A37" w:rsidRDefault="00695EEE" w:rsidP="00695EE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0A37">
        <w:rPr>
          <w:rFonts w:ascii="Arial" w:hAnsi="Arial" w:cs="Arial"/>
          <w:sz w:val="22"/>
          <w:szCs w:val="22"/>
          <w:vertAlign w:val="superscript"/>
        </w:rPr>
        <w:t>b</w:t>
      </w:r>
      <w:r w:rsidRPr="002D0A37">
        <w:rPr>
          <w:rFonts w:ascii="Arial" w:hAnsi="Arial" w:cs="Arial"/>
          <w:sz w:val="22"/>
          <w:szCs w:val="22"/>
        </w:rPr>
        <w:t xml:space="preserve"> Translational Research Unit, Faculty of Medicine, Comenius University and National Cancer Institute, Bratislava, Slovakia;</w:t>
      </w:r>
    </w:p>
    <w:p w:rsidR="00695EEE" w:rsidRPr="002D0A37" w:rsidRDefault="00695EEE" w:rsidP="00695EE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0A37">
        <w:rPr>
          <w:rFonts w:ascii="Arial" w:hAnsi="Arial" w:cs="Arial"/>
          <w:sz w:val="22"/>
          <w:szCs w:val="22"/>
          <w:vertAlign w:val="superscript"/>
        </w:rPr>
        <w:t>c</w:t>
      </w:r>
      <w:r w:rsidRPr="002D0A37">
        <w:rPr>
          <w:rFonts w:ascii="Arial" w:hAnsi="Arial" w:cs="Arial"/>
          <w:sz w:val="22"/>
          <w:szCs w:val="22"/>
        </w:rPr>
        <w:t xml:space="preserve"> 2</w:t>
      </w:r>
      <w:r w:rsidRPr="002D0A37">
        <w:rPr>
          <w:rFonts w:ascii="Arial" w:hAnsi="Arial" w:cs="Arial"/>
          <w:sz w:val="22"/>
          <w:szCs w:val="22"/>
          <w:vertAlign w:val="superscript"/>
        </w:rPr>
        <w:t>nd</w:t>
      </w:r>
      <w:r w:rsidRPr="002D0A37">
        <w:rPr>
          <w:rFonts w:ascii="Arial" w:hAnsi="Arial" w:cs="Arial"/>
          <w:sz w:val="22"/>
          <w:szCs w:val="22"/>
        </w:rPr>
        <w:t xml:space="preserve"> Department of Oncology, Faculty of Medicine, Comenius University and National Cancer Institute, Bratislava, Slovakia;</w:t>
      </w:r>
    </w:p>
    <w:p w:rsidR="00695EEE" w:rsidRPr="002D0A37" w:rsidRDefault="00695EEE" w:rsidP="00695E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2D0A37">
        <w:rPr>
          <w:rFonts w:ascii="Arial" w:hAnsi="Arial" w:cs="Arial"/>
          <w:sz w:val="22"/>
          <w:szCs w:val="22"/>
          <w:vertAlign w:val="superscript"/>
        </w:rPr>
        <w:t>d</w:t>
      </w:r>
      <w:proofErr w:type="gramEnd"/>
      <w:r w:rsidRPr="002D0A3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0A37">
        <w:rPr>
          <w:rFonts w:ascii="Arial" w:hAnsi="Arial" w:cs="Arial"/>
          <w:sz w:val="22"/>
          <w:szCs w:val="22"/>
        </w:rPr>
        <w:t>Center</w:t>
      </w:r>
      <w:proofErr w:type="spellEnd"/>
      <w:r w:rsidRPr="002D0A37">
        <w:rPr>
          <w:rFonts w:ascii="Arial" w:hAnsi="Arial" w:cs="Arial"/>
          <w:sz w:val="22"/>
          <w:szCs w:val="22"/>
        </w:rPr>
        <w:t xml:space="preserve"> for Advanced Materials, Qatar University, Doha 2713, Qatar</w:t>
      </w:r>
    </w:p>
    <w:p w:rsidR="00695EEE" w:rsidRDefault="00695EEE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471AC7" w:rsidRDefault="00471AC7" w:rsidP="00A8156F">
      <w:pPr>
        <w:spacing w:before="120" w:line="360" w:lineRule="auto"/>
      </w:pPr>
    </w:p>
    <w:p w:rsidR="002D0A37" w:rsidRDefault="002D0A37" w:rsidP="00471AC7">
      <w:pPr>
        <w:spacing w:before="120" w:line="360" w:lineRule="auto"/>
        <w:ind w:firstLine="284"/>
        <w:jc w:val="both"/>
        <w:rPr>
          <w:rFonts w:ascii="Arial" w:eastAsia="TimesNewRomanPSMT" w:hAnsi="Arial" w:cs="Arial"/>
          <w:sz w:val="20"/>
          <w:szCs w:val="20"/>
        </w:rPr>
      </w:pPr>
    </w:p>
    <w:p w:rsidR="009953F0" w:rsidRPr="009953F0" w:rsidRDefault="009953F0">
      <w:pPr>
        <w:rPr>
          <w:sz w:val="20"/>
          <w:szCs w:val="20"/>
        </w:rPr>
      </w:pPr>
      <w:r w:rsidRPr="009953F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Performance of glycosylated </w:t>
      </w:r>
      <w:proofErr w:type="gramStart"/>
      <w:r w:rsidRPr="009953F0">
        <w:rPr>
          <w:rFonts w:ascii="Arial" w:hAnsi="Arial" w:cs="Arial"/>
          <w:b/>
          <w:color w:val="000000"/>
          <w:sz w:val="20"/>
          <w:szCs w:val="20"/>
        </w:rPr>
        <w:t>hCG</w:t>
      </w:r>
      <w:proofErr w:type="gramEnd"/>
      <w:r w:rsidRPr="009953F0">
        <w:rPr>
          <w:rFonts w:ascii="Arial" w:hAnsi="Arial" w:cs="Arial"/>
          <w:b/>
          <w:color w:val="000000"/>
          <w:sz w:val="20"/>
          <w:szCs w:val="20"/>
        </w:rPr>
        <w:t xml:space="preserve"> as a TC biomarker</w:t>
      </w:r>
    </w:p>
    <w:p w:rsidR="009953F0" w:rsidRPr="009953F0" w:rsidRDefault="009953F0" w:rsidP="009953F0">
      <w:pPr>
        <w:spacing w:before="12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9953F0">
        <w:rPr>
          <w:rFonts w:ascii="Arial" w:hAnsi="Arial" w:cs="Arial"/>
          <w:sz w:val="20"/>
          <w:szCs w:val="20"/>
        </w:rPr>
        <w:t>We did evaluation how 5 single parameters (hCG, hCG-H, hCG</w:t>
      </w:r>
      <w:r w:rsidRPr="009953F0">
        <w:rPr>
          <w:rFonts w:ascii="Symbol" w:hAnsi="Symbol" w:cs="Arial"/>
          <w:sz w:val="20"/>
          <w:szCs w:val="20"/>
        </w:rPr>
        <w:t></w:t>
      </w:r>
      <w:r w:rsidRPr="009953F0">
        <w:rPr>
          <w:rFonts w:ascii="Arial" w:hAnsi="Arial" w:cs="Arial"/>
          <w:sz w:val="20"/>
          <w:szCs w:val="20"/>
        </w:rPr>
        <w:t>, hCG-H% and hCG</w:t>
      </w:r>
      <w:r w:rsidRPr="009953F0">
        <w:rPr>
          <w:rFonts w:ascii="Symbol" w:hAnsi="Symbol" w:cs="Arial"/>
          <w:sz w:val="20"/>
          <w:szCs w:val="20"/>
        </w:rPr>
        <w:t></w:t>
      </w:r>
      <w:r w:rsidRPr="009953F0">
        <w:rPr>
          <w:rFonts w:ascii="Arial" w:hAnsi="Arial" w:cs="Arial"/>
          <w:sz w:val="20"/>
          <w:szCs w:val="20"/>
        </w:rPr>
        <w:t xml:space="preserve">%) provided by prof. Cole </w:t>
      </w:r>
      <w:r w:rsidRPr="009953F0">
        <w:rPr>
          <w:rFonts w:ascii="Arial" w:hAnsi="Arial" w:cs="Arial"/>
          <w:sz w:val="20"/>
          <w:szCs w:val="20"/>
        </w:rPr>
        <w:fldChar w:fldCharType="begin"/>
      </w:r>
      <w:r w:rsidR="00170B52">
        <w:rPr>
          <w:rFonts w:ascii="Arial" w:hAnsi="Arial" w:cs="Arial"/>
          <w:sz w:val="20"/>
          <w:szCs w:val="20"/>
        </w:rPr>
        <w:instrText xml:space="preserve"> ADDIN EN.CITE &lt;EndNote&gt;&lt;Cite&gt;&lt;Author&gt;Cole&lt;/Author&gt;&lt;Year&gt;2017&lt;/Year&gt;&lt;RecNum&gt;291&lt;/RecNum&gt;&lt;DisplayText&gt;&lt;style face="italic"&gt;(1)&lt;/style&gt;&lt;/DisplayText&gt;&lt;record&gt;&lt;rec-number&gt;291&lt;/rec-number&gt;&lt;foreign-keys&gt;&lt;key app="EN" db-id="9vx5trxvdrtadoezed6xwdd6fez95aaztvtt" timestamp="1556632678"&gt;291&lt;/key&gt;&lt;/foreign-keys&gt;&lt;ref-type name="Journal Article"&gt;17&lt;/ref-type&gt;&lt;contributors&gt;&lt;authors&gt;&lt;author&gt;Cole, Laurence A&lt;/author&gt;&lt;/authors&gt;&lt;/contributors&gt;&lt;titles&gt;&lt;title&gt;Hyperglycosylated hCG drives malignancy in cancer cases.&lt;/title&gt;&lt;secondary-title&gt;Journal of Molecular Oncology Research&lt;/secondary-title&gt;&lt;/titles&gt;&lt;periodical&gt;&lt;full-title&gt;Journal of molecular oncology research&lt;/full-title&gt;&lt;abbr-1&gt;J. Mol. Oncol. Res.&lt;/abbr-1&gt;&lt;abbr-2&gt;J Mol Oncol Res&lt;/abbr-2&gt;&lt;/periodical&gt;&lt;pages&gt;53-63&lt;/pages&gt;&lt;volume&gt;1&lt;/volume&gt;&lt;dates&gt;&lt;year&gt;2017&lt;/year&gt;&lt;/dates&gt;&lt;publisher&gt;Allied Academies&lt;/publisher&gt;&lt;urls&gt;&lt;/urls&gt;&lt;/record&gt;&lt;/Cite&gt;&lt;/EndNote&gt;</w:instrText>
      </w:r>
      <w:r w:rsidRPr="009953F0">
        <w:rPr>
          <w:rFonts w:ascii="Arial" w:hAnsi="Arial" w:cs="Arial"/>
          <w:sz w:val="20"/>
          <w:szCs w:val="20"/>
        </w:rPr>
        <w:fldChar w:fldCharType="separate"/>
      </w:r>
      <w:r w:rsidR="00170B52" w:rsidRPr="00170B52">
        <w:rPr>
          <w:rFonts w:ascii="Arial" w:hAnsi="Arial" w:cs="Arial"/>
          <w:i/>
          <w:noProof/>
          <w:sz w:val="20"/>
          <w:szCs w:val="20"/>
        </w:rPr>
        <w:t>(1)</w:t>
      </w:r>
      <w:r w:rsidRPr="009953F0">
        <w:rPr>
          <w:rFonts w:ascii="Arial" w:hAnsi="Arial" w:cs="Arial"/>
          <w:sz w:val="20"/>
          <w:szCs w:val="20"/>
        </w:rPr>
        <w:fldChar w:fldCharType="end"/>
      </w:r>
      <w:r w:rsidRPr="009953F0">
        <w:rPr>
          <w:rFonts w:ascii="Arial" w:hAnsi="Arial" w:cs="Arial"/>
          <w:sz w:val="20"/>
          <w:szCs w:val="20"/>
        </w:rPr>
        <w:t xml:space="preserve"> or their combination can discriminate between testicular GCT (TGCT) and other trophoblastic cancers (choriocarcinoma pre-therapy = </w:t>
      </w:r>
      <w:proofErr w:type="spellStart"/>
      <w:r w:rsidRPr="009953F0">
        <w:rPr>
          <w:rFonts w:ascii="Arial" w:hAnsi="Arial" w:cs="Arial"/>
          <w:sz w:val="20"/>
          <w:szCs w:val="20"/>
        </w:rPr>
        <w:t>ChCp</w:t>
      </w:r>
      <w:proofErr w:type="spellEnd"/>
      <w:r w:rsidRPr="009953F0">
        <w:rPr>
          <w:rFonts w:ascii="Arial" w:hAnsi="Arial" w:cs="Arial"/>
          <w:sz w:val="20"/>
          <w:szCs w:val="20"/>
        </w:rPr>
        <w:t xml:space="preserve">, choriocarcinoma during therapy = </w:t>
      </w:r>
      <w:proofErr w:type="spellStart"/>
      <w:r w:rsidRPr="009953F0">
        <w:rPr>
          <w:rFonts w:ascii="Arial" w:hAnsi="Arial" w:cs="Arial"/>
          <w:sz w:val="20"/>
          <w:szCs w:val="20"/>
        </w:rPr>
        <w:t>ChCd</w:t>
      </w:r>
      <w:proofErr w:type="spellEnd"/>
      <w:r w:rsidRPr="009953F0">
        <w:rPr>
          <w:rFonts w:ascii="Arial" w:hAnsi="Arial" w:cs="Arial"/>
          <w:sz w:val="20"/>
          <w:szCs w:val="20"/>
        </w:rPr>
        <w:t xml:space="preserve"> and OGCC = ovarian germ cell cancer). The results really suggest that in order to discriminate TGCT from </w:t>
      </w:r>
      <w:proofErr w:type="spellStart"/>
      <w:r w:rsidRPr="009953F0">
        <w:rPr>
          <w:rFonts w:ascii="Arial" w:hAnsi="Arial" w:cs="Arial"/>
          <w:sz w:val="20"/>
          <w:szCs w:val="20"/>
        </w:rPr>
        <w:t>ChCp</w:t>
      </w:r>
      <w:proofErr w:type="spellEnd"/>
      <w:r w:rsidRPr="009953F0">
        <w:rPr>
          <w:rFonts w:ascii="Arial" w:hAnsi="Arial" w:cs="Arial"/>
          <w:sz w:val="20"/>
          <w:szCs w:val="20"/>
        </w:rPr>
        <w:t xml:space="preserve"> or from </w:t>
      </w:r>
      <w:proofErr w:type="spellStart"/>
      <w:r w:rsidRPr="009953F0">
        <w:rPr>
          <w:rFonts w:ascii="Arial" w:hAnsi="Arial" w:cs="Arial"/>
          <w:sz w:val="20"/>
          <w:szCs w:val="20"/>
        </w:rPr>
        <w:t>ChCd</w:t>
      </w:r>
      <w:proofErr w:type="spellEnd"/>
      <w:r w:rsidRPr="009953F0">
        <w:rPr>
          <w:rFonts w:ascii="Arial" w:hAnsi="Arial" w:cs="Arial"/>
          <w:sz w:val="20"/>
          <w:szCs w:val="20"/>
        </w:rPr>
        <w:t xml:space="preserve"> at least a combination of two biomarkers is needed in order to achieve AUC=1 (i.e. hCG + hCG-H; hCG + hCG-H%; or hCG-H + hCG-H%) </w:t>
      </w:r>
      <w:proofErr w:type="gramStart"/>
      <w:r w:rsidRPr="009953F0">
        <w:rPr>
          <w:rFonts w:ascii="Arial" w:hAnsi="Arial" w:cs="Arial"/>
          <w:sz w:val="20"/>
          <w:szCs w:val="20"/>
        </w:rPr>
        <w:t>(</w:t>
      </w:r>
      <w:r w:rsidRPr="009953F0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S</w:t>
      </w:r>
      <w:r w:rsidR="002D0A3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a</w:t>
      </w:r>
      <w:r w:rsidRPr="009953F0">
        <w:rPr>
          <w:rFonts w:ascii="Arial" w:hAnsi="Arial" w:cs="Arial"/>
          <w:sz w:val="20"/>
          <w:szCs w:val="20"/>
        </w:rPr>
        <w:t>).</w:t>
      </w:r>
      <w:proofErr w:type="gramEnd"/>
      <w:r w:rsidRPr="009953F0">
        <w:rPr>
          <w:rFonts w:ascii="Arial" w:hAnsi="Arial" w:cs="Arial"/>
          <w:sz w:val="20"/>
          <w:szCs w:val="20"/>
        </w:rPr>
        <w:t xml:space="preserve"> The results also suggest that it is not possible to discriminate between TGCT and OGCC with AUC=1 and that in order to achieve the highest possible AUC=0.889, three biomarkers need to be combined (</w:t>
      </w:r>
      <w:r w:rsidRPr="009953F0">
        <w:rPr>
          <w:rFonts w:ascii="Arial" w:eastAsia="Times New Roman" w:hAnsi="Arial" w:cs="Arial"/>
          <w:color w:val="000000"/>
          <w:sz w:val="20"/>
          <w:szCs w:val="20"/>
        </w:rPr>
        <w:t>hCG + hCG-H + hCG</w:t>
      </w:r>
      <w:proofErr w:type="gramStart"/>
      <w:r w:rsidRPr="009953F0">
        <w:rPr>
          <w:rFonts w:ascii="Symbol" w:eastAsia="Times New Roman" w:hAnsi="Symbol" w:cs="Arial"/>
          <w:color w:val="000000"/>
          <w:sz w:val="20"/>
          <w:szCs w:val="20"/>
        </w:rPr>
        <w:t></w:t>
      </w:r>
      <w:r w:rsidRPr="009953F0">
        <w:rPr>
          <w:rFonts w:ascii="Arial" w:eastAsia="Times New Roman" w:hAnsi="Arial" w:cs="Arial"/>
          <w:color w:val="000000"/>
          <w:sz w:val="20"/>
          <w:szCs w:val="20"/>
        </w:rPr>
        <w:t>%</w:t>
      </w:r>
      <w:proofErr w:type="gramEnd"/>
      <w:r w:rsidRPr="009953F0">
        <w:rPr>
          <w:rFonts w:ascii="Arial" w:hAnsi="Arial" w:cs="Arial"/>
          <w:sz w:val="20"/>
          <w:szCs w:val="20"/>
        </w:rPr>
        <w:t xml:space="preserve">). Similar analysis was applied to discriminate TGCT from several non-trophoblastic cancers with AUC= 1 obtained in nearly all cases (see </w:t>
      </w:r>
      <w:r w:rsidRPr="009953F0">
        <w:rPr>
          <w:rFonts w:ascii="Arial" w:hAnsi="Arial" w:cs="Arial"/>
          <w:b/>
          <w:sz w:val="20"/>
          <w:szCs w:val="20"/>
        </w:rPr>
        <w:t>Table S</w:t>
      </w:r>
      <w:r w:rsidR="002D0A3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b</w:t>
      </w:r>
      <w:r w:rsidRPr="009953F0">
        <w:rPr>
          <w:rFonts w:ascii="Arial" w:hAnsi="Arial" w:cs="Arial"/>
          <w:sz w:val="20"/>
          <w:szCs w:val="20"/>
        </w:rPr>
        <w:t xml:space="preserve">).  </w:t>
      </w:r>
    </w:p>
    <w:p w:rsidR="009953F0" w:rsidRPr="009953F0" w:rsidRDefault="009953F0" w:rsidP="009953F0">
      <w:pPr>
        <w:spacing w:before="12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9953F0">
        <w:rPr>
          <w:rFonts w:ascii="Arial" w:hAnsi="Arial" w:cs="Arial"/>
          <w:sz w:val="20"/>
          <w:szCs w:val="20"/>
        </w:rPr>
        <w:t xml:space="preserve">The results provided in </w:t>
      </w:r>
      <w:r w:rsidRPr="009953F0">
        <w:rPr>
          <w:rFonts w:ascii="Arial" w:hAnsi="Arial" w:cs="Arial"/>
          <w:b/>
          <w:sz w:val="20"/>
          <w:szCs w:val="20"/>
        </w:rPr>
        <w:t>Table S1</w:t>
      </w:r>
      <w:r>
        <w:rPr>
          <w:rFonts w:ascii="Arial" w:hAnsi="Arial" w:cs="Arial"/>
          <w:sz w:val="20"/>
          <w:szCs w:val="20"/>
        </w:rPr>
        <w:t xml:space="preserve"> </w:t>
      </w:r>
      <w:r w:rsidRPr="009953F0">
        <w:rPr>
          <w:rFonts w:ascii="Arial" w:hAnsi="Arial" w:cs="Arial"/>
          <w:sz w:val="20"/>
          <w:szCs w:val="20"/>
        </w:rPr>
        <w:t xml:space="preserve">really confirm that analysis of one biomarker might be problematic for diagnostic purposes and that for really reliable and robust TC </w:t>
      </w:r>
      <w:proofErr w:type="gramStart"/>
      <w:r w:rsidRPr="009953F0">
        <w:rPr>
          <w:rFonts w:ascii="Arial" w:hAnsi="Arial" w:cs="Arial"/>
          <w:sz w:val="20"/>
          <w:szCs w:val="20"/>
        </w:rPr>
        <w:t>diagnostics,</w:t>
      </w:r>
      <w:proofErr w:type="gramEnd"/>
      <w:r w:rsidRPr="009953F0">
        <w:rPr>
          <w:rFonts w:ascii="Arial" w:hAnsi="Arial" w:cs="Arial"/>
          <w:sz w:val="20"/>
          <w:szCs w:val="20"/>
        </w:rPr>
        <w:t xml:space="preserve"> prognosis or recurrence monitoring it might be useful to include glycans as TC biomarkers or to combine glycan biomarkers together with determination of protein levels in a form of </w:t>
      </w:r>
      <w:proofErr w:type="spellStart"/>
      <w:r w:rsidRPr="009953F0">
        <w:rPr>
          <w:rFonts w:ascii="Arial" w:hAnsi="Arial" w:cs="Arial"/>
          <w:sz w:val="20"/>
          <w:szCs w:val="20"/>
        </w:rPr>
        <w:t>multiparametric</w:t>
      </w:r>
      <w:proofErr w:type="spellEnd"/>
      <w:r w:rsidRPr="009953F0">
        <w:rPr>
          <w:rFonts w:ascii="Arial" w:hAnsi="Arial" w:cs="Arial"/>
          <w:sz w:val="20"/>
          <w:szCs w:val="20"/>
        </w:rPr>
        <w:t xml:space="preserve"> assays.</w:t>
      </w:r>
    </w:p>
    <w:p w:rsidR="00107D06" w:rsidRDefault="00107D06"/>
    <w:p w:rsidR="009953F0" w:rsidRPr="00695EEE" w:rsidRDefault="009953F0" w:rsidP="009953F0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95EEE">
        <w:rPr>
          <w:rFonts w:ascii="Arial" w:hAnsi="Arial" w:cs="Arial"/>
          <w:b/>
          <w:sz w:val="22"/>
          <w:szCs w:val="22"/>
        </w:rPr>
        <w:t>Experimental section</w:t>
      </w:r>
    </w:p>
    <w:p w:rsidR="009953F0" w:rsidRDefault="009953F0" w:rsidP="009953F0">
      <w:pPr>
        <w:spacing w:before="12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695EEE">
        <w:rPr>
          <w:rFonts w:ascii="Arial" w:hAnsi="Arial" w:cs="Arial"/>
          <w:sz w:val="20"/>
          <w:szCs w:val="20"/>
        </w:rPr>
        <w:t xml:space="preserve">Machine learning </w:t>
      </w:r>
      <w:r>
        <w:rPr>
          <w:rFonts w:ascii="Arial" w:hAnsi="Arial" w:cs="Arial"/>
          <w:sz w:val="20"/>
          <w:szCs w:val="20"/>
        </w:rPr>
        <w:t xml:space="preserve">(ML) </w:t>
      </w:r>
      <w:r w:rsidRPr="00695EEE">
        <w:rPr>
          <w:rFonts w:ascii="Arial" w:hAnsi="Arial" w:cs="Arial"/>
          <w:sz w:val="20"/>
          <w:szCs w:val="20"/>
        </w:rPr>
        <w:t>is powerful tools with many applications</w:t>
      </w:r>
      <w:r>
        <w:rPr>
          <w:rFonts w:ascii="Arial" w:hAnsi="Arial" w:cs="Arial"/>
          <w:sz w:val="20"/>
          <w:szCs w:val="20"/>
        </w:rPr>
        <w:t>.</w:t>
      </w:r>
      <w:r w:rsidRPr="00695EEE">
        <w:rPr>
          <w:rFonts w:ascii="Arial" w:hAnsi="Arial" w:cs="Arial"/>
          <w:sz w:val="20"/>
          <w:szCs w:val="20"/>
        </w:rPr>
        <w:t xml:space="preserve"> One of them is </w:t>
      </w:r>
      <w:r>
        <w:rPr>
          <w:rFonts w:ascii="Arial" w:hAnsi="Arial" w:cs="Arial"/>
          <w:sz w:val="20"/>
          <w:szCs w:val="20"/>
        </w:rPr>
        <w:t xml:space="preserve">an application for </w:t>
      </w:r>
      <w:r w:rsidRPr="00695EEE">
        <w:rPr>
          <w:rFonts w:ascii="Arial" w:hAnsi="Arial" w:cs="Arial"/>
          <w:sz w:val="20"/>
          <w:szCs w:val="20"/>
        </w:rPr>
        <w:t>clinical diagnostic</w:t>
      </w:r>
      <w:r>
        <w:rPr>
          <w:rFonts w:ascii="Arial" w:hAnsi="Arial" w:cs="Arial"/>
          <w:sz w:val="20"/>
          <w:szCs w:val="20"/>
        </w:rPr>
        <w:t>s</w:t>
      </w:r>
      <w:r w:rsidRPr="00695EEE">
        <w:rPr>
          <w:rFonts w:ascii="Arial" w:hAnsi="Arial" w:cs="Arial"/>
          <w:sz w:val="20"/>
          <w:szCs w:val="20"/>
        </w:rPr>
        <w:t xml:space="preserve"> to provide faster diagnoses, improved prediction performance, and reduced medical costs by eliminating </w:t>
      </w:r>
      <w:r>
        <w:rPr>
          <w:rFonts w:ascii="Arial" w:hAnsi="Arial" w:cs="Arial"/>
          <w:sz w:val="20"/>
          <w:szCs w:val="20"/>
        </w:rPr>
        <w:t xml:space="preserve">of </w:t>
      </w:r>
      <w:r w:rsidRPr="00695EEE">
        <w:rPr>
          <w:rFonts w:ascii="Arial" w:hAnsi="Arial" w:cs="Arial"/>
          <w:sz w:val="20"/>
          <w:szCs w:val="20"/>
        </w:rPr>
        <w:t xml:space="preserve">unnecessary testing. Several ML methods found application </w:t>
      </w:r>
      <w:r>
        <w:rPr>
          <w:rFonts w:ascii="Arial" w:hAnsi="Arial" w:cs="Arial"/>
          <w:sz w:val="20"/>
          <w:szCs w:val="20"/>
        </w:rPr>
        <w:t xml:space="preserve">in </w:t>
      </w:r>
      <w:r w:rsidRPr="00695EEE">
        <w:rPr>
          <w:rFonts w:ascii="Arial" w:hAnsi="Arial" w:cs="Arial"/>
          <w:sz w:val="20"/>
          <w:szCs w:val="20"/>
        </w:rPr>
        <w:t xml:space="preserve">clinical research and testing. Logistic regression is </w:t>
      </w:r>
      <w:r>
        <w:rPr>
          <w:rFonts w:ascii="Arial" w:hAnsi="Arial" w:cs="Arial"/>
          <w:sz w:val="20"/>
          <w:szCs w:val="20"/>
        </w:rPr>
        <w:t xml:space="preserve">a </w:t>
      </w:r>
      <w:r w:rsidRPr="00695EEE">
        <w:rPr>
          <w:rFonts w:ascii="Arial" w:hAnsi="Arial" w:cs="Arial"/>
          <w:sz w:val="20"/>
          <w:szCs w:val="20"/>
        </w:rPr>
        <w:t>well-suited for use in diagnostic models. Logistic regression allows only</w:t>
      </w:r>
      <w:r>
        <w:rPr>
          <w:rFonts w:ascii="Arial" w:hAnsi="Arial" w:cs="Arial"/>
          <w:sz w:val="20"/>
          <w:szCs w:val="20"/>
        </w:rPr>
        <w:t xml:space="preserve"> binomial outcomes e.g. evaluation healthy </w:t>
      </w:r>
      <w:r w:rsidRPr="00A8156F">
        <w:rPr>
          <w:rFonts w:ascii="Arial" w:hAnsi="Arial" w:cs="Arial"/>
          <w:i/>
          <w:sz w:val="20"/>
          <w:szCs w:val="20"/>
        </w:rPr>
        <w:t>vs.</w:t>
      </w:r>
      <w:r w:rsidRPr="00695EEE">
        <w:rPr>
          <w:rFonts w:ascii="Arial" w:hAnsi="Arial" w:cs="Arial"/>
          <w:sz w:val="20"/>
          <w:szCs w:val="20"/>
        </w:rPr>
        <w:t xml:space="preserve"> sick. Logistic regression is regarded as </w:t>
      </w:r>
      <w:r>
        <w:rPr>
          <w:rFonts w:ascii="Arial" w:hAnsi="Arial" w:cs="Arial"/>
          <w:sz w:val="20"/>
          <w:szCs w:val="20"/>
        </w:rPr>
        <w:t>a</w:t>
      </w:r>
      <w:r w:rsidRPr="00695EEE">
        <w:rPr>
          <w:rFonts w:ascii="Arial" w:hAnsi="Arial" w:cs="Arial"/>
          <w:sz w:val="20"/>
          <w:szCs w:val="20"/>
        </w:rPr>
        <w:t xml:space="preserve"> standard method for this type </w:t>
      </w:r>
      <w:r>
        <w:rPr>
          <w:rFonts w:ascii="Arial" w:hAnsi="Arial" w:cs="Arial"/>
          <w:sz w:val="20"/>
          <w:szCs w:val="20"/>
        </w:rPr>
        <w:t xml:space="preserve">of </w:t>
      </w:r>
      <w:r w:rsidRPr="00695EEE">
        <w:rPr>
          <w:rFonts w:ascii="Arial" w:hAnsi="Arial" w:cs="Arial"/>
          <w:sz w:val="20"/>
          <w:szCs w:val="20"/>
        </w:rPr>
        <w:t xml:space="preserve">analysis </w:t>
      </w:r>
      <w:r w:rsidRPr="00471AC7">
        <w:rPr>
          <w:rFonts w:ascii="Arial" w:hAnsi="Arial" w:cs="Arial"/>
          <w:i/>
          <w:sz w:val="20"/>
          <w:szCs w:val="20"/>
        </w:rPr>
        <w:t>(</w:t>
      </w:r>
      <w:r w:rsidR="008A60C4">
        <w:rPr>
          <w:rFonts w:ascii="Arial" w:hAnsi="Arial" w:cs="Arial"/>
          <w:i/>
          <w:sz w:val="20"/>
          <w:szCs w:val="20"/>
        </w:rPr>
        <w:t>9</w:t>
      </w:r>
      <w:r w:rsidRPr="00471AC7">
        <w:rPr>
          <w:rFonts w:ascii="Arial" w:hAnsi="Arial" w:cs="Arial"/>
          <w:i/>
          <w:sz w:val="20"/>
          <w:szCs w:val="20"/>
        </w:rPr>
        <w:t>)</w:t>
      </w:r>
      <w:r w:rsidRPr="00695EEE">
        <w:rPr>
          <w:rFonts w:ascii="Arial" w:hAnsi="Arial" w:cs="Arial"/>
          <w:sz w:val="20"/>
          <w:szCs w:val="20"/>
        </w:rPr>
        <w:t xml:space="preserve">. Logistic regression is probabilistic and is thus more intuitive than its non-probabilistic counterparts. Therefore it is easy interpretable and very popular in </w:t>
      </w:r>
      <w:r>
        <w:rPr>
          <w:rFonts w:ascii="Arial" w:hAnsi="Arial" w:cs="Arial"/>
          <w:sz w:val="20"/>
          <w:szCs w:val="20"/>
        </w:rPr>
        <w:t xml:space="preserve">a </w:t>
      </w:r>
      <w:r w:rsidRPr="00695EEE">
        <w:rPr>
          <w:rFonts w:ascii="Arial" w:hAnsi="Arial" w:cs="Arial"/>
          <w:sz w:val="20"/>
          <w:szCs w:val="20"/>
        </w:rPr>
        <w:t>clinical community. Generalization of logistic regression appl</w:t>
      </w:r>
      <w:r>
        <w:rPr>
          <w:rFonts w:ascii="Arial" w:hAnsi="Arial" w:cs="Arial"/>
          <w:sz w:val="20"/>
          <w:szCs w:val="20"/>
        </w:rPr>
        <w:t>ied</w:t>
      </w:r>
      <w:r w:rsidRPr="00695EEE">
        <w:rPr>
          <w:rFonts w:ascii="Arial" w:hAnsi="Arial" w:cs="Arial"/>
          <w:sz w:val="20"/>
          <w:szCs w:val="20"/>
        </w:rPr>
        <w:t xml:space="preserve"> to categorical responses that have more than two categories is </w:t>
      </w:r>
      <w:r>
        <w:rPr>
          <w:rFonts w:ascii="Arial" w:hAnsi="Arial" w:cs="Arial"/>
          <w:sz w:val="20"/>
          <w:szCs w:val="20"/>
        </w:rPr>
        <w:t>m</w:t>
      </w:r>
      <w:r w:rsidRPr="00695EEE">
        <w:rPr>
          <w:rFonts w:ascii="Arial" w:hAnsi="Arial" w:cs="Arial"/>
          <w:sz w:val="20"/>
          <w:szCs w:val="20"/>
        </w:rPr>
        <w:t>ultinomial logit model. In this model for nominal response</w:t>
      </w:r>
      <w:r>
        <w:rPr>
          <w:rFonts w:ascii="Arial" w:hAnsi="Arial" w:cs="Arial"/>
          <w:sz w:val="20"/>
          <w:szCs w:val="20"/>
        </w:rPr>
        <w:t>,</w:t>
      </w:r>
      <w:r w:rsidRPr="00695EEE">
        <w:rPr>
          <w:rFonts w:ascii="Arial" w:hAnsi="Arial" w:cs="Arial"/>
          <w:sz w:val="20"/>
          <w:szCs w:val="20"/>
        </w:rPr>
        <w:t xml:space="preserve"> variables simultaneously use all pairs of categories by specifying the odds of outcome in one category instead of another. The order of listing the categories is irrelevant</w:t>
      </w:r>
      <w:r>
        <w:rPr>
          <w:rFonts w:ascii="Arial" w:hAnsi="Arial" w:cs="Arial"/>
          <w:sz w:val="20"/>
          <w:szCs w:val="20"/>
        </w:rPr>
        <w:t xml:space="preserve"> with t</w:t>
      </w:r>
      <w:r w:rsidRPr="00695EEE">
        <w:rPr>
          <w:rFonts w:ascii="Arial" w:hAnsi="Arial" w:cs="Arial"/>
          <w:sz w:val="20"/>
          <w:szCs w:val="20"/>
        </w:rPr>
        <w:t xml:space="preserve">he main difference between these models </w:t>
      </w:r>
      <w:r>
        <w:rPr>
          <w:rFonts w:ascii="Arial" w:hAnsi="Arial" w:cs="Arial"/>
          <w:sz w:val="20"/>
          <w:szCs w:val="20"/>
        </w:rPr>
        <w:t xml:space="preserve">in a form of an </w:t>
      </w:r>
      <w:r w:rsidRPr="00695EEE">
        <w:rPr>
          <w:rFonts w:ascii="Arial" w:hAnsi="Arial" w:cs="Arial"/>
          <w:sz w:val="20"/>
          <w:szCs w:val="20"/>
        </w:rPr>
        <w:t xml:space="preserve">activation function. </w:t>
      </w:r>
    </w:p>
    <w:p w:rsidR="009953F0" w:rsidRDefault="009953F0" w:rsidP="009953F0">
      <w:pPr>
        <w:spacing w:before="120" w:line="360" w:lineRule="auto"/>
        <w:ind w:firstLine="284"/>
        <w:jc w:val="both"/>
      </w:pPr>
      <w:r w:rsidRPr="00695EEE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 xml:space="preserve">our </w:t>
      </w:r>
      <w:r w:rsidRPr="00695EEE">
        <w:rPr>
          <w:rFonts w:ascii="Arial" w:hAnsi="Arial" w:cs="Arial"/>
          <w:sz w:val="20"/>
          <w:szCs w:val="20"/>
        </w:rPr>
        <w:t xml:space="preserve">case of MLR </w:t>
      </w:r>
      <w:proofErr w:type="spellStart"/>
      <w:r w:rsidRPr="00695EEE">
        <w:rPr>
          <w:rFonts w:ascii="Arial" w:hAnsi="Arial" w:cs="Arial"/>
          <w:sz w:val="20"/>
          <w:szCs w:val="20"/>
        </w:rPr>
        <w:t>softmax</w:t>
      </w:r>
      <w:proofErr w:type="spellEnd"/>
      <w:r w:rsidRPr="00695EEE">
        <w:rPr>
          <w:rFonts w:ascii="Arial" w:hAnsi="Arial" w:cs="Arial"/>
          <w:sz w:val="20"/>
          <w:szCs w:val="20"/>
        </w:rPr>
        <w:t xml:space="preserve"> function is used.</w:t>
      </w:r>
      <w:r>
        <w:rPr>
          <w:rFonts w:ascii="Arial" w:hAnsi="Arial" w:cs="Arial"/>
          <w:sz w:val="20"/>
          <w:szCs w:val="20"/>
        </w:rPr>
        <w:t xml:space="preserve"> </w:t>
      </w:r>
      <w:r w:rsidRPr="00695EEE">
        <w:rPr>
          <w:rFonts w:ascii="Arial" w:hAnsi="Arial" w:cs="Arial"/>
          <w:sz w:val="20"/>
          <w:szCs w:val="20"/>
        </w:rPr>
        <w:t>All analyses were performed using R</w:t>
      </w:r>
      <w:r>
        <w:rPr>
          <w:rFonts w:ascii="Arial" w:hAnsi="Arial" w:cs="Arial"/>
          <w:sz w:val="20"/>
          <w:szCs w:val="20"/>
        </w:rPr>
        <w:t xml:space="preserve"> software</w:t>
      </w:r>
      <w:r w:rsidRPr="00695EE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95EEE">
        <w:rPr>
          <w:rFonts w:ascii="Arial" w:hAnsi="Arial" w:cs="Arial"/>
          <w:sz w:val="20"/>
          <w:szCs w:val="20"/>
        </w:rPr>
        <w:t>v.3.4.4</w:t>
      </w:r>
      <w:r>
        <w:rPr>
          <w:rFonts w:ascii="Arial" w:hAnsi="Arial" w:cs="Arial"/>
          <w:sz w:val="20"/>
          <w:szCs w:val="20"/>
        </w:rPr>
        <w:t xml:space="preserve">  </w:t>
      </w:r>
      <w:r w:rsidRPr="00471AC7">
        <w:rPr>
          <w:rFonts w:ascii="Arial" w:hAnsi="Arial" w:cs="Arial"/>
          <w:i/>
          <w:sz w:val="20"/>
          <w:szCs w:val="20"/>
        </w:rPr>
        <w:t>(</w:t>
      </w:r>
      <w:proofErr w:type="gramEnd"/>
      <w:r>
        <w:rPr>
          <w:rFonts w:ascii="Arial" w:hAnsi="Arial" w:cs="Arial"/>
          <w:i/>
          <w:sz w:val="20"/>
          <w:szCs w:val="20"/>
        </w:rPr>
        <w:t>1</w:t>
      </w:r>
      <w:r w:rsidR="008A60C4">
        <w:rPr>
          <w:rFonts w:ascii="Arial" w:hAnsi="Arial" w:cs="Arial"/>
          <w:i/>
          <w:sz w:val="20"/>
          <w:szCs w:val="20"/>
        </w:rPr>
        <w:t>0</w:t>
      </w:r>
      <w:r w:rsidRPr="00471AC7">
        <w:rPr>
          <w:rFonts w:ascii="Arial" w:hAnsi="Arial" w:cs="Arial"/>
          <w:i/>
          <w:sz w:val="20"/>
          <w:szCs w:val="20"/>
        </w:rPr>
        <w:t>)</w:t>
      </w:r>
      <w:r w:rsidRPr="00695EEE">
        <w:rPr>
          <w:rFonts w:ascii="Arial" w:hAnsi="Arial" w:cs="Arial"/>
          <w:sz w:val="20"/>
          <w:szCs w:val="20"/>
        </w:rPr>
        <w:t xml:space="preserve"> using CARET</w:t>
      </w:r>
      <w:r>
        <w:rPr>
          <w:rFonts w:ascii="Arial" w:hAnsi="Arial" w:cs="Arial"/>
          <w:sz w:val="20"/>
          <w:szCs w:val="20"/>
        </w:rPr>
        <w:t xml:space="preserve"> </w:t>
      </w:r>
      <w:r w:rsidRPr="00695EEE">
        <w:rPr>
          <w:rFonts w:ascii="Arial" w:hAnsi="Arial" w:cs="Arial"/>
          <w:sz w:val="20"/>
          <w:szCs w:val="20"/>
        </w:rPr>
        <w:t>(</w:t>
      </w:r>
      <w:r w:rsidRPr="00695EEE">
        <w:rPr>
          <w:rFonts w:ascii="Arial" w:hAnsi="Arial" w:cs="Arial"/>
          <w:b/>
          <w:sz w:val="20"/>
          <w:szCs w:val="20"/>
        </w:rPr>
        <w:t>C</w:t>
      </w:r>
      <w:r w:rsidRPr="00695EEE">
        <w:rPr>
          <w:rFonts w:ascii="Arial" w:hAnsi="Arial" w:cs="Arial"/>
          <w:sz w:val="20"/>
          <w:szCs w:val="20"/>
        </w:rPr>
        <w:t xml:space="preserve">lassification </w:t>
      </w:r>
      <w:r w:rsidRPr="00695EEE">
        <w:rPr>
          <w:rFonts w:ascii="Arial" w:hAnsi="Arial" w:cs="Arial"/>
          <w:b/>
          <w:sz w:val="20"/>
          <w:szCs w:val="20"/>
        </w:rPr>
        <w:t>A</w:t>
      </w:r>
      <w:r w:rsidRPr="00695EEE">
        <w:rPr>
          <w:rFonts w:ascii="Arial" w:hAnsi="Arial" w:cs="Arial"/>
          <w:sz w:val="20"/>
          <w:szCs w:val="20"/>
        </w:rPr>
        <w:t xml:space="preserve">nd </w:t>
      </w:r>
      <w:proofErr w:type="spellStart"/>
      <w:r w:rsidRPr="00695EEE">
        <w:rPr>
          <w:rFonts w:ascii="Arial" w:hAnsi="Arial" w:cs="Arial"/>
          <w:b/>
          <w:sz w:val="20"/>
          <w:szCs w:val="20"/>
        </w:rPr>
        <w:t>RE</w:t>
      </w:r>
      <w:r w:rsidRPr="00695EEE">
        <w:rPr>
          <w:rFonts w:ascii="Arial" w:hAnsi="Arial" w:cs="Arial"/>
          <w:sz w:val="20"/>
          <w:szCs w:val="20"/>
        </w:rPr>
        <w:t>gression</w:t>
      </w:r>
      <w:proofErr w:type="spellEnd"/>
      <w:r w:rsidRPr="00695EEE">
        <w:rPr>
          <w:rFonts w:ascii="Arial" w:hAnsi="Arial" w:cs="Arial"/>
          <w:sz w:val="20"/>
          <w:szCs w:val="20"/>
        </w:rPr>
        <w:t xml:space="preserve"> </w:t>
      </w:r>
      <w:r w:rsidRPr="00695EEE">
        <w:rPr>
          <w:rFonts w:ascii="Arial" w:hAnsi="Arial" w:cs="Arial"/>
          <w:b/>
          <w:sz w:val="20"/>
          <w:szCs w:val="20"/>
        </w:rPr>
        <w:t>T</w:t>
      </w:r>
      <w:r w:rsidRPr="00695EEE">
        <w:rPr>
          <w:rFonts w:ascii="Arial" w:hAnsi="Arial" w:cs="Arial"/>
          <w:sz w:val="20"/>
          <w:szCs w:val="20"/>
        </w:rPr>
        <w:t>raining)</w:t>
      </w:r>
      <w:r>
        <w:rPr>
          <w:rFonts w:ascii="Arial" w:hAnsi="Arial" w:cs="Arial"/>
          <w:sz w:val="20"/>
          <w:szCs w:val="20"/>
        </w:rPr>
        <w:t xml:space="preserve"> </w:t>
      </w:r>
      <w:r w:rsidRPr="00471AC7">
        <w:rPr>
          <w:rFonts w:ascii="Arial" w:hAnsi="Arial" w:cs="Arial"/>
          <w:i/>
          <w:sz w:val="20"/>
          <w:szCs w:val="20"/>
        </w:rPr>
        <w:t>(1</w:t>
      </w:r>
      <w:r w:rsidR="008A60C4">
        <w:rPr>
          <w:rFonts w:ascii="Arial" w:hAnsi="Arial" w:cs="Arial"/>
          <w:i/>
          <w:sz w:val="20"/>
          <w:szCs w:val="20"/>
        </w:rPr>
        <w:t>1</w:t>
      </w:r>
      <w:r w:rsidRPr="00471AC7">
        <w:rPr>
          <w:rFonts w:ascii="Arial" w:hAnsi="Arial" w:cs="Arial"/>
          <w:i/>
          <w:sz w:val="20"/>
          <w:szCs w:val="20"/>
        </w:rPr>
        <w:t>)</w:t>
      </w:r>
      <w:r w:rsidRPr="00695EEE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Pr="00695EEE">
        <w:rPr>
          <w:rFonts w:ascii="Arial" w:hAnsi="Arial" w:cs="Arial"/>
          <w:sz w:val="20"/>
          <w:szCs w:val="20"/>
        </w:rPr>
        <w:t>nnet</w:t>
      </w:r>
      <w:proofErr w:type="spellEnd"/>
      <w:r w:rsidRPr="00695EEE">
        <w:rPr>
          <w:rFonts w:ascii="Arial" w:hAnsi="Arial" w:cs="Arial"/>
          <w:sz w:val="20"/>
          <w:szCs w:val="20"/>
        </w:rPr>
        <w:t xml:space="preserve"> </w:t>
      </w:r>
      <w:r w:rsidRPr="00471AC7">
        <w:rPr>
          <w:rFonts w:ascii="Arial" w:hAnsi="Arial" w:cs="Arial"/>
          <w:i/>
          <w:sz w:val="20"/>
          <w:szCs w:val="20"/>
        </w:rPr>
        <w:t>(1</w:t>
      </w:r>
      <w:r w:rsidR="008A60C4">
        <w:rPr>
          <w:rFonts w:ascii="Arial" w:hAnsi="Arial" w:cs="Arial"/>
          <w:i/>
          <w:sz w:val="20"/>
          <w:szCs w:val="20"/>
        </w:rPr>
        <w:t>2</w:t>
      </w:r>
      <w:r w:rsidRPr="00471AC7">
        <w:rPr>
          <w:rFonts w:ascii="Arial" w:hAnsi="Arial" w:cs="Arial"/>
          <w:i/>
          <w:sz w:val="20"/>
          <w:szCs w:val="20"/>
        </w:rPr>
        <w:t>)</w:t>
      </w:r>
      <w:r w:rsidRPr="00695EE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695EEE">
        <w:rPr>
          <w:rFonts w:ascii="Arial" w:hAnsi="Arial" w:cs="Arial"/>
          <w:sz w:val="20"/>
          <w:szCs w:val="20"/>
        </w:rPr>
        <w:t>glm</w:t>
      </w:r>
      <w:proofErr w:type="spellEnd"/>
      <w:r w:rsidRPr="00695EEE">
        <w:rPr>
          <w:rFonts w:ascii="Arial" w:hAnsi="Arial" w:cs="Arial"/>
          <w:sz w:val="20"/>
          <w:szCs w:val="20"/>
        </w:rPr>
        <w:t xml:space="preserve"> package. 10-fold </w:t>
      </w:r>
      <w:proofErr w:type="spellStart"/>
      <w:r w:rsidRPr="00695EEE">
        <w:rPr>
          <w:rFonts w:ascii="Arial" w:hAnsi="Arial" w:cs="Arial"/>
          <w:sz w:val="20"/>
          <w:szCs w:val="20"/>
        </w:rPr>
        <w:t>crossvalidation</w:t>
      </w:r>
      <w:proofErr w:type="spellEnd"/>
      <w:r w:rsidRPr="00695EEE">
        <w:rPr>
          <w:rFonts w:ascii="Arial" w:hAnsi="Arial" w:cs="Arial"/>
          <w:sz w:val="20"/>
          <w:szCs w:val="20"/>
        </w:rPr>
        <w:t xml:space="preserve"> was used</w:t>
      </w:r>
      <w:r>
        <w:rPr>
          <w:rFonts w:ascii="Arial" w:hAnsi="Arial" w:cs="Arial"/>
          <w:sz w:val="20"/>
          <w:szCs w:val="20"/>
        </w:rPr>
        <w:t xml:space="preserve"> and</w:t>
      </w:r>
      <w:r w:rsidRPr="00695EEE">
        <w:rPr>
          <w:rFonts w:ascii="Arial" w:hAnsi="Arial" w:cs="Arial"/>
          <w:sz w:val="20"/>
          <w:szCs w:val="20"/>
        </w:rPr>
        <w:t xml:space="preserve"> AUC values were rounded on third decimal place.</w:t>
      </w:r>
      <w:r>
        <w:t xml:space="preserve"> </w:t>
      </w:r>
    </w:p>
    <w:p w:rsidR="009953F0" w:rsidRDefault="009953F0" w:rsidP="009953F0">
      <w:pPr>
        <w:pStyle w:val="PreformattedText"/>
        <w:rPr>
          <w:rFonts w:ascii="Ubuntu Mono" w:hAnsi="Ubuntu Mono"/>
          <w:sz w:val="21"/>
        </w:rPr>
      </w:pPr>
    </w:p>
    <w:p w:rsidR="009953F0" w:rsidRDefault="009953F0"/>
    <w:p w:rsidR="009953F0" w:rsidRDefault="009953F0"/>
    <w:p w:rsidR="00107D06" w:rsidRPr="00A8156F" w:rsidRDefault="00107D06" w:rsidP="00107D06">
      <w:pPr>
        <w:jc w:val="both"/>
        <w:rPr>
          <w:rFonts w:ascii="Arial" w:hAnsi="Arial" w:cs="Arial"/>
          <w:b/>
          <w:sz w:val="22"/>
          <w:szCs w:val="22"/>
        </w:rPr>
      </w:pPr>
      <w:r w:rsidRPr="00A8156F">
        <w:rPr>
          <w:rFonts w:ascii="Arial" w:hAnsi="Arial" w:cs="Arial"/>
          <w:b/>
          <w:sz w:val="22"/>
          <w:szCs w:val="22"/>
        </w:rPr>
        <w:t>References</w:t>
      </w:r>
    </w:p>
    <w:p w:rsidR="00107D06" w:rsidRPr="00A8156F" w:rsidRDefault="00107D06" w:rsidP="008A60C4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170B52" w:rsidRPr="00170B52" w:rsidRDefault="00471AC7" w:rsidP="00170B52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170B52" w:rsidRPr="00170B52">
        <w:t>1. Cole LA. Hyperglycosylated hcg drives malignancy in cancer cases. J Mol Oncol Res 2017;1:53-63.</w:t>
      </w:r>
    </w:p>
    <w:p w:rsidR="00107D06" w:rsidRDefault="00471AC7" w:rsidP="008A60C4">
      <w:pPr>
        <w:ind w:left="284" w:hanging="284"/>
      </w:pPr>
      <w:r>
        <w:fldChar w:fldCharType="end"/>
      </w:r>
    </w:p>
    <w:sectPr w:rsidR="00107D06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2C" w:rsidRDefault="003F162C" w:rsidP="00695EEE">
      <w:r>
        <w:separator/>
      </w:r>
    </w:p>
  </w:endnote>
  <w:endnote w:type="continuationSeparator" w:id="0">
    <w:p w:rsidR="003F162C" w:rsidRDefault="003F162C" w:rsidP="0069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 Mono">
    <w:altName w:val="Times New Roman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2C" w:rsidRDefault="003F162C" w:rsidP="00695EEE">
      <w:r>
        <w:separator/>
      </w:r>
    </w:p>
  </w:footnote>
  <w:footnote w:type="continuationSeparator" w:id="0">
    <w:p w:rsidR="003F162C" w:rsidRDefault="003F162C" w:rsidP="00695EEE">
      <w:r>
        <w:continuationSeparator/>
      </w:r>
    </w:p>
  </w:footnote>
  <w:footnote w:id="1">
    <w:p w:rsidR="00695EEE" w:rsidRPr="00E4005A" w:rsidRDefault="00695EEE" w:rsidP="00695EEE">
      <w:pPr>
        <w:pStyle w:val="Textpoznmkypodiarou"/>
        <w:rPr>
          <w:rFonts w:ascii="Arial" w:hAnsi="Arial" w:cs="Arial"/>
          <w:sz w:val="18"/>
          <w:szCs w:val="18"/>
        </w:rPr>
      </w:pPr>
      <w:r w:rsidRPr="00E4005A">
        <w:rPr>
          <w:rStyle w:val="Odkaznapoznmkupodiarou"/>
          <w:rFonts w:ascii="Arial" w:hAnsi="Arial" w:cs="Arial"/>
          <w:sz w:val="18"/>
          <w:szCs w:val="18"/>
        </w:rPr>
        <w:footnoteRef/>
      </w:r>
      <w:r w:rsidRPr="00E4005A">
        <w:rPr>
          <w:rFonts w:ascii="Arial" w:hAnsi="Arial" w:cs="Arial"/>
          <w:sz w:val="18"/>
          <w:szCs w:val="18"/>
        </w:rPr>
        <w:t xml:space="preserve"> </w:t>
      </w:r>
      <w:r w:rsidRPr="00E4005A">
        <w:rPr>
          <w:rFonts w:ascii="Arial" w:hAnsi="Arial" w:cs="Arial"/>
          <w:sz w:val="18"/>
          <w:szCs w:val="18"/>
          <w:lang w:val="en-US"/>
        </w:rPr>
        <w:t xml:space="preserve">Corresponding author, E-mail: </w:t>
      </w:r>
      <w:hyperlink r:id="rId1" w:history="1">
        <w:r w:rsidRPr="00E4005A">
          <w:rPr>
            <w:rStyle w:val="Hypertextovprepojenie"/>
            <w:rFonts w:ascii="Arial" w:hAnsi="Arial" w:cs="Arial"/>
            <w:sz w:val="18"/>
            <w:szCs w:val="18"/>
            <w:lang w:val="en-US"/>
          </w:rPr>
          <w:t>Jan.Tkac@savba.sk</w:t>
        </w:r>
      </w:hyperlink>
      <w:r w:rsidRPr="00E4005A">
        <w:rPr>
          <w:rFonts w:ascii="Arial" w:hAnsi="Arial" w:cs="Arial"/>
          <w:sz w:val="18"/>
          <w:szCs w:val="18"/>
          <w:lang w:val="en-US"/>
        </w:rPr>
        <w:t>, Tel.: 00421 2 5941 0263.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2FC"/>
    <w:multiLevelType w:val="hybridMultilevel"/>
    <w:tmpl w:val="EB56029A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09621A26"/>
    <w:multiLevelType w:val="hybridMultilevel"/>
    <w:tmpl w:val="BE52F20C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83312C3"/>
    <w:multiLevelType w:val="hybridMultilevel"/>
    <w:tmpl w:val="F42E2010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E597B6E"/>
    <w:multiLevelType w:val="hybridMultilevel"/>
    <w:tmpl w:val="0D88938E"/>
    <w:lvl w:ilvl="0" w:tplc="33C6874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282129"/>
    <w:multiLevelType w:val="hybridMultilevel"/>
    <w:tmpl w:val="9A344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82304"/>
    <w:multiLevelType w:val="hybridMultilevel"/>
    <w:tmpl w:val="E3D61898"/>
    <w:lvl w:ilvl="0" w:tplc="F25EA02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linical Chemistry Copy&lt;/Style&gt;&lt;LeftDelim&gt;{&lt;/LeftDelim&gt;&lt;RightDelim&gt;}&lt;/RightDelim&gt;&lt;FontName&gt;Arial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vx5trxvdrtadoezed6xwdd6fez95aaztvtt&quot;&gt;My EndNote Library-TESTIS wo&lt;record-ids&gt;&lt;item&gt;291&lt;/item&gt;&lt;/record-ids&gt;&lt;/item&gt;&lt;/Libraries&gt;"/>
  </w:docVars>
  <w:rsids>
    <w:rsidRoot w:val="00C07C32"/>
    <w:rsid w:val="0001193D"/>
    <w:rsid w:val="00083C9A"/>
    <w:rsid w:val="00107D06"/>
    <w:rsid w:val="001543B2"/>
    <w:rsid w:val="00170B52"/>
    <w:rsid w:val="001D67DE"/>
    <w:rsid w:val="001E2802"/>
    <w:rsid w:val="002D0A37"/>
    <w:rsid w:val="00326C6F"/>
    <w:rsid w:val="003F162C"/>
    <w:rsid w:val="0045348A"/>
    <w:rsid w:val="00471AC7"/>
    <w:rsid w:val="0054038D"/>
    <w:rsid w:val="00695EEE"/>
    <w:rsid w:val="006A0307"/>
    <w:rsid w:val="006A3AEF"/>
    <w:rsid w:val="007B6039"/>
    <w:rsid w:val="007B7DAC"/>
    <w:rsid w:val="008A60C4"/>
    <w:rsid w:val="00972892"/>
    <w:rsid w:val="009953F0"/>
    <w:rsid w:val="009A19F0"/>
    <w:rsid w:val="00A8156F"/>
    <w:rsid w:val="00C06953"/>
    <w:rsid w:val="00C07C32"/>
    <w:rsid w:val="00E85AFF"/>
    <w:rsid w:val="00F140E8"/>
    <w:rsid w:val="00FA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SungtiL GB" w:hAnsi="Liberation Serif" w:cs="Lohit Devanagari"/>
        <w:kern w:val="2"/>
        <w:sz w:val="24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PreformattedText">
    <w:name w:val="Preformatted Text"/>
    <w:basedOn w:val="Normlny"/>
    <w:qFormat/>
    <w:rPr>
      <w:rFonts w:ascii="Liberation Mono" w:hAnsi="Liberation Mono" w:cs="Liberation Mono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95EEE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5EEE"/>
    <w:rPr>
      <w:rFonts w:asciiTheme="minorHAnsi" w:eastAsiaTheme="minorEastAsia" w:hAnsiTheme="minorHAnsi" w:cstheme="minorBidi"/>
      <w:kern w:val="0"/>
      <w:sz w:val="20"/>
      <w:szCs w:val="20"/>
      <w:lang w:val="sk-SK" w:eastAsia="zh-TW" w:bidi="ar-SA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5EEE"/>
    <w:rPr>
      <w:rFonts w:asciiTheme="minorHAnsi" w:eastAsiaTheme="minorEastAsia" w:hAnsiTheme="minorHAnsi" w:cstheme="minorBidi"/>
      <w:kern w:val="0"/>
      <w:sz w:val="20"/>
      <w:szCs w:val="20"/>
      <w:lang w:val="sk-SK" w:eastAsia="zh-TW" w:bidi="ar-SA"/>
    </w:rPr>
  </w:style>
  <w:style w:type="character" w:styleId="Odkaznapoznmkupodiarou">
    <w:name w:val="footnote reference"/>
    <w:basedOn w:val="Predvolenpsmoodseku"/>
    <w:uiPriority w:val="99"/>
    <w:semiHidden/>
    <w:unhideWhenUsed/>
    <w:rsid w:val="00695EEE"/>
    <w:rPr>
      <w:vertAlign w:val="superscript"/>
    </w:rPr>
  </w:style>
  <w:style w:type="paragraph" w:styleId="Odsekzoznamu">
    <w:name w:val="List Paragraph"/>
    <w:basedOn w:val="Normlny"/>
    <w:uiPriority w:val="34"/>
    <w:qFormat/>
    <w:rsid w:val="00A8156F"/>
    <w:pPr>
      <w:ind w:left="720"/>
      <w:contextualSpacing/>
    </w:pPr>
    <w:rPr>
      <w:rFonts w:cs="Mangal"/>
      <w:szCs w:val="21"/>
    </w:rPr>
  </w:style>
  <w:style w:type="paragraph" w:customStyle="1" w:styleId="EndNoteBibliographyTitle">
    <w:name w:val="EndNote Bibliography Title"/>
    <w:basedOn w:val="Normlny"/>
    <w:link w:val="EndNoteBibliographyTitleChar"/>
    <w:rsid w:val="00471AC7"/>
    <w:pPr>
      <w:jc w:val="center"/>
    </w:pPr>
    <w:rPr>
      <w:rFonts w:ascii="Arial" w:hAnsi="Arial" w:cs="Arial"/>
      <w:noProof/>
      <w:sz w:val="18"/>
    </w:rPr>
  </w:style>
  <w:style w:type="character" w:customStyle="1" w:styleId="EndNoteBibliographyTitleChar">
    <w:name w:val="EndNote Bibliography Title Char"/>
    <w:basedOn w:val="Predvolenpsmoodseku"/>
    <w:link w:val="EndNoteBibliographyTitle"/>
    <w:rsid w:val="00471AC7"/>
    <w:rPr>
      <w:rFonts w:ascii="Arial" w:hAnsi="Arial" w:cs="Arial"/>
      <w:noProof/>
      <w:sz w:val="18"/>
    </w:rPr>
  </w:style>
  <w:style w:type="paragraph" w:customStyle="1" w:styleId="EndNoteBibliography">
    <w:name w:val="EndNote Bibliography"/>
    <w:basedOn w:val="Normlny"/>
    <w:link w:val="EndNoteBibliographyChar"/>
    <w:rsid w:val="00471AC7"/>
    <w:rPr>
      <w:rFonts w:ascii="Arial" w:hAnsi="Arial" w:cs="Arial"/>
      <w:noProof/>
      <w:sz w:val="18"/>
    </w:rPr>
  </w:style>
  <w:style w:type="character" w:customStyle="1" w:styleId="EndNoteBibliographyChar">
    <w:name w:val="EndNote Bibliography Char"/>
    <w:basedOn w:val="Predvolenpsmoodseku"/>
    <w:link w:val="EndNoteBibliography"/>
    <w:rsid w:val="00471AC7"/>
    <w:rPr>
      <w:rFonts w:ascii="Arial" w:hAnsi="Arial" w:cs="Arial"/>
      <w:noProof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SungtiL GB" w:hAnsi="Liberation Serif" w:cs="Lohit Devanagari"/>
        <w:kern w:val="2"/>
        <w:sz w:val="24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PreformattedText">
    <w:name w:val="Preformatted Text"/>
    <w:basedOn w:val="Normlny"/>
    <w:qFormat/>
    <w:rPr>
      <w:rFonts w:ascii="Liberation Mono" w:hAnsi="Liberation Mono" w:cs="Liberation Mono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95EEE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5EEE"/>
    <w:rPr>
      <w:rFonts w:asciiTheme="minorHAnsi" w:eastAsiaTheme="minorEastAsia" w:hAnsiTheme="minorHAnsi" w:cstheme="minorBidi"/>
      <w:kern w:val="0"/>
      <w:sz w:val="20"/>
      <w:szCs w:val="20"/>
      <w:lang w:val="sk-SK" w:eastAsia="zh-TW" w:bidi="ar-SA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5EEE"/>
    <w:rPr>
      <w:rFonts w:asciiTheme="minorHAnsi" w:eastAsiaTheme="minorEastAsia" w:hAnsiTheme="minorHAnsi" w:cstheme="minorBidi"/>
      <w:kern w:val="0"/>
      <w:sz w:val="20"/>
      <w:szCs w:val="20"/>
      <w:lang w:val="sk-SK" w:eastAsia="zh-TW" w:bidi="ar-SA"/>
    </w:rPr>
  </w:style>
  <w:style w:type="character" w:styleId="Odkaznapoznmkupodiarou">
    <w:name w:val="footnote reference"/>
    <w:basedOn w:val="Predvolenpsmoodseku"/>
    <w:uiPriority w:val="99"/>
    <w:semiHidden/>
    <w:unhideWhenUsed/>
    <w:rsid w:val="00695EEE"/>
    <w:rPr>
      <w:vertAlign w:val="superscript"/>
    </w:rPr>
  </w:style>
  <w:style w:type="paragraph" w:styleId="Odsekzoznamu">
    <w:name w:val="List Paragraph"/>
    <w:basedOn w:val="Normlny"/>
    <w:uiPriority w:val="34"/>
    <w:qFormat/>
    <w:rsid w:val="00A8156F"/>
    <w:pPr>
      <w:ind w:left="720"/>
      <w:contextualSpacing/>
    </w:pPr>
    <w:rPr>
      <w:rFonts w:cs="Mangal"/>
      <w:szCs w:val="21"/>
    </w:rPr>
  </w:style>
  <w:style w:type="paragraph" w:customStyle="1" w:styleId="EndNoteBibliographyTitle">
    <w:name w:val="EndNote Bibliography Title"/>
    <w:basedOn w:val="Normlny"/>
    <w:link w:val="EndNoteBibliographyTitleChar"/>
    <w:rsid w:val="00471AC7"/>
    <w:pPr>
      <w:jc w:val="center"/>
    </w:pPr>
    <w:rPr>
      <w:rFonts w:ascii="Arial" w:hAnsi="Arial" w:cs="Arial"/>
      <w:noProof/>
      <w:sz w:val="18"/>
    </w:rPr>
  </w:style>
  <w:style w:type="character" w:customStyle="1" w:styleId="EndNoteBibliographyTitleChar">
    <w:name w:val="EndNote Bibliography Title Char"/>
    <w:basedOn w:val="Predvolenpsmoodseku"/>
    <w:link w:val="EndNoteBibliographyTitle"/>
    <w:rsid w:val="00471AC7"/>
    <w:rPr>
      <w:rFonts w:ascii="Arial" w:hAnsi="Arial" w:cs="Arial"/>
      <w:noProof/>
      <w:sz w:val="18"/>
    </w:rPr>
  </w:style>
  <w:style w:type="paragraph" w:customStyle="1" w:styleId="EndNoteBibliography">
    <w:name w:val="EndNote Bibliography"/>
    <w:basedOn w:val="Normlny"/>
    <w:link w:val="EndNoteBibliographyChar"/>
    <w:rsid w:val="00471AC7"/>
    <w:rPr>
      <w:rFonts w:ascii="Arial" w:hAnsi="Arial" w:cs="Arial"/>
      <w:noProof/>
      <w:sz w:val="18"/>
    </w:rPr>
  </w:style>
  <w:style w:type="character" w:customStyle="1" w:styleId="EndNoteBibliographyChar">
    <w:name w:val="EndNote Bibliography Char"/>
    <w:basedOn w:val="Predvolenpsmoodseku"/>
    <w:link w:val="EndNoteBibliography"/>
    <w:rsid w:val="00471AC7"/>
    <w:rPr>
      <w:rFonts w:ascii="Arial" w:hAnsi="Arial" w:cs="Arial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Jan.Tkac@savb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</dc:creator>
  <cp:lastModifiedBy>Jano Tkac</cp:lastModifiedBy>
  <cp:revision>3</cp:revision>
  <dcterms:created xsi:type="dcterms:W3CDTF">2019-10-13T13:11:00Z</dcterms:created>
  <dcterms:modified xsi:type="dcterms:W3CDTF">2019-10-13T13:13:00Z</dcterms:modified>
  <dc:language>en-GB</dc:language>
</cp:coreProperties>
</file>