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862B7" w14:textId="353B67E2" w:rsidR="002F6F45" w:rsidRPr="00FA2079" w:rsidRDefault="000C6EFB">
      <w:pPr>
        <w:rPr>
          <w:lang w:val="en-GB"/>
        </w:rPr>
      </w:pPr>
      <w:bookmarkStart w:id="0" w:name="_GoBack"/>
      <w:bookmarkEnd w:id="0"/>
      <w:r w:rsidRPr="00854D74">
        <w:rPr>
          <w:b/>
          <w:lang w:val="en-GB"/>
        </w:rPr>
        <w:t xml:space="preserve">Table </w:t>
      </w:r>
      <w:r w:rsidR="00854D74" w:rsidRPr="00854D74">
        <w:rPr>
          <w:b/>
          <w:lang w:val="en-GB"/>
        </w:rPr>
        <w:t>S</w:t>
      </w:r>
      <w:r w:rsidR="00561774">
        <w:rPr>
          <w:b/>
          <w:lang w:val="en-GB"/>
        </w:rPr>
        <w:t>4</w:t>
      </w:r>
      <w:r w:rsidRPr="00854D74">
        <w:rPr>
          <w:b/>
          <w:lang w:val="en-GB"/>
        </w:rPr>
        <w:t>:</w:t>
      </w:r>
      <w:r w:rsidRPr="00D712DE">
        <w:rPr>
          <w:lang w:val="en-GB"/>
        </w:rPr>
        <w:t xml:space="preserve"> </w:t>
      </w:r>
      <w:r w:rsidR="00432578" w:rsidRPr="00432578">
        <w:rPr>
          <w:lang w:val="en-GB"/>
        </w:rPr>
        <w:t>Frequencies of PGx haplotypes and predicted PGx phenotypes in the study population compared to literature</w:t>
      </w:r>
    </w:p>
    <w:tbl>
      <w:tblPr>
        <w:tblStyle w:val="TableGrid"/>
        <w:tblpPr w:leftFromText="180" w:rightFromText="180" w:vertAnchor="text" w:tblpX="-147" w:tblpY="1"/>
        <w:tblOverlap w:val="never"/>
        <w:tblW w:w="9781" w:type="dxa"/>
        <w:tblLayout w:type="fixed"/>
        <w:tblLook w:val="04A0" w:firstRow="1" w:lastRow="0" w:firstColumn="1" w:lastColumn="0" w:noHBand="0" w:noVBand="1"/>
      </w:tblPr>
      <w:tblGrid>
        <w:gridCol w:w="2269"/>
        <w:gridCol w:w="3402"/>
        <w:gridCol w:w="1701"/>
        <w:gridCol w:w="1417"/>
        <w:gridCol w:w="992"/>
      </w:tblGrid>
      <w:tr w:rsidR="000D5AAD" w:rsidRPr="00D712DE" w14:paraId="1758D5F1" w14:textId="77777777" w:rsidTr="002F194E">
        <w:tc>
          <w:tcPr>
            <w:tcW w:w="2269" w:type="dxa"/>
            <w:tcBorders>
              <w:bottom w:val="single" w:sz="4" w:space="0" w:color="auto"/>
              <w:right w:val="nil"/>
            </w:tcBorders>
          </w:tcPr>
          <w:p w14:paraId="4B837623" w14:textId="77777777" w:rsidR="000D5AAD" w:rsidRDefault="000D5AAD" w:rsidP="002F194E">
            <w:pPr>
              <w:spacing w:line="240" w:lineRule="auto"/>
              <w:rPr>
                <w:b/>
                <w:sz w:val="20"/>
                <w:szCs w:val="20"/>
                <w:lang w:val="en-GB"/>
              </w:rPr>
            </w:pPr>
            <w:r w:rsidRPr="00D712DE">
              <w:rPr>
                <w:b/>
                <w:sz w:val="20"/>
                <w:szCs w:val="20"/>
                <w:lang w:val="en-GB"/>
              </w:rPr>
              <w:t>Gene</w:t>
            </w:r>
          </w:p>
          <w:p w14:paraId="476F108C" w14:textId="15850713" w:rsidR="00194E48" w:rsidRPr="00045285" w:rsidRDefault="00194E48" w:rsidP="002F194E">
            <w:pPr>
              <w:spacing w:line="240" w:lineRule="auto"/>
              <w:rPr>
                <w:sz w:val="20"/>
                <w:szCs w:val="20"/>
                <w:vertAlign w:val="superscript"/>
                <w:lang w:val="en-GB"/>
              </w:rPr>
            </w:pPr>
            <w:r>
              <w:rPr>
                <w:sz w:val="20"/>
                <w:szCs w:val="20"/>
                <w:lang w:val="en-GB"/>
              </w:rPr>
              <w:t>(number of individuals)</w:t>
            </w:r>
            <w:r w:rsidR="00045285">
              <w:rPr>
                <w:sz w:val="20"/>
                <w:szCs w:val="20"/>
                <w:lang w:val="en-GB"/>
              </w:rPr>
              <w:t xml:space="preserve"> </w:t>
            </w:r>
            <w:r w:rsidR="00045285">
              <w:rPr>
                <w:sz w:val="20"/>
                <w:szCs w:val="20"/>
                <w:vertAlign w:val="superscript"/>
                <w:lang w:val="en-GB"/>
              </w:rPr>
              <w:t>a</w:t>
            </w:r>
          </w:p>
        </w:tc>
        <w:tc>
          <w:tcPr>
            <w:tcW w:w="3402" w:type="dxa"/>
            <w:tcBorders>
              <w:left w:val="nil"/>
              <w:bottom w:val="single" w:sz="4" w:space="0" w:color="auto"/>
              <w:right w:val="nil"/>
            </w:tcBorders>
          </w:tcPr>
          <w:p w14:paraId="0ADA9318" w14:textId="21F04914" w:rsidR="000D5AAD" w:rsidRPr="00D712DE" w:rsidRDefault="000D5AAD" w:rsidP="002F194E">
            <w:pPr>
              <w:spacing w:line="240" w:lineRule="auto"/>
              <w:rPr>
                <w:b/>
                <w:sz w:val="20"/>
                <w:szCs w:val="20"/>
                <w:lang w:val="en-GB"/>
              </w:rPr>
            </w:pPr>
            <w:r w:rsidRPr="00D712DE">
              <w:rPr>
                <w:b/>
                <w:sz w:val="20"/>
                <w:szCs w:val="20"/>
                <w:lang w:val="en-GB"/>
              </w:rPr>
              <w:t>Haplotype</w:t>
            </w:r>
            <w:r w:rsidR="00FA2079">
              <w:rPr>
                <w:b/>
                <w:sz w:val="20"/>
                <w:szCs w:val="20"/>
                <w:lang w:val="en-GB"/>
              </w:rPr>
              <w:t xml:space="preserve"> / predicted phenotype</w:t>
            </w:r>
          </w:p>
        </w:tc>
        <w:tc>
          <w:tcPr>
            <w:tcW w:w="1701" w:type="dxa"/>
            <w:tcBorders>
              <w:left w:val="nil"/>
              <w:bottom w:val="single" w:sz="4" w:space="0" w:color="auto"/>
              <w:right w:val="nil"/>
            </w:tcBorders>
          </w:tcPr>
          <w:p w14:paraId="7E49B716" w14:textId="620AC49F" w:rsidR="000D5AAD" w:rsidRPr="00D712DE" w:rsidRDefault="000D5AAD" w:rsidP="002F194E">
            <w:pPr>
              <w:tabs>
                <w:tab w:val="decimal" w:pos="1310"/>
              </w:tabs>
              <w:spacing w:line="240" w:lineRule="auto"/>
              <w:jc w:val="right"/>
              <w:rPr>
                <w:b/>
                <w:sz w:val="20"/>
                <w:szCs w:val="20"/>
                <w:lang w:val="en-GB"/>
              </w:rPr>
            </w:pPr>
            <w:r w:rsidRPr="00D712DE">
              <w:rPr>
                <w:b/>
                <w:sz w:val="20"/>
                <w:szCs w:val="20"/>
                <w:lang w:val="en-GB"/>
              </w:rPr>
              <w:t>Frequency (%) in study population</w:t>
            </w:r>
          </w:p>
        </w:tc>
        <w:tc>
          <w:tcPr>
            <w:tcW w:w="1417" w:type="dxa"/>
            <w:tcBorders>
              <w:left w:val="nil"/>
              <w:bottom w:val="single" w:sz="4" w:space="0" w:color="auto"/>
              <w:right w:val="nil"/>
            </w:tcBorders>
          </w:tcPr>
          <w:p w14:paraId="6D01D01C" w14:textId="0B8F47E1" w:rsidR="000D5AAD" w:rsidRPr="00D712DE" w:rsidRDefault="000D5AAD" w:rsidP="002F194E">
            <w:pPr>
              <w:spacing w:line="240" w:lineRule="auto"/>
              <w:jc w:val="right"/>
              <w:rPr>
                <w:b/>
                <w:sz w:val="20"/>
                <w:szCs w:val="20"/>
                <w:lang w:val="en-GB"/>
              </w:rPr>
            </w:pPr>
            <w:r w:rsidRPr="00D712DE">
              <w:rPr>
                <w:b/>
                <w:sz w:val="20"/>
                <w:szCs w:val="20"/>
                <w:lang w:val="en-GB"/>
              </w:rPr>
              <w:t xml:space="preserve">Frequency (%) in </w:t>
            </w:r>
            <w:r w:rsidR="000768B0">
              <w:rPr>
                <w:b/>
                <w:sz w:val="20"/>
                <w:szCs w:val="20"/>
                <w:lang w:val="en-GB"/>
              </w:rPr>
              <w:t>(Dutch) Caucasian population</w:t>
            </w:r>
          </w:p>
        </w:tc>
        <w:tc>
          <w:tcPr>
            <w:tcW w:w="992" w:type="dxa"/>
            <w:tcBorders>
              <w:left w:val="nil"/>
              <w:bottom w:val="single" w:sz="4" w:space="0" w:color="auto"/>
            </w:tcBorders>
          </w:tcPr>
          <w:p w14:paraId="7999AB98" w14:textId="77777777" w:rsidR="000D5AAD" w:rsidRPr="00D712DE" w:rsidRDefault="000D5AAD" w:rsidP="002F194E">
            <w:pPr>
              <w:spacing w:line="240" w:lineRule="auto"/>
              <w:jc w:val="center"/>
              <w:rPr>
                <w:b/>
                <w:sz w:val="18"/>
                <w:szCs w:val="20"/>
                <w:lang w:val="en-GB"/>
              </w:rPr>
            </w:pPr>
            <w:r w:rsidRPr="00D712DE">
              <w:rPr>
                <w:b/>
                <w:sz w:val="18"/>
                <w:szCs w:val="20"/>
                <w:lang w:val="en-GB"/>
              </w:rPr>
              <w:t>Reference</w:t>
            </w:r>
          </w:p>
        </w:tc>
      </w:tr>
      <w:tr w:rsidR="00FA2079" w:rsidRPr="00D712DE" w14:paraId="776669B7" w14:textId="77777777" w:rsidTr="002F194E">
        <w:tc>
          <w:tcPr>
            <w:tcW w:w="2269" w:type="dxa"/>
            <w:tcBorders>
              <w:bottom w:val="nil"/>
              <w:right w:val="nil"/>
            </w:tcBorders>
          </w:tcPr>
          <w:p w14:paraId="46142B6F" w14:textId="77777777" w:rsidR="000D5AAD" w:rsidRPr="00194E48" w:rsidRDefault="000D5AAD" w:rsidP="004C6016">
            <w:pPr>
              <w:rPr>
                <w:b/>
                <w:i/>
                <w:sz w:val="20"/>
                <w:szCs w:val="20"/>
                <w:lang w:val="en-GB"/>
              </w:rPr>
            </w:pPr>
            <w:r w:rsidRPr="00194E48">
              <w:rPr>
                <w:b/>
                <w:i/>
                <w:sz w:val="20"/>
                <w:szCs w:val="20"/>
                <w:lang w:val="en-GB"/>
              </w:rPr>
              <w:t>CYP1A2</w:t>
            </w:r>
          </w:p>
        </w:tc>
        <w:tc>
          <w:tcPr>
            <w:tcW w:w="3402" w:type="dxa"/>
            <w:tcBorders>
              <w:left w:val="nil"/>
              <w:bottom w:val="nil"/>
              <w:right w:val="nil"/>
            </w:tcBorders>
          </w:tcPr>
          <w:p w14:paraId="0ED31399" w14:textId="77777777" w:rsidR="000D5AAD" w:rsidRPr="00D712DE" w:rsidRDefault="000D5AAD" w:rsidP="004C6016">
            <w:pPr>
              <w:rPr>
                <w:sz w:val="20"/>
                <w:szCs w:val="20"/>
                <w:lang w:val="en-GB"/>
              </w:rPr>
            </w:pPr>
            <w:r w:rsidRPr="00D712DE">
              <w:rPr>
                <w:sz w:val="20"/>
                <w:szCs w:val="20"/>
                <w:lang w:val="en-GB"/>
              </w:rPr>
              <w:t>*1A</w:t>
            </w:r>
          </w:p>
        </w:tc>
        <w:tc>
          <w:tcPr>
            <w:tcW w:w="1701" w:type="dxa"/>
            <w:tcBorders>
              <w:left w:val="nil"/>
              <w:bottom w:val="nil"/>
              <w:right w:val="nil"/>
            </w:tcBorders>
          </w:tcPr>
          <w:p w14:paraId="52A398FE" w14:textId="7D367972" w:rsidR="000D5AAD" w:rsidRPr="00D712DE" w:rsidRDefault="007300E5" w:rsidP="004C6016">
            <w:pPr>
              <w:tabs>
                <w:tab w:val="decimal" w:pos="1310"/>
              </w:tabs>
              <w:rPr>
                <w:sz w:val="20"/>
                <w:szCs w:val="20"/>
                <w:lang w:val="en-GB"/>
              </w:rPr>
            </w:pPr>
            <w:r>
              <w:rPr>
                <w:sz w:val="20"/>
                <w:szCs w:val="20"/>
                <w:lang w:val="en-GB"/>
              </w:rPr>
              <w:t>29</w:t>
            </w:r>
            <w:r w:rsidR="00C02DFC">
              <w:rPr>
                <w:sz w:val="20"/>
                <w:szCs w:val="20"/>
                <w:lang w:val="en-GB"/>
              </w:rPr>
              <w:t>.</w:t>
            </w:r>
            <w:r>
              <w:rPr>
                <w:sz w:val="20"/>
                <w:szCs w:val="20"/>
                <w:lang w:val="en-GB"/>
              </w:rPr>
              <w:t>68</w:t>
            </w:r>
          </w:p>
        </w:tc>
        <w:tc>
          <w:tcPr>
            <w:tcW w:w="1417" w:type="dxa"/>
            <w:tcBorders>
              <w:left w:val="nil"/>
              <w:bottom w:val="nil"/>
              <w:right w:val="nil"/>
            </w:tcBorders>
          </w:tcPr>
          <w:p w14:paraId="69311BE4" w14:textId="3166A8FC" w:rsidR="000D5AAD" w:rsidRPr="00D712DE" w:rsidRDefault="008878C3" w:rsidP="004C6016">
            <w:pPr>
              <w:tabs>
                <w:tab w:val="decimal" w:pos="1451"/>
              </w:tabs>
              <w:rPr>
                <w:sz w:val="20"/>
                <w:szCs w:val="20"/>
                <w:lang w:val="en-GB"/>
              </w:rPr>
            </w:pPr>
            <w:r>
              <w:rPr>
                <w:sz w:val="20"/>
                <w:szCs w:val="20"/>
                <w:lang w:val="en-GB"/>
              </w:rPr>
              <w:t>24.4</w:t>
            </w:r>
          </w:p>
        </w:tc>
        <w:tc>
          <w:tcPr>
            <w:tcW w:w="992" w:type="dxa"/>
            <w:tcBorders>
              <w:left w:val="nil"/>
              <w:bottom w:val="nil"/>
            </w:tcBorders>
          </w:tcPr>
          <w:p w14:paraId="1C07EEF2" w14:textId="1ABC6DFA" w:rsidR="000D5AAD" w:rsidRPr="00D712DE" w:rsidRDefault="00622E02"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{"citationID":"DsTod7ZJ","properties":{"formattedCitation":"\\super 1\\nosupersub{}","plainCitation":"1","noteIndex":0},"citationItems":[{"id":132,"uris":["http://zotero.org/users/local/tKhEs3aL/items/S7QCGIME"],"uri":["http://zotero.org/users/local/tKhEs3aL/items/S7QCGIME"],"itemData":{"id":132,"type":"article-journal","container-title":"European Journal of Clinical Pharmacology","DOI":"10.1007/s00228-007-0288-2","ISSN":"0031-6970, 1432-1041","issue":"6","journalAbbreviation":"Eur J Clin Pharmacol","language":"en","page":"537-546","source":"DOI.org (Crossref)","title":"Comparisons of CYP1A2 genetic polymorphisms, enzyme activity and the genotype-phenotype relationship in Swedes and Koreans","volume":"63","author":[{"family":"Ghotbi","given":"Roza"},{"family":"Christensen","given":"Magnus"},{"family":"Roh","given":"Hyung-Keun"},{"family":"Ingelman-Sundberg","given":"Magnus"},{"family":"Aklillu","given":"Eleni"},{"family":"Bertilsson","given":"Leif"}],"issued":{"date-parts":[["2007",4,27]]}}}],"schema":"https://github.com/citation-style-language/schema/raw/master/csl-citation.json"} </w:instrText>
            </w:r>
            <w:r>
              <w:rPr>
                <w:sz w:val="20"/>
                <w:szCs w:val="20"/>
                <w:lang w:val="en-GB"/>
              </w:rPr>
              <w:fldChar w:fldCharType="separate"/>
            </w:r>
            <w:r w:rsidRPr="00622E02">
              <w:rPr>
                <w:rFonts w:ascii="Calibri" w:cs="Times New Roman"/>
                <w:sz w:val="20"/>
                <w:vertAlign w:val="superscript"/>
              </w:rPr>
              <w:t>1</w:t>
            </w:r>
            <w:r>
              <w:rPr>
                <w:sz w:val="20"/>
                <w:szCs w:val="20"/>
                <w:lang w:val="en-GB"/>
              </w:rPr>
              <w:fldChar w:fldCharType="end"/>
            </w:r>
          </w:p>
        </w:tc>
      </w:tr>
      <w:tr w:rsidR="00FA2079" w:rsidRPr="00D712DE" w14:paraId="0A5106D1" w14:textId="77777777" w:rsidTr="002F194E">
        <w:tc>
          <w:tcPr>
            <w:tcW w:w="2269" w:type="dxa"/>
            <w:tcBorders>
              <w:top w:val="nil"/>
              <w:bottom w:val="nil"/>
              <w:right w:val="nil"/>
            </w:tcBorders>
          </w:tcPr>
          <w:p w14:paraId="2EF28D57" w14:textId="69758722" w:rsidR="000D5AAD" w:rsidRPr="00194E48" w:rsidRDefault="00194E48" w:rsidP="004C6016">
            <w:pPr>
              <w:rPr>
                <w:sz w:val="20"/>
                <w:szCs w:val="20"/>
                <w:lang w:val="en-GB"/>
              </w:rPr>
            </w:pPr>
            <w:r>
              <w:rPr>
                <w:sz w:val="20"/>
                <w:szCs w:val="20"/>
                <w:lang w:val="en-GB"/>
              </w:rPr>
              <w:t>(n = 155)</w:t>
            </w:r>
          </w:p>
        </w:tc>
        <w:tc>
          <w:tcPr>
            <w:tcW w:w="3402" w:type="dxa"/>
            <w:tcBorders>
              <w:top w:val="nil"/>
              <w:left w:val="nil"/>
              <w:bottom w:val="nil"/>
              <w:right w:val="nil"/>
            </w:tcBorders>
          </w:tcPr>
          <w:p w14:paraId="2A24FFD3" w14:textId="77777777" w:rsidR="000D5AAD" w:rsidRPr="00D712DE" w:rsidRDefault="000D5AAD" w:rsidP="004C6016">
            <w:pPr>
              <w:rPr>
                <w:sz w:val="20"/>
                <w:szCs w:val="20"/>
                <w:lang w:val="en-GB"/>
              </w:rPr>
            </w:pPr>
            <w:r w:rsidRPr="00D712DE">
              <w:rPr>
                <w:sz w:val="20"/>
                <w:szCs w:val="20"/>
                <w:lang w:val="en-GB"/>
              </w:rPr>
              <w:t>*1C</w:t>
            </w:r>
          </w:p>
        </w:tc>
        <w:tc>
          <w:tcPr>
            <w:tcW w:w="1701" w:type="dxa"/>
            <w:tcBorders>
              <w:top w:val="nil"/>
              <w:left w:val="nil"/>
              <w:bottom w:val="nil"/>
              <w:right w:val="nil"/>
            </w:tcBorders>
          </w:tcPr>
          <w:p w14:paraId="6877047C" w14:textId="623D6AB8" w:rsidR="000D5AAD" w:rsidRPr="00D712DE" w:rsidRDefault="00E47402"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38F40A26" w14:textId="76596314" w:rsidR="000D5AAD" w:rsidRPr="00D712DE" w:rsidRDefault="000768B0" w:rsidP="004C6016">
            <w:pPr>
              <w:tabs>
                <w:tab w:val="decimal" w:pos="1451"/>
              </w:tabs>
              <w:rPr>
                <w:sz w:val="20"/>
                <w:szCs w:val="20"/>
                <w:lang w:val="en-GB"/>
              </w:rPr>
            </w:pPr>
            <w:r>
              <w:rPr>
                <w:sz w:val="20"/>
                <w:szCs w:val="20"/>
                <w:lang w:val="en-GB"/>
              </w:rPr>
              <w:t>1</w:t>
            </w:r>
          </w:p>
        </w:tc>
        <w:tc>
          <w:tcPr>
            <w:tcW w:w="992" w:type="dxa"/>
            <w:tcBorders>
              <w:top w:val="nil"/>
              <w:left w:val="nil"/>
              <w:bottom w:val="nil"/>
            </w:tcBorders>
          </w:tcPr>
          <w:p w14:paraId="05362C60" w14:textId="5CD28273" w:rsidR="000D5AAD" w:rsidRPr="00622E02" w:rsidRDefault="002021E2" w:rsidP="002F194E">
            <w:pPr>
              <w:jc w:val="center"/>
              <w:rPr>
                <w:sz w:val="20"/>
                <w:szCs w:val="20"/>
                <w:vertAlign w:val="superscript"/>
                <w:lang w:val="en-GB"/>
              </w:rPr>
            </w:pP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{"citationID":"zNZCBwi1","properties":{"formattedCitation":"\\super 2\\nosupersub{}","plainCitation":"2","noteIndex":0},"citationItems":[{"id":99,"uris":["http://zotero.org/users/local/tKhEs3aL/items/GMTH95TQ"],"uri":["http://zotero.org/users/local/tKhEs3aL/items/GMTH95TQ"],"itemData":{"id":99,"type":"article-journal","abstract":"Human CYP1A2 is one of the major CYPs in human liver and metabolizes a number of clinical drugs (e.g., clozapine, tacrine, tizanidine, and theophylline; n &gt; 110), a number of procarcinogens (e.g., benzo[a]pyrene and aromatic amines), and several important endogenous compounds (e.g., steroids). CYP1A2 is subject to reversible and/or irreversible inhibition by a number of drugs, natural substances, and other compounds. The CYP1A gene cluster has been mapped on to chromosome 15q24.1, with close link between CYP1A1 and 1A2 sharing a common 5'-flanking region. The human CYP1A2 gene spans almost 7.8 kb comprising seven exons and six introns and codes a 515-residue protein with a molecular mass of 58,294 Da. The recently resolved CYP1A2 structure has a relatively compact, planar active site cavity that is highly adapted for the size and shape of its substrates. The architecture of the active site of 1A2 is characterized by multiple residues on helices F and I that constitutes two parallel substrate binding platforms on either side of the cavity. A large interindividual variability in the expression and activity of CYP1A2 has been observed, which is largely caused by genetic, epigenetic and environmental factors (e.g., smoking). CYP1A2 is primarily regulated by the aromatic hydrocarbon receptor (AhR) and CYP1A2 is induced through AhR-mediated transactivation following ligand binding and nuclear translocation. Induction or inhibition of CYP1A2 may provide partial explanation for some clinical drug interactions. To date, more than 15 variant alleles and a series of subvariants of the CYP1A2 gene have been identified and some of them have been associated with altered drug clearance and response and disease susceptibility. Further studies are warranted to explore the clinical and toxicological significance of altered CYP1A2 expression and activity caused by genetic, epigenetic, and environmental factors.","container-title":"Drug Metabolism Reviews","DOI":"10.3109/03602530903286476","ISSN":"1097-9883","issue":"2","journalAbbreviation":"Drug Metab. Rev.","language":"eng","note":"PMID: 19961320","page":"268-354","source":"PubMed","title":"Structure, function, regulation and polymorphism and the clinical significance of human cytochrome P450 1A2","volume":"42","author":[{"family":"Zhou","given":"Shu-Feng"},{"family":"Wang","given":"Bo"},{"family":"Yang","given":"Li-Ping"},{"family":"Liu","given":"Jun-Ping"}],"issued":{"date-parts":[["2010",5]]}}}],"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2</w:t>
            </w:r>
            <w:r w:rsidRPr="00622E02">
              <w:rPr>
                <w:sz w:val="20"/>
                <w:szCs w:val="20"/>
                <w:vertAlign w:val="superscript"/>
                <w:lang w:val="en-GB"/>
              </w:rPr>
              <w:fldChar w:fldCharType="end"/>
            </w:r>
            <w:r w:rsidRPr="00622E02">
              <w:rPr>
                <w:sz w:val="20"/>
                <w:szCs w:val="20"/>
                <w:vertAlign w:val="superscript"/>
                <w:lang w:val="en-GB"/>
              </w:rPr>
              <w:t>,</w:t>
            </w: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{"citationID":"uhj7n1Lj","properties":{"formattedCitation":"\\super 3\\nosupersub{}","plainCitation":"3","noteIndex":0},"citationItems":[{"id":101,"uris":["http://zotero.org/users/local/tKhEs3aL/items/GH6TFB7C"],"uri":["http://zotero.org/users/local/tKhEs3aL/items/GH6TFB7C"],"itemData":{"id":101,"type":"article-journal","abstract":"Clozapine is an atypical antipsychotic drug that is metabolized to a major extent by the cytochrome P450 enzyme CYP1A2. Smoking is a potent inducer of CYP1A2 enzyme activity, resulting in significant lower clozapine serum concentrations in smokers compared with non-smokers, upon a given dose. Recently, a single nucleotide polymorphism identified at position 734 of the CYP1A2 gene, was reported to affect the inducibility of the enzyme. Because this polymorphism in relation to smoking behaviour may be relevant in treatment with clozapine, we studied the effect of CYP1A2 genotype on clozapine clearance and dose requirement in a group of 80 smoking and non-smoking schizophrenic patients on long-term clozapine therapy. Clozapine serum concentration and CYP1A2 genotype had been determined routinely by high-performance liquid chromatography and polymerase chain reaction analyses, respectively. In smokers, the clozapine serum concentration corrected for dose (C/D ratio) was on average 2.5 times lower compared with non-smokers, indicating an enhanced clearance. The mean required maintenance doses of clozapine for smokers and non-smokers were 382 mg/day and 197 mg/day, respectively (P &lt; 0.01). Neither among smokers, nor among non-smokers mean C/D ratios and daily doses did vary significantly between patients with the different CYP1A2 genotypes. The results show that clozapine clearance and daily dose requirement are strongly associated with smoking behaviour, while the CYP1A2 genetic polymorphism seems to have no significant clinical effect. Dosage adjustment based on smoking behaviour would be of value in order to lower the incidence of non-therapeutic serum drug levels and, consequently, intoxication or inadequate antipsychotic response.","container-title":"Pharmacogenetics","DOI":"10.1097/00008571-200303000-00006","ISSN":"0960-314X","issue":"3","journalAbbreviation":"Pharmacogenetics","language":"eng","note":"PMID: 12618594","page":"169-172","source":"PubMed","title":"The effect of smoking and cytochrome P450 CYP1A2 genetic polymorphism on clozapine clearance and dose requirement","volume":"13","author":[{"family":"Weide","given":"Jan","non-dropping-particle":"van der"},{"family":"Steijns","given":"Linda S."},{"family":"Weelden","given":"Marga J.","non-dropping-particle":"van"}],"issued":{"date-parts":[["2003",3]]}}}],"schema":"https://github.com/citation-style-language/schema/raw/master/csl-citation.json"}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3</w:t>
            </w:r>
            <w:r w:rsidRPr="00622E02">
              <w:rPr>
                <w:sz w:val="20"/>
                <w:szCs w:val="20"/>
                <w:vertAlign w:val="superscript"/>
                <w:lang w:val="en-GB"/>
              </w:rPr>
              <w:fldChar w:fldCharType="end"/>
            </w:r>
            <w:r w:rsidRPr="00622E02">
              <w:rPr>
                <w:sz w:val="20"/>
                <w:szCs w:val="20"/>
                <w:vertAlign w:val="superscript"/>
                <w:lang w:val="en-GB"/>
              </w:rPr>
              <w:t>,</w:t>
            </w: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{"citationID":"ok8seWIZ","properties":{"formattedCitation":"\\super 4\\nosupersub{}","plainCitation":"4","noteIndex":0},"citationItems":[{"id":103,"uris":["http://zotero.org/users/local/tKhEs3aL/items/P6E82CVV"],"uri":["http://zotero.org/users/local/tKhEs3aL/items/P6E82CVV"],"itemData":{"id":103,"type":"article-journal","abstract":"OBJECTIVE: Metabolism of the atypical antipsychotic olanzapine (OLA) is partially catalyzed by cytochrome P450 (CYP) 1A2, a target of aryl hydrocarbon receptor (AHR)-mediated induction. We investigated the influence of four cis-acting polymorphisms (rs2470893C&gt;T and rs2472297C&gt;T between CYP1A1 and CYP1A2 loci, and rs762551C&gt;A and rs2472304A&gt;G within CYP1A2) as well as one trans-acting polymorphism upstream of the AHR locus (rs4410790C&gt;T) on interindividual variation in systemic OLA exposure.\nMETHODS: A cohort of 342 Caucasian psychiatric patients on long-term OLA treatment was genotyped using Illumina GoldenGate assays. The influence of haplotype and genotype was evaluated in terms of dose-adjusted steady-state serum concentrations (C/Ds) of OLA and the 4'-desmethyl OLA (DMO) to OLA ratio, a marker for CYP1A2-mediated metabolism of OLA.\nRESULTS: The CYP1A haplotype [rs2470893 (T)-rs2472297 (T)-rs762551 (A)] was associated with an increased DMO/OLA ratio and decreased C/Ds of OLA. This haplotype could not be tagged by rs762551 (A) but was tagged by rs2472297C&gt;T, a single nucleotide polymorphism further identified as a significant covariate of the DMO/OLA ratio (P=0.0001) and OLA C/D (P=0.01). AHR rs4410790C&gt;T influenced only the DMO/OLA ratio (P=0.02). Among nonsmokers, patients carrying rs2472297 (T) and homozygous for rs4410790 (C) [n=26; mean=0.22, 95% confidence interval (CI) 0.19-0.26] showed a 1.7-fold higher mean DMO/OLA ratio compared with those carrying rs4410790 (T) and homozygous for rs2472297 (C) (n=50; mean=0.13, 95% CI 0.12-0.16, P=0.0001), together with a nonsignificant decrease in the mean OLA C/D.\nCONCLUSION: The reported influence of CYP1A2*1F (also known as CYP1A2-163A, rs762551C&gt;A) on systemic OLA exposure could not be verified. CYP1A1/CYP1A2 rs2472297C&gt;T and AHR rs4410790C&gt;T are potentially useful genetic markers associated with variability in CYP1A2-mediated metabolism, but are of minor quantitative importance for systemic OLA exposure.","container-title":"Pharmacogenetics and Genomics","DOI":"10.1097/FPC.0b013e3283602876","ISSN":"1744-6880","issue":"5","journalAbbreviation":"Pharmacogenet. Genomics","language":"eng","note":"PMID: 23492908","page":"279-285","source":"PubMed","title":"Influence of CYP1A1/CYP1A2 and AHR polymorphisms on systemic olanzapine exposure","volume":"23","author":[{"family":"Söderberg","given":"Mao M."},{"family":"Haslemo","given":"Tore"},{"family":"Molden","given":"Espen"},{"family":"Dahl","given":"Marja-Liisa"}],"issued":{"date-parts":[["2013",5]]}}}],"schema":"https://github.com/citation-style-language/schema/raw/master/csl-citation.json"}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4</w:t>
            </w:r>
            <w:r w:rsidRPr="00622E02">
              <w:rPr>
                <w:sz w:val="20"/>
                <w:szCs w:val="20"/>
                <w:vertAlign w:val="superscript"/>
                <w:lang w:val="en-GB"/>
              </w:rPr>
              <w:fldChar w:fldCharType="end"/>
            </w:r>
          </w:p>
        </w:tc>
      </w:tr>
      <w:tr w:rsidR="00FA2079" w:rsidRPr="00D712DE" w14:paraId="42ED5B40" w14:textId="77777777" w:rsidTr="002F194E">
        <w:tc>
          <w:tcPr>
            <w:tcW w:w="2269" w:type="dxa"/>
            <w:tcBorders>
              <w:top w:val="nil"/>
              <w:bottom w:val="nil"/>
              <w:right w:val="nil"/>
            </w:tcBorders>
          </w:tcPr>
          <w:p w14:paraId="617F2C48" w14:textId="0CE2913A" w:rsidR="000D5AAD" w:rsidRPr="00D712DE" w:rsidRDefault="000D5AAD" w:rsidP="004C6016">
            <w:pPr>
              <w:rPr>
                <w:i/>
                <w:sz w:val="20"/>
                <w:szCs w:val="20"/>
                <w:lang w:val="en-GB"/>
              </w:rPr>
            </w:pPr>
          </w:p>
        </w:tc>
        <w:tc>
          <w:tcPr>
            <w:tcW w:w="3402" w:type="dxa"/>
            <w:tcBorders>
              <w:top w:val="nil"/>
              <w:left w:val="nil"/>
              <w:bottom w:val="nil"/>
              <w:right w:val="nil"/>
            </w:tcBorders>
          </w:tcPr>
          <w:p w14:paraId="66D2B460" w14:textId="77777777" w:rsidR="000D5AAD" w:rsidRPr="00D712DE" w:rsidRDefault="000D5AAD" w:rsidP="004C6016">
            <w:pPr>
              <w:rPr>
                <w:sz w:val="20"/>
                <w:szCs w:val="20"/>
                <w:lang w:val="en-GB"/>
              </w:rPr>
            </w:pPr>
            <w:r w:rsidRPr="00D712DE">
              <w:rPr>
                <w:sz w:val="20"/>
                <w:szCs w:val="20"/>
                <w:lang w:val="en-GB"/>
              </w:rPr>
              <w:t>*1F</w:t>
            </w:r>
          </w:p>
        </w:tc>
        <w:tc>
          <w:tcPr>
            <w:tcW w:w="1701" w:type="dxa"/>
            <w:tcBorders>
              <w:top w:val="nil"/>
              <w:left w:val="nil"/>
              <w:bottom w:val="nil"/>
              <w:right w:val="nil"/>
            </w:tcBorders>
          </w:tcPr>
          <w:p w14:paraId="3C5EA822" w14:textId="37F71BD7" w:rsidR="000D5AAD" w:rsidRPr="00D712DE" w:rsidRDefault="007300E5" w:rsidP="004C6016">
            <w:pPr>
              <w:tabs>
                <w:tab w:val="decimal" w:pos="1310"/>
              </w:tabs>
              <w:rPr>
                <w:sz w:val="20"/>
                <w:szCs w:val="20"/>
                <w:lang w:val="en-GB"/>
              </w:rPr>
            </w:pPr>
            <w:r>
              <w:rPr>
                <w:sz w:val="20"/>
                <w:szCs w:val="20"/>
                <w:lang w:val="en-GB"/>
              </w:rPr>
              <w:t>69</w:t>
            </w:r>
            <w:r w:rsidR="00C02DFC">
              <w:rPr>
                <w:sz w:val="20"/>
                <w:szCs w:val="20"/>
                <w:lang w:val="en-GB"/>
              </w:rPr>
              <w:t>.</w:t>
            </w:r>
            <w:r>
              <w:rPr>
                <w:sz w:val="20"/>
                <w:szCs w:val="20"/>
                <w:lang w:val="en-GB"/>
              </w:rPr>
              <w:t>03</w:t>
            </w:r>
          </w:p>
        </w:tc>
        <w:tc>
          <w:tcPr>
            <w:tcW w:w="1417" w:type="dxa"/>
            <w:tcBorders>
              <w:top w:val="nil"/>
              <w:left w:val="nil"/>
              <w:bottom w:val="nil"/>
              <w:right w:val="nil"/>
            </w:tcBorders>
          </w:tcPr>
          <w:p w14:paraId="1664F15A" w14:textId="15EEB847" w:rsidR="000D5AAD" w:rsidRPr="00D712DE" w:rsidRDefault="000768B0" w:rsidP="004C6016">
            <w:pPr>
              <w:tabs>
                <w:tab w:val="decimal" w:pos="1451"/>
              </w:tabs>
              <w:rPr>
                <w:sz w:val="20"/>
                <w:szCs w:val="20"/>
                <w:lang w:val="en-GB"/>
              </w:rPr>
            </w:pPr>
            <w:r>
              <w:rPr>
                <w:sz w:val="20"/>
                <w:szCs w:val="20"/>
                <w:lang w:val="en-GB"/>
              </w:rPr>
              <w:t>67</w:t>
            </w:r>
          </w:p>
        </w:tc>
        <w:tc>
          <w:tcPr>
            <w:tcW w:w="992" w:type="dxa"/>
            <w:tcBorders>
              <w:top w:val="nil"/>
              <w:left w:val="nil"/>
              <w:bottom w:val="nil"/>
            </w:tcBorders>
          </w:tcPr>
          <w:p w14:paraId="398BCABC" w14:textId="3A2F3B7F" w:rsidR="000D5AAD" w:rsidRPr="00622E02" w:rsidRDefault="002021E2" w:rsidP="002F194E">
            <w:pPr>
              <w:jc w:val="center"/>
              <w:rPr>
                <w:sz w:val="20"/>
                <w:szCs w:val="20"/>
                <w:vertAlign w:val="superscript"/>
                <w:lang w:val="en-GB"/>
              </w:rPr>
            </w:pP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{"citationID":"9kxxWsKv","properties":{"formattedCitation":"\\super 2\\nosupersub{}","plainCitation":"2","noteIndex":0},"citationItems":[{"id":99,"uris":["http://zotero.org/users/local/tKhEs3aL/items/GMTH95TQ"],"uri":["http://zotero.org/users/local/tKhEs3aL/items/GMTH95TQ"],"itemData":{"id":99,"type":"article-journal","abstract":"Human CYP1A2 is one of the major CYPs in human liver and metabolizes a number of clinical drugs (e.g., clozapine, tacrine, tizanidine, and theophylline; n &gt; 110), a number of procarcinogens (e.g., benzo[a]pyrene and aromatic amines), and several important endogenous compounds (e.g., steroids). CYP1A2 is subject to reversible and/or irreversible inhibition by a number of drugs, natural substances, and other compounds. The CYP1A gene cluster has been mapped on to chromosome 15q24.1, with close link between CYP1A1 and 1A2 sharing a common 5'-flanking region. The human CYP1A2 gene spans almost 7.8 kb comprising seven exons and six introns and codes a 515-residue protein with a molecular mass of 58,294 Da. The recently resolved CYP1A2 structure has a relatively compact, planar active site cavity that is highly adapted for the size and shape of its substrates. The architecture of the active site of 1A2 is characterized by multiple residues on helices F and I that constitutes two parallel substrate binding platforms on either side of the cavity. A large interindividual variability in the expression and activity of CYP1A2 has been observed, which is largely caused by genetic, epigenetic and environmental factors (e.g., smoking). CYP1A2 is primarily regulated by the aromatic hydrocarbon receptor (AhR) and CYP1A2 is induced through AhR-mediated transactivation following ligand binding and nuclear translocation. Induction or inhibition of CYP1A2 may provide partial explanation for some clinical drug interactions. To date, more than 15 variant alleles and a series of subvariants of the CYP1A2 gene have been identified and some of them have been associated with altered drug clearance and response and disease susceptibility. Further studies are warranted to explore the clinical and toxicological significance of altered CYP1A2 expression and activity caused by genetic, epigenetic, and environmental factors.","container-title":"Drug Metabolism Reviews","DOI":"10.3109/03602530903286476","ISSN":"1097-9883","issue":"2","journalAbbreviation":"Drug Metab. Rev.","language":"eng","note":"PMID: 19961320","page":"268-354","source":"PubMed","title":"Structure, function, regulation and polymorphism and the clinical significance of human cytochrome P450 1A2","volume":"42","author":[{"family":"Zhou","given":"Shu-Feng"},{"family":"Wang","given":"Bo"},{"family":"Yang","given":"Li-Ping"},{"family":"Liu","given":"Jun-Ping"}],"issued":{"date-parts":[["2010",5]]}}}],"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2</w:t>
            </w:r>
            <w:r w:rsidRPr="00622E02">
              <w:rPr>
                <w:sz w:val="20"/>
                <w:szCs w:val="20"/>
                <w:vertAlign w:val="superscript"/>
                <w:lang w:val="en-GB"/>
              </w:rPr>
              <w:fldChar w:fldCharType="end"/>
            </w:r>
            <w:r w:rsidRPr="00622E02">
              <w:rPr>
                <w:sz w:val="20"/>
                <w:szCs w:val="20"/>
                <w:vertAlign w:val="superscript"/>
                <w:lang w:val="en-GB"/>
              </w:rPr>
              <w:t>,</w:t>
            </w: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{"citationID":"GzvhJuMY","properties":{"formattedCitation":"\\super 3\\nosupersub{}","plainCitation":"3","noteIndex":0},"citationItems":[{"id":101,"uris":["http://zotero.org/users/local/tKhEs3aL/items/GH6TFB7C"],"uri":["http://zotero.org/users/local/tKhEs3aL/items/GH6TFB7C"],"itemData":{"id":101,"type":"article-journal","abstract":"Clozapine is an atypical antipsychotic drug that is metabolized to a major extent by the cytochrome P450 enzyme CYP1A2. Smoking is a potent inducer of CYP1A2 enzyme activity, resulting in significant lower clozapine serum concentrations in smokers compared with non-smokers, upon a given dose. Recently, a single nucleotide polymorphism identified at position 734 of the CYP1A2 gene, was reported to affect the inducibility of the enzyme. Because this polymorphism in relation to smoking behaviour may be relevant in treatment with clozapine, we studied the effect of CYP1A2 genotype on clozapine clearance and dose requirement in a group of 80 smoking and non-smoking schizophrenic patients on long-term clozapine therapy. Clozapine serum concentration and CYP1A2 genotype had been determined routinely by high-performance liquid chromatography and polymerase chain reaction analyses, respectively. In smokers, the clozapine serum concentration corrected for dose (C/D ratio) was on average 2.5 times lower compared with non-smokers, indicating an enhanced clearance. The mean required maintenance doses of clozapine for smokers and non-smokers were 382 mg/day and 197 mg/day, respectively (P &lt; 0.01). Neither among smokers, nor among non-smokers mean C/D ratios and daily doses did vary significantly between patients with the different CYP1A2 genotypes. The results show that clozapine clearance and daily dose requirement are strongly associated with smoking behaviour, while the CYP1A2 genetic polymorphism seems to have no significant clinical effect. Dosage adjustment based on smoking behaviour would be of value in order to lower the incidence of non-therapeutic serum drug levels and, consequently, intoxication or inadequate antipsychotic response.","container-title":"Pharmacogenetics","DOI":"10.1097/00008571-200303000-00006","ISSN":"0960-314X","issue":"3","journalAbbreviation":"Pharmacogenetics","language":"eng","note":"PMID: 12618594","page":"169-172","source":"PubMed","title":"The effect of smoking and cytochrome P450 CYP1A2 genetic polymorphism on clozapine clearance and dose requirement","volume":"13","author":[{"family":"Weide","given":"Jan","non-dropping-particle":"van der"},{"family":"Steijns","given":"Linda S."},{"family":"Weelden","given":"Marga J.","non-dropping-particle":"van"}],"issued":{"date-parts":[["2003",3]]}}}],"schema":"https://github.com/citation-style-language/schema/raw/master/csl-citation.json"}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3</w:t>
            </w:r>
            <w:r w:rsidRPr="00622E02">
              <w:rPr>
                <w:sz w:val="20"/>
                <w:szCs w:val="20"/>
                <w:vertAlign w:val="superscript"/>
                <w:lang w:val="en-GB"/>
              </w:rPr>
              <w:fldChar w:fldCharType="end"/>
            </w:r>
            <w:r w:rsidRPr="00622E02">
              <w:rPr>
                <w:sz w:val="20"/>
                <w:szCs w:val="20"/>
                <w:vertAlign w:val="superscript"/>
                <w:lang w:val="en-GB"/>
              </w:rPr>
              <w:t>,</w:t>
            </w:r>
            <w:r w:rsidRPr="00622E02">
              <w:rPr>
                <w:sz w:val="20"/>
                <w:szCs w:val="20"/>
                <w:vertAlign w:val="superscript"/>
                <w:lang w:val="en-GB"/>
              </w:rPr>
              <w:fldChar w:fldCharType="begin"/>
            </w:r>
            <w:r w:rsidR="00622E02" w:rsidRPr="00622E02">
              <w:rPr>
                <w:sz w:val="20"/>
                <w:szCs w:val="20"/>
                <w:vertAlign w:val="superscript"/>
                <w:lang w:val="en-GB"/>
              </w:rPr>
              <w:instrText xml:space="preserve"> ADDIN ZOTERO_ITEM CSL_CITATION {"citationID":"ksP9SxU1","properties":{"formattedCitation":"\\super 4\\nosupersub{}","plainCitation":"4","noteIndex":0},"citationItems":[{"id":103,"uris":["http://zotero.org/users/local/tKhEs3aL/items/P6E82CVV"],"uri":["http://zotero.org/users/local/tKhEs3aL/items/P6E82CVV"],"itemData":{"id":103,"type":"article-journal","abstract":"OBJECTIVE: Metabolism of the atypical antipsychotic olanzapine (OLA) is partially catalyzed by cytochrome P450 (CYP) 1A2, a target of aryl hydrocarbon receptor (AHR)-mediated induction. We investigated the influence of four cis-acting polymorphisms (rs2470893C&gt;T and rs2472297C&gt;T between CYP1A1 and CYP1A2 loci, and rs762551C&gt;A and rs2472304A&gt;G within CYP1A2) as well as one trans-acting polymorphism upstream of the AHR locus (rs4410790C&gt;T) on interindividual variation in systemic OLA exposure.\nMETHODS: A cohort of 342 Caucasian psychiatric patients on long-term OLA treatment was genotyped using Illumina GoldenGate assays. The influence of haplotype and genotype was evaluated in terms of dose-adjusted steady-state serum concentrations (C/Ds) of OLA and the 4'-desmethyl OLA (DMO) to OLA ratio, a marker for CYP1A2-mediated metabolism of OLA.\nRESULTS: The CYP1A haplotype [rs2470893 (T)-rs2472297 (T)-rs762551 (A)] was associated with an increased DMO/OLA ratio and decreased C/Ds of OLA. This haplotype could not be tagged by rs762551 (A) but was tagged by rs2472297C&gt;T, a single nucleotide polymorphism further identified as a significant covariate of the DMO/OLA ratio (P=0.0001) and OLA C/D (P=0.01). AHR rs4410790C&gt;T influenced only the DMO/OLA ratio (P=0.02). Among nonsmokers, patients carrying rs2472297 (T) and homozygous for rs4410790 (C) [n=26; mean=0.22, 95% confidence interval (CI) 0.19-0.26] showed a 1.7-fold higher mean DMO/OLA ratio compared with those carrying rs4410790 (T) and homozygous for rs2472297 (C) (n=50; mean=0.13, 95% CI 0.12-0.16, P=0.0001), together with a nonsignificant decrease in the mean OLA C/D.\nCONCLUSION: The reported influence of CYP1A2*1F (also known as CYP1A2-163A, rs762551C&gt;A) on systemic OLA exposure could not be verified. CYP1A1/CYP1A2 rs2472297C&gt;T and AHR rs4410790C&gt;T are potentially useful genetic markers associated with variability in CYP1A2-mediated metabolism, but are of minor quantitative importance for systemic OLA exposure.","container-title":"Pharmacogenetics and Genomics","DOI":"10.1097/FPC.0b013e3283602876","ISSN":"1744-6880","issue":"5","journalAbbreviation":"Pharmacogenet. Genomics","language":"eng","note":"PMID: 23492908","page":"279-285","source":"PubMed","title":"Influence of CYP1A1/CYP1A2 and AHR polymorphisms on systemic olanzapine exposure","volume":"23","author":[{"family":"Söderberg","given":"Mao M."},{"family":"Haslemo","given":"Tore"},{"family":"Molden","given":"Espen"},{"family":"Dahl","given":"Marja-Liisa"}],"issued":{"date-parts":[["2013",5]]}}}],"schema":"https://github.com/citation-style-language/schema/raw/master/csl-citation.json"} </w:instrText>
            </w:r>
            <w:r w:rsidRPr="00622E02">
              <w:rPr>
                <w:sz w:val="20"/>
                <w:szCs w:val="20"/>
                <w:vertAlign w:val="superscript"/>
                <w:lang w:val="en-GB"/>
              </w:rPr>
              <w:fldChar w:fldCharType="separate"/>
            </w:r>
            <w:r w:rsidR="00622E02" w:rsidRPr="00622E02">
              <w:rPr>
                <w:rFonts w:ascii="Calibri" w:cs="Times New Roman"/>
                <w:sz w:val="20"/>
                <w:vertAlign w:val="superscript"/>
              </w:rPr>
              <w:t>4</w:t>
            </w:r>
            <w:r w:rsidRPr="00622E02">
              <w:rPr>
                <w:sz w:val="20"/>
                <w:szCs w:val="20"/>
                <w:vertAlign w:val="superscript"/>
                <w:lang w:val="en-GB"/>
              </w:rPr>
              <w:fldChar w:fldCharType="end"/>
            </w:r>
          </w:p>
        </w:tc>
      </w:tr>
      <w:tr w:rsidR="00FA2079" w:rsidRPr="00D712DE" w14:paraId="65DC8918" w14:textId="77777777" w:rsidTr="002F194E">
        <w:tc>
          <w:tcPr>
            <w:tcW w:w="2269" w:type="dxa"/>
            <w:tcBorders>
              <w:top w:val="nil"/>
              <w:bottom w:val="nil"/>
              <w:right w:val="nil"/>
            </w:tcBorders>
          </w:tcPr>
          <w:p w14:paraId="26D26EA2" w14:textId="515A3651" w:rsidR="000D5AAD" w:rsidRPr="00D712DE" w:rsidRDefault="000D5AAD" w:rsidP="004C6016">
            <w:pPr>
              <w:rPr>
                <w:i/>
                <w:sz w:val="20"/>
                <w:szCs w:val="20"/>
                <w:lang w:val="en-GB"/>
              </w:rPr>
            </w:pPr>
          </w:p>
        </w:tc>
        <w:tc>
          <w:tcPr>
            <w:tcW w:w="3402" w:type="dxa"/>
            <w:tcBorders>
              <w:top w:val="nil"/>
              <w:left w:val="nil"/>
              <w:bottom w:val="single" w:sz="4" w:space="0" w:color="auto"/>
              <w:right w:val="nil"/>
            </w:tcBorders>
          </w:tcPr>
          <w:p w14:paraId="71EB0228" w14:textId="77777777" w:rsidR="000D5AAD" w:rsidRPr="00D712DE" w:rsidRDefault="000D5AAD" w:rsidP="004C6016">
            <w:pPr>
              <w:rPr>
                <w:sz w:val="20"/>
                <w:szCs w:val="20"/>
                <w:lang w:val="en-GB"/>
              </w:rPr>
            </w:pPr>
            <w:r w:rsidRPr="00D712DE">
              <w:rPr>
                <w:sz w:val="20"/>
                <w:szCs w:val="20"/>
                <w:lang w:val="en-GB"/>
              </w:rPr>
              <w:t>*1L</w:t>
            </w:r>
          </w:p>
        </w:tc>
        <w:tc>
          <w:tcPr>
            <w:tcW w:w="1701" w:type="dxa"/>
            <w:tcBorders>
              <w:top w:val="nil"/>
              <w:left w:val="nil"/>
              <w:bottom w:val="single" w:sz="4" w:space="0" w:color="auto"/>
              <w:right w:val="nil"/>
            </w:tcBorders>
          </w:tcPr>
          <w:p w14:paraId="5FBEB968" w14:textId="315406B7" w:rsidR="000D5AAD" w:rsidRPr="00D712DE" w:rsidRDefault="007300E5" w:rsidP="004C6016">
            <w:pPr>
              <w:tabs>
                <w:tab w:val="decimal" w:pos="1310"/>
              </w:tabs>
              <w:rPr>
                <w:sz w:val="20"/>
                <w:szCs w:val="20"/>
                <w:lang w:val="en-GB"/>
              </w:rPr>
            </w:pPr>
            <w:r>
              <w:rPr>
                <w:sz w:val="20"/>
                <w:szCs w:val="20"/>
                <w:lang w:val="en-GB"/>
              </w:rPr>
              <w:t>1</w:t>
            </w:r>
            <w:r w:rsidR="00C02DFC">
              <w:rPr>
                <w:sz w:val="20"/>
                <w:szCs w:val="20"/>
                <w:lang w:val="en-GB"/>
              </w:rPr>
              <w:t>.</w:t>
            </w:r>
            <w:r>
              <w:rPr>
                <w:sz w:val="20"/>
                <w:szCs w:val="20"/>
                <w:lang w:val="en-GB"/>
              </w:rPr>
              <w:t>29</w:t>
            </w:r>
          </w:p>
        </w:tc>
        <w:tc>
          <w:tcPr>
            <w:tcW w:w="1417" w:type="dxa"/>
            <w:tcBorders>
              <w:top w:val="nil"/>
              <w:left w:val="nil"/>
              <w:bottom w:val="single" w:sz="4" w:space="0" w:color="auto"/>
              <w:right w:val="nil"/>
            </w:tcBorders>
          </w:tcPr>
          <w:p w14:paraId="32DBB4CE" w14:textId="32F48AB2" w:rsidR="000D5AAD" w:rsidRPr="00D712DE" w:rsidRDefault="00622E02" w:rsidP="004C6016">
            <w:pPr>
              <w:tabs>
                <w:tab w:val="decimal" w:pos="1451"/>
              </w:tabs>
              <w:rPr>
                <w:sz w:val="20"/>
                <w:szCs w:val="20"/>
                <w:lang w:val="en-GB"/>
              </w:rPr>
            </w:pPr>
            <w:r>
              <w:rPr>
                <w:sz w:val="20"/>
                <w:szCs w:val="20"/>
                <w:lang w:val="en-GB"/>
              </w:rPr>
              <w:t>0.8</w:t>
            </w:r>
          </w:p>
        </w:tc>
        <w:tc>
          <w:tcPr>
            <w:tcW w:w="992" w:type="dxa"/>
            <w:tcBorders>
              <w:top w:val="nil"/>
              <w:left w:val="nil"/>
              <w:bottom w:val="single" w:sz="4" w:space="0" w:color="auto"/>
            </w:tcBorders>
          </w:tcPr>
          <w:p w14:paraId="31B41D80" w14:textId="56DAEF73" w:rsidR="000D5AAD" w:rsidRPr="00D712DE" w:rsidRDefault="00622E02" w:rsidP="002F194E">
            <w:pPr>
              <w:jc w:val="center"/>
              <w:rPr>
                <w:sz w:val="20"/>
                <w:szCs w:val="20"/>
                <w:lang w:val="en-GB"/>
              </w:rPr>
            </w:pPr>
            <w:r>
              <w:rPr>
                <w:sz w:val="20"/>
                <w:szCs w:val="20"/>
                <w:lang w:val="en-GB"/>
              </w:rPr>
              <w:fldChar w:fldCharType="begin"/>
            </w:r>
            <w:r w:rsidR="00C14024">
              <w:rPr>
                <w:sz w:val="20"/>
                <w:szCs w:val="20"/>
                <w:lang w:val="en-GB"/>
              </w:rPr>
              <w:instrText xml:space="preserve"> ADDIN ZOTERO_ITEM CSL_CITATION {"citationID":"iHv72Xwe","properties":{"formattedCitation":"\\super 1\\nosupersub{}","plainCitation":"1","noteIndex":0},"citationItems":[{"id":132,"uris":["http://zotero.org/users/local/tKhEs3aL/items/S7QCGIME"],"uri":["http://zotero.org/users/local/tKhEs3aL/items/S7QCGIME"],"itemData":{"id":132,"type":"article-journal","container-title":"European Journal of Clinical Pharmacology","DOI":"10.1007/s00228-007-0288-2","ISSN":"0031-6970, 1432-1041","issue":"6","journalAbbreviation":"Eur J Clin Pharmacol","language":"en","page":"537-546","source":"DOI.org (Crossref)","title":"Comparisons of CYP1A2 genetic polymorphisms, enzyme activity and the genotype-phenotype relationship in Swedes and Koreans","volume":"63","author":[{"family":"Ghotbi","given":"Roza"},{"family":"Christensen","given":"Magnus"},{"family":"Roh","given":"Hyung-Keun"},{"family":"Ingelman-Sundberg","given":"Magnus"},{"family":"Aklillu","given":"Eleni"},{"family":"Bertilsson","given":"Leif"}],"issued":{"date-parts":[["2007",4,27]]}}}],"schema":"https://github.com/citation-style-language/schema/raw/master/csl-citation.json"} </w:instrText>
            </w:r>
            <w:r>
              <w:rPr>
                <w:sz w:val="20"/>
                <w:szCs w:val="20"/>
                <w:lang w:val="en-GB"/>
              </w:rPr>
              <w:fldChar w:fldCharType="separate"/>
            </w:r>
            <w:r w:rsidRPr="00622E02">
              <w:rPr>
                <w:rFonts w:ascii="Calibri" w:cs="Times New Roman"/>
                <w:sz w:val="20"/>
                <w:vertAlign w:val="superscript"/>
              </w:rPr>
              <w:t>1</w:t>
            </w:r>
            <w:r>
              <w:rPr>
                <w:sz w:val="20"/>
                <w:szCs w:val="20"/>
                <w:lang w:val="en-GB"/>
              </w:rPr>
              <w:fldChar w:fldCharType="end"/>
            </w:r>
          </w:p>
        </w:tc>
      </w:tr>
      <w:tr w:rsidR="00FA2079" w:rsidRPr="00D712DE" w14:paraId="358E52BB" w14:textId="77777777" w:rsidTr="002F194E">
        <w:tc>
          <w:tcPr>
            <w:tcW w:w="2269" w:type="dxa"/>
            <w:tcBorders>
              <w:top w:val="nil"/>
              <w:bottom w:val="nil"/>
              <w:right w:val="nil"/>
            </w:tcBorders>
          </w:tcPr>
          <w:p w14:paraId="7D16A833" w14:textId="77777777" w:rsidR="00FA2079" w:rsidRPr="00D712DE" w:rsidRDefault="00FA2079" w:rsidP="004C6016">
            <w:pPr>
              <w:rPr>
                <w:i/>
                <w:sz w:val="20"/>
                <w:szCs w:val="20"/>
                <w:lang w:val="en-GB"/>
              </w:rPr>
            </w:pPr>
          </w:p>
        </w:tc>
        <w:tc>
          <w:tcPr>
            <w:tcW w:w="3402" w:type="dxa"/>
            <w:tcBorders>
              <w:left w:val="nil"/>
              <w:bottom w:val="nil"/>
              <w:right w:val="nil"/>
            </w:tcBorders>
          </w:tcPr>
          <w:p w14:paraId="693FB412" w14:textId="22FE8166"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4BEC0702" w14:textId="55923B57" w:rsidR="00FA2079" w:rsidRDefault="00FA2079" w:rsidP="004C6016">
            <w:pPr>
              <w:tabs>
                <w:tab w:val="decimal" w:pos="1310"/>
              </w:tabs>
              <w:rPr>
                <w:sz w:val="20"/>
                <w:szCs w:val="20"/>
                <w:lang w:val="en-GB"/>
              </w:rPr>
            </w:pPr>
            <w:r>
              <w:rPr>
                <w:sz w:val="20"/>
                <w:szCs w:val="20"/>
                <w:lang w:val="en-GB"/>
              </w:rPr>
              <w:t>0</w:t>
            </w:r>
          </w:p>
        </w:tc>
        <w:tc>
          <w:tcPr>
            <w:tcW w:w="1417" w:type="dxa"/>
            <w:tcBorders>
              <w:left w:val="nil"/>
              <w:bottom w:val="nil"/>
              <w:right w:val="nil"/>
            </w:tcBorders>
          </w:tcPr>
          <w:p w14:paraId="38D5A3DB" w14:textId="65FB633A" w:rsidR="00FA2079" w:rsidRPr="00D712DE" w:rsidRDefault="00FA2079" w:rsidP="004C6016">
            <w:pPr>
              <w:tabs>
                <w:tab w:val="decimal" w:pos="1451"/>
              </w:tabs>
              <w:rPr>
                <w:sz w:val="20"/>
                <w:szCs w:val="20"/>
                <w:lang w:val="en-GB"/>
              </w:rPr>
            </w:pPr>
            <w:r w:rsidRPr="00D712DE">
              <w:rPr>
                <w:sz w:val="20"/>
                <w:szCs w:val="20"/>
                <w:lang w:val="en-GB"/>
              </w:rPr>
              <w:t>-</w:t>
            </w:r>
          </w:p>
        </w:tc>
        <w:tc>
          <w:tcPr>
            <w:tcW w:w="992" w:type="dxa"/>
            <w:tcBorders>
              <w:top w:val="single" w:sz="4" w:space="0" w:color="auto"/>
              <w:left w:val="nil"/>
              <w:bottom w:val="nil"/>
            </w:tcBorders>
          </w:tcPr>
          <w:p w14:paraId="76FBD103" w14:textId="518D9DB0" w:rsidR="00FA2079" w:rsidRPr="00D712DE" w:rsidRDefault="00FA2079" w:rsidP="002F194E">
            <w:pPr>
              <w:jc w:val="center"/>
              <w:rPr>
                <w:sz w:val="20"/>
                <w:szCs w:val="20"/>
                <w:lang w:val="en-GB"/>
              </w:rPr>
            </w:pPr>
          </w:p>
        </w:tc>
      </w:tr>
      <w:tr w:rsidR="00FA2079" w:rsidRPr="00D712DE" w14:paraId="5F0C4F25" w14:textId="77777777" w:rsidTr="002F194E">
        <w:tc>
          <w:tcPr>
            <w:tcW w:w="2269" w:type="dxa"/>
            <w:tcBorders>
              <w:top w:val="nil"/>
              <w:bottom w:val="nil"/>
              <w:right w:val="nil"/>
            </w:tcBorders>
          </w:tcPr>
          <w:p w14:paraId="5BFA67DE"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306F9421" w14:textId="26671C35"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43927FB8" w14:textId="5B3B1552"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663A857E" w14:textId="04ADCE4C" w:rsidR="00FA2079" w:rsidRPr="00D712DE" w:rsidRDefault="00FA2079" w:rsidP="004C6016">
            <w:pPr>
              <w:tabs>
                <w:tab w:val="decimal" w:pos="1451"/>
              </w:tabs>
              <w:rPr>
                <w:sz w:val="20"/>
                <w:szCs w:val="20"/>
                <w:lang w:val="en-GB"/>
              </w:rPr>
            </w:pPr>
            <w:r w:rsidRPr="00D712DE">
              <w:rPr>
                <w:sz w:val="20"/>
                <w:szCs w:val="20"/>
                <w:lang w:val="en-GB"/>
              </w:rPr>
              <w:t>-</w:t>
            </w:r>
          </w:p>
        </w:tc>
        <w:tc>
          <w:tcPr>
            <w:tcW w:w="992" w:type="dxa"/>
            <w:tcBorders>
              <w:top w:val="nil"/>
              <w:left w:val="nil"/>
              <w:bottom w:val="nil"/>
            </w:tcBorders>
          </w:tcPr>
          <w:p w14:paraId="6E200FD5" w14:textId="40E73DFB" w:rsidR="00FA2079" w:rsidRPr="00D712DE" w:rsidRDefault="00FA2079" w:rsidP="002F194E">
            <w:pPr>
              <w:jc w:val="center"/>
              <w:rPr>
                <w:sz w:val="20"/>
                <w:szCs w:val="20"/>
                <w:lang w:val="en-GB"/>
              </w:rPr>
            </w:pPr>
          </w:p>
        </w:tc>
      </w:tr>
      <w:tr w:rsidR="00FA2079" w:rsidRPr="00D712DE" w14:paraId="3848EA71" w14:textId="77777777" w:rsidTr="002F194E">
        <w:tc>
          <w:tcPr>
            <w:tcW w:w="2269" w:type="dxa"/>
            <w:tcBorders>
              <w:top w:val="nil"/>
              <w:bottom w:val="single" w:sz="4" w:space="0" w:color="auto"/>
              <w:right w:val="nil"/>
            </w:tcBorders>
          </w:tcPr>
          <w:p w14:paraId="1DFDF7F6"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331E647F" w14:textId="25EBAD81" w:rsidR="00FA2079" w:rsidRPr="00D712DE" w:rsidRDefault="00FA2079" w:rsidP="004C6016">
            <w:pPr>
              <w:rPr>
                <w:sz w:val="20"/>
                <w:szCs w:val="20"/>
                <w:lang w:val="en-GB"/>
              </w:rPr>
            </w:pPr>
            <w:r w:rsidRPr="00D712DE">
              <w:rPr>
                <w:sz w:val="20"/>
                <w:szCs w:val="20"/>
                <w:lang w:val="en-GB"/>
              </w:rPr>
              <w:t>N</w:t>
            </w:r>
            <w:r>
              <w:rPr>
                <w:sz w:val="20"/>
                <w:szCs w:val="20"/>
                <w:lang w:val="en-GB"/>
              </w:rPr>
              <w:t xml:space="preserve">ormal </w:t>
            </w:r>
            <w:r w:rsidRPr="00D712DE">
              <w:rPr>
                <w:sz w:val="20"/>
                <w:szCs w:val="20"/>
                <w:lang w:val="en-GB"/>
              </w:rPr>
              <w:t>M</w:t>
            </w:r>
            <w:r>
              <w:rPr>
                <w:sz w:val="20"/>
                <w:szCs w:val="20"/>
                <w:lang w:val="en-GB"/>
              </w:rPr>
              <w:t>etaboliser</w:t>
            </w:r>
          </w:p>
        </w:tc>
        <w:tc>
          <w:tcPr>
            <w:tcW w:w="1701" w:type="dxa"/>
            <w:tcBorders>
              <w:top w:val="nil"/>
              <w:left w:val="nil"/>
              <w:bottom w:val="single" w:sz="4" w:space="0" w:color="auto"/>
              <w:right w:val="nil"/>
            </w:tcBorders>
          </w:tcPr>
          <w:p w14:paraId="30022498" w14:textId="755744E6" w:rsidR="00FA2079" w:rsidRDefault="00FA2079" w:rsidP="004C6016">
            <w:pPr>
              <w:tabs>
                <w:tab w:val="decimal" w:pos="1310"/>
              </w:tabs>
              <w:rPr>
                <w:sz w:val="20"/>
                <w:szCs w:val="20"/>
                <w:lang w:val="en-GB"/>
              </w:rPr>
            </w:pPr>
            <w:r>
              <w:rPr>
                <w:sz w:val="20"/>
                <w:szCs w:val="20"/>
                <w:lang w:val="en-GB"/>
              </w:rPr>
              <w:t>100</w:t>
            </w:r>
          </w:p>
        </w:tc>
        <w:tc>
          <w:tcPr>
            <w:tcW w:w="1417" w:type="dxa"/>
            <w:tcBorders>
              <w:top w:val="nil"/>
              <w:left w:val="nil"/>
              <w:bottom w:val="single" w:sz="4" w:space="0" w:color="auto"/>
              <w:right w:val="nil"/>
            </w:tcBorders>
          </w:tcPr>
          <w:p w14:paraId="5D42A77F" w14:textId="2FFB23BE" w:rsidR="00FA2079" w:rsidRPr="00D712DE" w:rsidRDefault="00FA2079" w:rsidP="004C6016">
            <w:pPr>
              <w:tabs>
                <w:tab w:val="decimal" w:pos="1451"/>
              </w:tabs>
              <w:rPr>
                <w:sz w:val="20"/>
                <w:szCs w:val="20"/>
                <w:lang w:val="en-GB"/>
              </w:rPr>
            </w:pPr>
            <w:r w:rsidRPr="00D712DE">
              <w:rPr>
                <w:sz w:val="20"/>
                <w:szCs w:val="20"/>
                <w:lang w:val="en-GB"/>
              </w:rPr>
              <w:t>-</w:t>
            </w:r>
          </w:p>
        </w:tc>
        <w:tc>
          <w:tcPr>
            <w:tcW w:w="992" w:type="dxa"/>
            <w:tcBorders>
              <w:top w:val="nil"/>
              <w:left w:val="nil"/>
              <w:bottom w:val="single" w:sz="4" w:space="0" w:color="auto"/>
            </w:tcBorders>
          </w:tcPr>
          <w:p w14:paraId="61208987" w14:textId="0241A63F" w:rsidR="00FA2079" w:rsidRPr="00D712DE" w:rsidRDefault="00FA2079" w:rsidP="002F194E">
            <w:pPr>
              <w:jc w:val="center"/>
              <w:rPr>
                <w:sz w:val="20"/>
                <w:szCs w:val="20"/>
                <w:lang w:val="en-GB"/>
              </w:rPr>
            </w:pPr>
          </w:p>
        </w:tc>
      </w:tr>
      <w:tr w:rsidR="00FA2079" w:rsidRPr="00D712DE" w14:paraId="47BC58C0" w14:textId="77777777" w:rsidTr="002F194E">
        <w:tc>
          <w:tcPr>
            <w:tcW w:w="2269" w:type="dxa"/>
            <w:tcBorders>
              <w:bottom w:val="nil"/>
              <w:right w:val="nil"/>
            </w:tcBorders>
          </w:tcPr>
          <w:p w14:paraId="58845681" w14:textId="77777777" w:rsidR="00FA2079" w:rsidRPr="00194E48" w:rsidRDefault="00FA2079" w:rsidP="004C6016">
            <w:pPr>
              <w:rPr>
                <w:b/>
                <w:i/>
                <w:sz w:val="20"/>
                <w:szCs w:val="20"/>
                <w:lang w:val="en-GB"/>
              </w:rPr>
            </w:pPr>
            <w:r w:rsidRPr="00194E48">
              <w:rPr>
                <w:b/>
                <w:i/>
                <w:sz w:val="20"/>
                <w:szCs w:val="20"/>
                <w:lang w:val="en-GB"/>
              </w:rPr>
              <w:t>CYP2B6</w:t>
            </w:r>
          </w:p>
        </w:tc>
        <w:tc>
          <w:tcPr>
            <w:tcW w:w="3402" w:type="dxa"/>
            <w:tcBorders>
              <w:left w:val="nil"/>
              <w:bottom w:val="nil"/>
              <w:right w:val="nil"/>
            </w:tcBorders>
          </w:tcPr>
          <w:p w14:paraId="67F76535" w14:textId="77777777"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18F293FF" w14:textId="2E6BB7A5" w:rsidR="00FA2079" w:rsidRPr="00D712DE" w:rsidRDefault="00FA2079" w:rsidP="004C6016">
            <w:pPr>
              <w:tabs>
                <w:tab w:val="decimal" w:pos="1310"/>
              </w:tabs>
              <w:rPr>
                <w:sz w:val="20"/>
                <w:szCs w:val="20"/>
                <w:lang w:val="en-GB"/>
              </w:rPr>
            </w:pPr>
            <w:r>
              <w:rPr>
                <w:sz w:val="20"/>
                <w:szCs w:val="20"/>
                <w:lang w:val="en-GB"/>
              </w:rPr>
              <w:t>76.22</w:t>
            </w:r>
          </w:p>
        </w:tc>
        <w:tc>
          <w:tcPr>
            <w:tcW w:w="1417" w:type="dxa"/>
            <w:tcBorders>
              <w:left w:val="nil"/>
              <w:bottom w:val="nil"/>
              <w:right w:val="nil"/>
            </w:tcBorders>
          </w:tcPr>
          <w:p w14:paraId="2D246D23" w14:textId="4C6B88C7" w:rsidR="00FA2079" w:rsidRPr="00D712DE" w:rsidRDefault="00FA2079" w:rsidP="004C6016">
            <w:pPr>
              <w:tabs>
                <w:tab w:val="decimal" w:pos="1451"/>
              </w:tabs>
              <w:rPr>
                <w:sz w:val="20"/>
                <w:szCs w:val="20"/>
                <w:lang w:val="en-GB"/>
              </w:rPr>
            </w:pPr>
            <w:r w:rsidRPr="00D712DE">
              <w:rPr>
                <w:sz w:val="20"/>
                <w:szCs w:val="20"/>
                <w:lang w:val="en-GB"/>
              </w:rPr>
              <w:t>61</w:t>
            </w:r>
            <w:r>
              <w:rPr>
                <w:sz w:val="20"/>
                <w:szCs w:val="20"/>
                <w:lang w:val="en-GB"/>
              </w:rPr>
              <w:t>.</w:t>
            </w:r>
            <w:r w:rsidRPr="00D712DE">
              <w:rPr>
                <w:sz w:val="20"/>
                <w:szCs w:val="20"/>
                <w:lang w:val="en-GB"/>
              </w:rPr>
              <w:t>1</w:t>
            </w:r>
          </w:p>
        </w:tc>
        <w:tc>
          <w:tcPr>
            <w:tcW w:w="992" w:type="dxa"/>
            <w:tcBorders>
              <w:left w:val="nil"/>
              <w:bottom w:val="nil"/>
            </w:tcBorders>
          </w:tcPr>
          <w:p w14:paraId="697BA6D6" w14:textId="41D76F41" w:rsidR="00FA2079" w:rsidRPr="00D712DE" w:rsidRDefault="002021E2" w:rsidP="002F194E">
            <w:pPr>
              <w:jc w:val="center"/>
              <w:rPr>
                <w:sz w:val="20"/>
                <w:szCs w:val="20"/>
                <w:lang w:val="en-GB"/>
              </w:rPr>
            </w:pPr>
            <w:r w:rsidRPr="002021E2">
              <w:rPr>
                <w:sz w:val="20"/>
                <w:szCs w:val="20"/>
                <w:lang w:val="en-GB"/>
              </w:rPr>
              <w:fldChar w:fldCharType="begin"/>
            </w:r>
            <w:r w:rsidR="00622E02">
              <w:rPr>
                <w:sz w:val="20"/>
                <w:szCs w:val="20"/>
                <w:lang w:val="en-GB"/>
              </w:rPr>
              <w:instrText xml:space="preserve"> ADDIN ZOTERO_ITEM CSL_CITATION {"citationID":"0a795lSy","properties":{"formattedCitation":"\\super 5\\nosupersub{}","plainCitation":"5","noteIndex":0},"citationItems":[{"id":108,"uris":["http://zotero.org/users/local/tKhEs3aL/items/JHHSLLLY"],"uri":["http://zotero.org/users/local/tKhEs3aL/items/JHHSLLLY"],"itemData":{"id":108,"type":"article-journal","container-title":"Clinical Pharmacology &amp; Therapeutics","DOI":"10.1002/cpt.690","ISSN":"00099236","issue":"4","journalAbbreviation":"Clin. Pharmacol. Ther.","language":"en","page":"688-700","source":"DOI.org (Crossref)","title":"Worldwide Distribution of Cytochrome P450 Alleles: A Meta-analysis of Population-scale Sequencing Projects","title-short":"Worldwide Distribution of Cytochrome P450 Alleles","volume":"102","author":[{"family":"Zhou","given":"Y"},{"family":"Ingelman-Sundberg","given":"M"},{"family":"Lauschke","given":"Vm"}],"issued":{"date-parts":[["2017",10]]}}}],"schema":"https://github.com/citation-style-language/schema/raw/master/csl-citation.json"} </w:instrText>
            </w:r>
            <w:r w:rsidRPr="002021E2">
              <w:rPr>
                <w:sz w:val="20"/>
                <w:szCs w:val="20"/>
                <w:lang w:val="en-GB"/>
              </w:rPr>
              <w:fldChar w:fldCharType="separate"/>
            </w:r>
            <w:r w:rsidR="00622E02" w:rsidRPr="00622E02">
              <w:rPr>
                <w:rFonts w:ascii="Calibri" w:cs="Times New Roman"/>
                <w:sz w:val="20"/>
                <w:vertAlign w:val="superscript"/>
              </w:rPr>
              <w:t>5</w:t>
            </w:r>
            <w:r w:rsidRPr="002021E2">
              <w:rPr>
                <w:sz w:val="20"/>
                <w:szCs w:val="20"/>
                <w:lang w:val="en-GB"/>
              </w:rPr>
              <w:fldChar w:fldCharType="end"/>
            </w:r>
          </w:p>
        </w:tc>
      </w:tr>
      <w:tr w:rsidR="00FA2079" w:rsidRPr="00D712DE" w14:paraId="441EF80D" w14:textId="77777777" w:rsidTr="002F194E">
        <w:tc>
          <w:tcPr>
            <w:tcW w:w="2269" w:type="dxa"/>
            <w:tcBorders>
              <w:top w:val="nil"/>
              <w:bottom w:val="nil"/>
              <w:right w:val="nil"/>
            </w:tcBorders>
          </w:tcPr>
          <w:p w14:paraId="1FA5A501" w14:textId="4D9C335D"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single" w:sz="4" w:space="0" w:color="auto"/>
              <w:right w:val="nil"/>
            </w:tcBorders>
          </w:tcPr>
          <w:p w14:paraId="30B7D661" w14:textId="77777777" w:rsidR="00FA2079" w:rsidRPr="00D712DE" w:rsidRDefault="00FA2079" w:rsidP="004C6016">
            <w:pPr>
              <w:rPr>
                <w:sz w:val="20"/>
                <w:szCs w:val="20"/>
                <w:lang w:val="en-GB"/>
              </w:rPr>
            </w:pPr>
            <w:r w:rsidRPr="00D712DE">
              <w:rPr>
                <w:sz w:val="20"/>
                <w:szCs w:val="20"/>
                <w:lang w:val="en-GB"/>
              </w:rPr>
              <w:t>*6</w:t>
            </w:r>
          </w:p>
        </w:tc>
        <w:tc>
          <w:tcPr>
            <w:tcW w:w="1701" w:type="dxa"/>
            <w:tcBorders>
              <w:top w:val="nil"/>
              <w:left w:val="nil"/>
              <w:bottom w:val="single" w:sz="4" w:space="0" w:color="auto"/>
              <w:right w:val="nil"/>
            </w:tcBorders>
          </w:tcPr>
          <w:p w14:paraId="17A817DD" w14:textId="0DC3DB29" w:rsidR="00FA2079" w:rsidRPr="00D712DE" w:rsidRDefault="00FA2079" w:rsidP="004C6016">
            <w:pPr>
              <w:tabs>
                <w:tab w:val="decimal" w:pos="1310"/>
              </w:tabs>
              <w:rPr>
                <w:sz w:val="20"/>
                <w:szCs w:val="20"/>
                <w:lang w:val="en-GB"/>
              </w:rPr>
            </w:pPr>
            <w:r>
              <w:rPr>
                <w:sz w:val="20"/>
                <w:szCs w:val="20"/>
                <w:lang w:val="en-GB"/>
              </w:rPr>
              <w:t>23.78</w:t>
            </w:r>
          </w:p>
        </w:tc>
        <w:tc>
          <w:tcPr>
            <w:tcW w:w="1417" w:type="dxa"/>
            <w:tcBorders>
              <w:top w:val="nil"/>
              <w:left w:val="nil"/>
              <w:bottom w:val="single" w:sz="4" w:space="0" w:color="auto"/>
              <w:right w:val="nil"/>
            </w:tcBorders>
          </w:tcPr>
          <w:p w14:paraId="26A83DD9" w14:textId="2AC7EFD6" w:rsidR="00FA2079" w:rsidRPr="00D712DE" w:rsidRDefault="00FA2079" w:rsidP="004C6016">
            <w:pPr>
              <w:tabs>
                <w:tab w:val="decimal" w:pos="1451"/>
              </w:tabs>
              <w:rPr>
                <w:sz w:val="20"/>
                <w:szCs w:val="20"/>
                <w:lang w:val="en-GB"/>
              </w:rPr>
            </w:pPr>
            <w:r w:rsidRPr="00D712DE">
              <w:rPr>
                <w:sz w:val="20"/>
                <w:szCs w:val="20"/>
                <w:lang w:val="en-GB"/>
              </w:rPr>
              <w:t>3</w:t>
            </w:r>
            <w:r>
              <w:rPr>
                <w:sz w:val="20"/>
                <w:szCs w:val="20"/>
                <w:lang w:val="en-GB"/>
              </w:rPr>
              <w:t>.</w:t>
            </w:r>
            <w:r w:rsidRPr="00D712DE">
              <w:rPr>
                <w:sz w:val="20"/>
                <w:szCs w:val="20"/>
                <w:lang w:val="en-GB"/>
              </w:rPr>
              <w:t>4</w:t>
            </w:r>
          </w:p>
        </w:tc>
        <w:tc>
          <w:tcPr>
            <w:tcW w:w="992" w:type="dxa"/>
            <w:tcBorders>
              <w:top w:val="nil"/>
              <w:left w:val="nil"/>
              <w:bottom w:val="single" w:sz="4" w:space="0" w:color="auto"/>
            </w:tcBorders>
          </w:tcPr>
          <w:p w14:paraId="1F596907" w14:textId="5C3AFCCB" w:rsidR="00FA2079" w:rsidRPr="00D712DE" w:rsidRDefault="002021E2" w:rsidP="002F194E">
            <w:pPr>
              <w:jc w:val="center"/>
              <w:rPr>
                <w:sz w:val="20"/>
                <w:szCs w:val="20"/>
                <w:lang w:val="en-GB"/>
              </w:rPr>
            </w:pPr>
            <w:r w:rsidRPr="002021E2">
              <w:rPr>
                <w:sz w:val="20"/>
                <w:szCs w:val="20"/>
                <w:lang w:val="en-GB"/>
              </w:rPr>
              <w:fldChar w:fldCharType="begin"/>
            </w:r>
            <w:r w:rsidR="00622E02">
              <w:rPr>
                <w:sz w:val="20"/>
                <w:szCs w:val="20"/>
                <w:lang w:val="en-GB"/>
              </w:rPr>
              <w:instrText xml:space="preserve"> ADDIN ZOTERO_ITEM CSL_CITATION {"citationID":"Qr5ExPtB","properties":{"formattedCitation":"\\super 5\\nosupersub{}","plainCitation":"5","noteIndex":0},"citationItems":[{"id":108,"uris":["http://zotero.org/users/local/tKhEs3aL/items/JHHSLLLY"],"uri":["http://zotero.org/users/local/tKhEs3aL/items/JHHSLLLY"],"itemData":{"id":108,"type":"article-journal","container-title":"Clinical Pharmacology &amp; Therapeutics","DOI":"10.1002/cpt.690","ISSN":"00099236","issue":"4","journalAbbreviation":"Clin. Pharmacol. Ther.","language":"en","page":"688-700","source":"DOI.org (Crossref)","title":"Worldwide Distribution of Cytochrome P450 Alleles: A Meta-analysis of Population-scale Sequencing Projects","title-short":"Worldwide Distribution of Cytochrome P450 Alleles","volume":"102","author":[{"family":"Zhou","given":"Y"},{"family":"Ingelman-Sundberg","given":"M"},{"family":"Lauschke","given":"Vm"}],"issued":{"date-parts":[["2017",10]]}}}],"schema":"https://github.com/citation-style-language/schema/raw/master/csl-citation.json"} </w:instrText>
            </w:r>
            <w:r w:rsidRPr="002021E2">
              <w:rPr>
                <w:sz w:val="20"/>
                <w:szCs w:val="20"/>
                <w:lang w:val="en-GB"/>
              </w:rPr>
              <w:fldChar w:fldCharType="separate"/>
            </w:r>
            <w:r w:rsidR="00622E02" w:rsidRPr="00622E02">
              <w:rPr>
                <w:rFonts w:ascii="Calibri" w:cs="Times New Roman"/>
                <w:sz w:val="20"/>
                <w:vertAlign w:val="superscript"/>
              </w:rPr>
              <w:t>5</w:t>
            </w:r>
            <w:r w:rsidRPr="002021E2">
              <w:rPr>
                <w:sz w:val="20"/>
                <w:szCs w:val="20"/>
                <w:lang w:val="en-GB"/>
              </w:rPr>
              <w:fldChar w:fldCharType="end"/>
            </w:r>
          </w:p>
        </w:tc>
      </w:tr>
      <w:tr w:rsidR="00FA2079" w:rsidRPr="00D712DE" w14:paraId="528BC3A4" w14:textId="77777777" w:rsidTr="002F194E">
        <w:tc>
          <w:tcPr>
            <w:tcW w:w="2269" w:type="dxa"/>
            <w:tcBorders>
              <w:top w:val="nil"/>
              <w:bottom w:val="nil"/>
              <w:right w:val="nil"/>
            </w:tcBorders>
          </w:tcPr>
          <w:p w14:paraId="180BF76D" w14:textId="77777777" w:rsidR="00FA2079" w:rsidRDefault="00FA2079" w:rsidP="004C6016">
            <w:pPr>
              <w:rPr>
                <w:sz w:val="20"/>
                <w:szCs w:val="20"/>
                <w:lang w:val="en-GB"/>
              </w:rPr>
            </w:pPr>
          </w:p>
        </w:tc>
        <w:tc>
          <w:tcPr>
            <w:tcW w:w="3402" w:type="dxa"/>
            <w:tcBorders>
              <w:left w:val="nil"/>
              <w:bottom w:val="nil"/>
              <w:right w:val="nil"/>
            </w:tcBorders>
          </w:tcPr>
          <w:p w14:paraId="1E1FE100" w14:textId="163EAF3A"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48076CA7" w14:textId="7A7CF3FF" w:rsidR="00FA2079" w:rsidRDefault="00FA2079" w:rsidP="004C6016">
            <w:pPr>
              <w:tabs>
                <w:tab w:val="decimal" w:pos="1310"/>
              </w:tabs>
              <w:rPr>
                <w:sz w:val="20"/>
                <w:szCs w:val="20"/>
                <w:lang w:val="en-GB"/>
              </w:rPr>
            </w:pPr>
            <w:r>
              <w:rPr>
                <w:sz w:val="20"/>
                <w:szCs w:val="20"/>
                <w:lang w:val="en-GB"/>
              </w:rPr>
              <w:t>4.88</w:t>
            </w:r>
          </w:p>
        </w:tc>
        <w:tc>
          <w:tcPr>
            <w:tcW w:w="1417" w:type="dxa"/>
            <w:tcBorders>
              <w:left w:val="nil"/>
              <w:bottom w:val="nil"/>
              <w:right w:val="nil"/>
            </w:tcBorders>
          </w:tcPr>
          <w:p w14:paraId="5FE03096" w14:textId="3ED743FA" w:rsidR="00FA2079" w:rsidRPr="00D712DE" w:rsidRDefault="00C14024" w:rsidP="004C6016">
            <w:pPr>
              <w:tabs>
                <w:tab w:val="decimal" w:pos="1451"/>
              </w:tabs>
              <w:rPr>
                <w:sz w:val="20"/>
                <w:szCs w:val="20"/>
                <w:lang w:val="en-GB"/>
              </w:rPr>
            </w:pPr>
            <w:r>
              <w:rPr>
                <w:sz w:val="20"/>
                <w:szCs w:val="20"/>
                <w:lang w:val="en-GB"/>
              </w:rPr>
              <w:t>6–12</w:t>
            </w:r>
          </w:p>
        </w:tc>
        <w:tc>
          <w:tcPr>
            <w:tcW w:w="992" w:type="dxa"/>
            <w:tcBorders>
              <w:left w:val="nil"/>
              <w:bottom w:val="nil"/>
            </w:tcBorders>
          </w:tcPr>
          <w:p w14:paraId="36B4D63D" w14:textId="111F25C7" w:rsidR="00FA2079" w:rsidRPr="00D712DE" w:rsidRDefault="00C1402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{"citationID":"nB1ulxuQ","properties":{"formattedCitation":"\\super 6\\nosupersub{}","plainCitation":"6","noteIndex":0},"citationItems":[{"id":133,"uris":["http://zotero.org/users/local/tKhEs3aL/items/93A3TM4I"],"uri":["http://zotero.org/users/local/tKhEs3aL/items/93A3TM4I"],"itemData":{"id":133,"type":"article","language":"Dutch","title":"Algemene achtergrondtekst Farmacogenetica - CYP2B6","title-short":"Achtergrondtekst CYP2B6","author":[{"family":"Koninklijke Nederlandse Maatschappij ter bevordering der Pharmacie","given":""}],"accessed":{"date-parts":[["2020",9,11]]},"issued":{"date-parts":[["2017",12,21]]}}}],"schema":"https://github.com/citation-style-language/schema/raw/master/csl-citation.json"} </w:instrText>
            </w:r>
            <w:r>
              <w:rPr>
                <w:sz w:val="20"/>
                <w:szCs w:val="20"/>
                <w:lang w:val="en-GB"/>
              </w:rPr>
              <w:fldChar w:fldCharType="separate"/>
            </w:r>
            <w:r w:rsidRPr="00C14024">
              <w:rPr>
                <w:rFonts w:ascii="Calibri" w:cs="Times New Roman"/>
                <w:sz w:val="20"/>
                <w:vertAlign w:val="superscript"/>
              </w:rPr>
              <w:t>6</w:t>
            </w:r>
            <w:r>
              <w:rPr>
                <w:sz w:val="20"/>
                <w:szCs w:val="20"/>
                <w:lang w:val="en-GB"/>
              </w:rPr>
              <w:fldChar w:fldCharType="end"/>
            </w:r>
          </w:p>
        </w:tc>
      </w:tr>
      <w:tr w:rsidR="00FA2079" w:rsidRPr="00D712DE" w14:paraId="1D642950" w14:textId="77777777" w:rsidTr="002F194E">
        <w:tc>
          <w:tcPr>
            <w:tcW w:w="2269" w:type="dxa"/>
            <w:tcBorders>
              <w:top w:val="nil"/>
              <w:bottom w:val="nil"/>
              <w:right w:val="nil"/>
            </w:tcBorders>
          </w:tcPr>
          <w:p w14:paraId="4EA3F471" w14:textId="77777777" w:rsidR="00FA2079" w:rsidRDefault="00FA2079" w:rsidP="004C6016">
            <w:pPr>
              <w:rPr>
                <w:sz w:val="20"/>
                <w:szCs w:val="20"/>
                <w:lang w:val="en-GB"/>
              </w:rPr>
            </w:pPr>
          </w:p>
        </w:tc>
        <w:tc>
          <w:tcPr>
            <w:tcW w:w="3402" w:type="dxa"/>
            <w:tcBorders>
              <w:top w:val="nil"/>
              <w:left w:val="nil"/>
              <w:bottom w:val="nil"/>
              <w:right w:val="nil"/>
            </w:tcBorders>
          </w:tcPr>
          <w:p w14:paraId="02E583AC" w14:textId="6CD0970C"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39F91130" w14:textId="7669B13E" w:rsidR="00FA2079" w:rsidRDefault="00FA2079" w:rsidP="004C6016">
            <w:pPr>
              <w:tabs>
                <w:tab w:val="decimal" w:pos="1310"/>
              </w:tabs>
              <w:rPr>
                <w:sz w:val="20"/>
                <w:szCs w:val="20"/>
                <w:lang w:val="en-GB"/>
              </w:rPr>
            </w:pPr>
            <w:r>
              <w:rPr>
                <w:sz w:val="20"/>
                <w:szCs w:val="20"/>
                <w:lang w:val="en-GB"/>
              </w:rPr>
              <w:t>37.80</w:t>
            </w:r>
          </w:p>
        </w:tc>
        <w:tc>
          <w:tcPr>
            <w:tcW w:w="1417" w:type="dxa"/>
            <w:tcBorders>
              <w:top w:val="nil"/>
              <w:left w:val="nil"/>
              <w:bottom w:val="nil"/>
              <w:right w:val="nil"/>
            </w:tcBorders>
          </w:tcPr>
          <w:p w14:paraId="23151EA8" w14:textId="24A7B6F3" w:rsidR="00FA2079" w:rsidRPr="00D712DE" w:rsidRDefault="00C14024" w:rsidP="004C6016">
            <w:pPr>
              <w:tabs>
                <w:tab w:val="decimal" w:pos="1451"/>
              </w:tabs>
              <w:rPr>
                <w:sz w:val="20"/>
                <w:szCs w:val="20"/>
                <w:lang w:val="en-GB"/>
              </w:rPr>
            </w:pPr>
            <w:r>
              <w:rPr>
                <w:sz w:val="20"/>
                <w:szCs w:val="20"/>
                <w:lang w:val="en-GB"/>
              </w:rPr>
              <w:t>15–45</w:t>
            </w:r>
          </w:p>
        </w:tc>
        <w:tc>
          <w:tcPr>
            <w:tcW w:w="992" w:type="dxa"/>
            <w:tcBorders>
              <w:top w:val="nil"/>
              <w:left w:val="nil"/>
              <w:bottom w:val="nil"/>
            </w:tcBorders>
          </w:tcPr>
          <w:p w14:paraId="7C45D0B2" w14:textId="63B07833" w:rsidR="00FA2079" w:rsidRPr="00D712DE" w:rsidRDefault="00C1402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{"citationID":"gnlzZh1Q","properties":{"formattedCitation":"\\super 6\\nosupersub{}","plainCitation":"6","noteIndex":0},"citationItems":[{"id":133,"uris":["http://zotero.org/users/local/tKhEs3aL/items/93A3TM4I"],"uri":["http://zotero.org/users/local/tKhEs3aL/items/93A3TM4I"],"itemData":{"id":133,"type":"article","language":"Dutch","title":"Algemene achtergrondtekst Farmacogenetica - CYP2B6","title-short":"Achtergrondtekst CYP2B6","author":[{"family":"Koninklijke Nederlandse Maatschappij ter bevordering der Pharmacie","given":""}],"accessed":{"date-parts":[["2020",9,11]]},"issued":{"date-parts":[["2017",12,21]]}}}],"schema":"https://github.com/citation-style-language/schema/raw/master/csl-citation.json"} </w:instrText>
            </w:r>
            <w:r>
              <w:rPr>
                <w:sz w:val="20"/>
                <w:szCs w:val="20"/>
                <w:lang w:val="en-GB"/>
              </w:rPr>
              <w:fldChar w:fldCharType="separate"/>
            </w:r>
            <w:r w:rsidRPr="00C14024">
              <w:rPr>
                <w:rFonts w:ascii="Calibri" w:cs="Times New Roman"/>
                <w:sz w:val="20"/>
                <w:vertAlign w:val="superscript"/>
              </w:rPr>
              <w:t>6</w:t>
            </w:r>
            <w:r>
              <w:rPr>
                <w:sz w:val="20"/>
                <w:szCs w:val="20"/>
                <w:lang w:val="en-GB"/>
              </w:rPr>
              <w:fldChar w:fldCharType="end"/>
            </w:r>
          </w:p>
        </w:tc>
      </w:tr>
      <w:tr w:rsidR="00FA2079" w:rsidRPr="00D712DE" w14:paraId="7FC6CF00" w14:textId="77777777" w:rsidTr="002F194E">
        <w:tc>
          <w:tcPr>
            <w:tcW w:w="2269" w:type="dxa"/>
            <w:tcBorders>
              <w:top w:val="nil"/>
              <w:bottom w:val="single" w:sz="4" w:space="0" w:color="auto"/>
              <w:right w:val="nil"/>
            </w:tcBorders>
          </w:tcPr>
          <w:p w14:paraId="6E2BB6F0"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1E160A4E" w14:textId="395F98D2" w:rsidR="00FA2079" w:rsidRPr="00D712DE" w:rsidRDefault="00FA2079" w:rsidP="004C6016">
            <w:pPr>
              <w:rPr>
                <w:sz w:val="20"/>
                <w:szCs w:val="20"/>
                <w:lang w:val="en-GB"/>
              </w:rPr>
            </w:pPr>
            <w:r w:rsidRPr="00D712DE">
              <w:rPr>
                <w:sz w:val="20"/>
                <w:szCs w:val="20"/>
                <w:lang w:val="en-GB"/>
              </w:rPr>
              <w:t>N</w:t>
            </w:r>
            <w:r>
              <w:rPr>
                <w:sz w:val="20"/>
                <w:szCs w:val="20"/>
                <w:lang w:val="en-GB"/>
              </w:rPr>
              <w:t xml:space="preserve">ormal </w:t>
            </w:r>
            <w:r w:rsidRPr="00D712DE">
              <w:rPr>
                <w:sz w:val="20"/>
                <w:szCs w:val="20"/>
                <w:lang w:val="en-GB"/>
              </w:rPr>
              <w:t>M</w:t>
            </w:r>
            <w:r>
              <w:rPr>
                <w:sz w:val="20"/>
                <w:szCs w:val="20"/>
                <w:lang w:val="en-GB"/>
              </w:rPr>
              <w:t>etaboliser</w:t>
            </w:r>
          </w:p>
        </w:tc>
        <w:tc>
          <w:tcPr>
            <w:tcW w:w="1701" w:type="dxa"/>
            <w:tcBorders>
              <w:top w:val="nil"/>
              <w:left w:val="nil"/>
              <w:bottom w:val="single" w:sz="4" w:space="0" w:color="auto"/>
              <w:right w:val="nil"/>
            </w:tcBorders>
          </w:tcPr>
          <w:p w14:paraId="4E960237" w14:textId="62BEE295" w:rsidR="00FA2079" w:rsidRDefault="00FA2079" w:rsidP="004C6016">
            <w:pPr>
              <w:tabs>
                <w:tab w:val="decimal" w:pos="1310"/>
              </w:tabs>
              <w:rPr>
                <w:sz w:val="20"/>
                <w:szCs w:val="20"/>
                <w:lang w:val="en-GB"/>
              </w:rPr>
            </w:pPr>
            <w:r>
              <w:rPr>
                <w:sz w:val="20"/>
                <w:szCs w:val="20"/>
                <w:lang w:val="en-GB"/>
              </w:rPr>
              <w:t>57.32</w:t>
            </w:r>
          </w:p>
        </w:tc>
        <w:tc>
          <w:tcPr>
            <w:tcW w:w="1417" w:type="dxa"/>
            <w:tcBorders>
              <w:top w:val="nil"/>
              <w:left w:val="nil"/>
              <w:bottom w:val="single" w:sz="4" w:space="0" w:color="auto"/>
              <w:right w:val="nil"/>
            </w:tcBorders>
          </w:tcPr>
          <w:p w14:paraId="6BDFD471" w14:textId="30C35A3F" w:rsidR="00FA2079" w:rsidRPr="00D712DE" w:rsidRDefault="00622E02" w:rsidP="004C6016">
            <w:pPr>
              <w:tabs>
                <w:tab w:val="decimal" w:pos="1451"/>
              </w:tabs>
              <w:rPr>
                <w:sz w:val="20"/>
                <w:szCs w:val="20"/>
                <w:lang w:val="en-GB"/>
              </w:rPr>
            </w:pPr>
            <w:r>
              <w:rPr>
                <w:sz w:val="20"/>
                <w:szCs w:val="20"/>
                <w:lang w:val="en-GB"/>
              </w:rPr>
              <w:t>44–85</w:t>
            </w:r>
          </w:p>
        </w:tc>
        <w:tc>
          <w:tcPr>
            <w:tcW w:w="992" w:type="dxa"/>
            <w:tcBorders>
              <w:top w:val="nil"/>
              <w:left w:val="nil"/>
              <w:bottom w:val="single" w:sz="4" w:space="0" w:color="auto"/>
            </w:tcBorders>
          </w:tcPr>
          <w:p w14:paraId="04E5D270" w14:textId="79493E46" w:rsidR="00FA2079" w:rsidRPr="00D712DE" w:rsidRDefault="00C1402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{"citationID":"LaoTRkgZ","properties":{"formattedCitation":"\\super 6\\nosupersub{}","plainCitation":"6","noteIndex":0},"citationItems":[{"id":133,"uris":["http://zotero.org/users/local/tKhEs3aL/items/93A3TM4I"],"uri":["http://zotero.org/users/local/tKhEs3aL/items/93A3TM4I"],"itemData":{"id":133,"type":"article","language":"Dutch","title":"Algemene achtergrondtekst Farmacogenetica - CYP2B6","title-short":"Achtergrondtekst CYP2B6","author":[{"family":"Koninklijke Nederlandse Maatschappij ter bevordering der Pharmacie","given":""}],"accessed":{"date-parts":[["2020",9,11]]},"issued":{"date-parts":[["2017",12,21]]}}}],"schema":"https://github.com/citation-style-language/schema/raw/master/csl-citation.json"} </w:instrText>
            </w:r>
            <w:r>
              <w:rPr>
                <w:sz w:val="20"/>
                <w:szCs w:val="20"/>
                <w:lang w:val="en-GB"/>
              </w:rPr>
              <w:fldChar w:fldCharType="separate"/>
            </w:r>
            <w:r w:rsidRPr="00C14024">
              <w:rPr>
                <w:rFonts w:ascii="Calibri" w:cs="Times New Roman"/>
                <w:sz w:val="20"/>
                <w:vertAlign w:val="superscript"/>
              </w:rPr>
              <w:t>6</w:t>
            </w:r>
            <w:r>
              <w:rPr>
                <w:sz w:val="20"/>
                <w:szCs w:val="20"/>
                <w:lang w:val="en-GB"/>
              </w:rPr>
              <w:fldChar w:fldCharType="end"/>
            </w:r>
          </w:p>
        </w:tc>
      </w:tr>
      <w:tr w:rsidR="00045285" w:rsidRPr="00D712DE" w14:paraId="09D9E578" w14:textId="77777777" w:rsidTr="002F194E">
        <w:tc>
          <w:tcPr>
            <w:tcW w:w="2269" w:type="dxa"/>
            <w:tcBorders>
              <w:bottom w:val="nil"/>
              <w:right w:val="nil"/>
            </w:tcBorders>
          </w:tcPr>
          <w:p w14:paraId="731EE1A3" w14:textId="77777777" w:rsidR="00FA2079" w:rsidRPr="00194E48" w:rsidRDefault="00FA2079" w:rsidP="004C6016">
            <w:pPr>
              <w:rPr>
                <w:b/>
                <w:i/>
                <w:sz w:val="20"/>
                <w:szCs w:val="20"/>
                <w:lang w:val="en-GB"/>
              </w:rPr>
            </w:pPr>
            <w:r w:rsidRPr="00194E48">
              <w:rPr>
                <w:b/>
                <w:i/>
                <w:sz w:val="20"/>
                <w:szCs w:val="20"/>
                <w:lang w:val="en-GB"/>
              </w:rPr>
              <w:t>CYP2C9</w:t>
            </w:r>
          </w:p>
        </w:tc>
        <w:tc>
          <w:tcPr>
            <w:tcW w:w="3402" w:type="dxa"/>
            <w:tcBorders>
              <w:left w:val="nil"/>
              <w:bottom w:val="nil"/>
              <w:right w:val="nil"/>
            </w:tcBorders>
          </w:tcPr>
          <w:p w14:paraId="02C31F08" w14:textId="77777777"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128A3047" w14:textId="07B90D5D" w:rsidR="00FA2079" w:rsidRPr="00D712DE" w:rsidRDefault="00FA2079" w:rsidP="004C6016">
            <w:pPr>
              <w:tabs>
                <w:tab w:val="decimal" w:pos="1310"/>
              </w:tabs>
              <w:rPr>
                <w:sz w:val="20"/>
                <w:szCs w:val="20"/>
                <w:lang w:val="en-GB"/>
              </w:rPr>
            </w:pPr>
            <w:r>
              <w:rPr>
                <w:sz w:val="20"/>
                <w:szCs w:val="20"/>
                <w:lang w:val="en-GB"/>
              </w:rPr>
              <w:t>78.05</w:t>
            </w:r>
          </w:p>
        </w:tc>
        <w:tc>
          <w:tcPr>
            <w:tcW w:w="1417" w:type="dxa"/>
            <w:tcBorders>
              <w:left w:val="nil"/>
              <w:bottom w:val="nil"/>
              <w:right w:val="nil"/>
            </w:tcBorders>
          </w:tcPr>
          <w:p w14:paraId="5A6ADA60" w14:textId="25D8CD6D" w:rsidR="00FA2079" w:rsidRPr="00D712DE" w:rsidRDefault="00FA2079" w:rsidP="004C6016">
            <w:pPr>
              <w:tabs>
                <w:tab w:val="decimal" w:pos="1451"/>
              </w:tabs>
              <w:rPr>
                <w:sz w:val="20"/>
                <w:szCs w:val="20"/>
                <w:lang w:val="en-GB"/>
              </w:rPr>
            </w:pPr>
            <w:r w:rsidRPr="00D712DE">
              <w:rPr>
                <w:sz w:val="20"/>
                <w:szCs w:val="20"/>
                <w:lang w:val="en-GB"/>
              </w:rPr>
              <w:t>80</w:t>
            </w:r>
            <w:r>
              <w:rPr>
                <w:sz w:val="20"/>
                <w:szCs w:val="20"/>
                <w:lang w:val="en-GB"/>
              </w:rPr>
              <w:t>.</w:t>
            </w:r>
            <w:r w:rsidRPr="00D712DE">
              <w:rPr>
                <w:sz w:val="20"/>
                <w:szCs w:val="20"/>
                <w:lang w:val="en-GB"/>
              </w:rPr>
              <w:t>01</w:t>
            </w:r>
          </w:p>
        </w:tc>
        <w:tc>
          <w:tcPr>
            <w:tcW w:w="992" w:type="dxa"/>
            <w:tcBorders>
              <w:left w:val="nil"/>
              <w:bottom w:val="nil"/>
            </w:tcBorders>
          </w:tcPr>
          <w:p w14:paraId="504889C3" w14:textId="6C7B2B94" w:rsidR="00FA2079" w:rsidRPr="002021E2"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{"citationID":"AFlKyMUk","properties":{"formattedCitation":"\\super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FA2079" w:rsidRPr="00D712DE" w14:paraId="4DA6ABA9" w14:textId="77777777" w:rsidTr="002F194E">
        <w:tc>
          <w:tcPr>
            <w:tcW w:w="2269" w:type="dxa"/>
            <w:tcBorders>
              <w:top w:val="nil"/>
              <w:bottom w:val="nil"/>
              <w:right w:val="nil"/>
            </w:tcBorders>
          </w:tcPr>
          <w:p w14:paraId="0744E817" w14:textId="0874356E"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nil"/>
              <w:right w:val="nil"/>
            </w:tcBorders>
          </w:tcPr>
          <w:p w14:paraId="7988765F" w14:textId="77777777" w:rsidR="00FA2079" w:rsidRPr="00D712DE" w:rsidRDefault="00FA2079" w:rsidP="004C6016">
            <w:pPr>
              <w:rPr>
                <w:sz w:val="20"/>
                <w:szCs w:val="20"/>
                <w:lang w:val="en-GB"/>
              </w:rPr>
            </w:pPr>
            <w:r w:rsidRPr="00D712DE">
              <w:rPr>
                <w:sz w:val="20"/>
                <w:szCs w:val="20"/>
                <w:lang w:val="en-GB"/>
              </w:rPr>
              <w:t>*2</w:t>
            </w:r>
          </w:p>
        </w:tc>
        <w:tc>
          <w:tcPr>
            <w:tcW w:w="1701" w:type="dxa"/>
            <w:tcBorders>
              <w:top w:val="nil"/>
              <w:left w:val="nil"/>
              <w:bottom w:val="nil"/>
              <w:right w:val="nil"/>
            </w:tcBorders>
          </w:tcPr>
          <w:p w14:paraId="03320750" w14:textId="486498D3" w:rsidR="00FA2079" w:rsidRPr="00D712DE" w:rsidRDefault="00FA2079" w:rsidP="004C6016">
            <w:pPr>
              <w:tabs>
                <w:tab w:val="decimal" w:pos="1310"/>
              </w:tabs>
              <w:rPr>
                <w:sz w:val="20"/>
                <w:szCs w:val="20"/>
                <w:lang w:val="en-GB"/>
              </w:rPr>
            </w:pPr>
            <w:r>
              <w:rPr>
                <w:sz w:val="20"/>
                <w:szCs w:val="20"/>
                <w:lang w:val="en-GB"/>
              </w:rPr>
              <w:t>14.94</w:t>
            </w:r>
          </w:p>
        </w:tc>
        <w:tc>
          <w:tcPr>
            <w:tcW w:w="1417" w:type="dxa"/>
            <w:tcBorders>
              <w:top w:val="nil"/>
              <w:left w:val="nil"/>
              <w:bottom w:val="nil"/>
              <w:right w:val="nil"/>
            </w:tcBorders>
          </w:tcPr>
          <w:p w14:paraId="314F31A6" w14:textId="02CAE7CC" w:rsidR="00FA2079" w:rsidRPr="00D712DE" w:rsidRDefault="00FA2079" w:rsidP="004C6016">
            <w:pPr>
              <w:tabs>
                <w:tab w:val="decimal" w:pos="1451"/>
              </w:tabs>
              <w:rPr>
                <w:sz w:val="20"/>
                <w:szCs w:val="20"/>
                <w:lang w:val="en-GB"/>
              </w:rPr>
            </w:pPr>
            <w:r w:rsidRPr="00D712DE">
              <w:rPr>
                <w:sz w:val="20"/>
                <w:szCs w:val="20"/>
                <w:lang w:val="en-GB"/>
              </w:rPr>
              <w:t>12</w:t>
            </w:r>
            <w:r>
              <w:rPr>
                <w:sz w:val="20"/>
                <w:szCs w:val="20"/>
                <w:lang w:val="en-GB"/>
              </w:rPr>
              <w:t>.</w:t>
            </w:r>
            <w:r w:rsidRPr="00D712DE">
              <w:rPr>
                <w:sz w:val="20"/>
                <w:szCs w:val="20"/>
                <w:lang w:val="en-GB"/>
              </w:rPr>
              <w:t>60</w:t>
            </w:r>
          </w:p>
        </w:tc>
        <w:tc>
          <w:tcPr>
            <w:tcW w:w="992" w:type="dxa"/>
            <w:tcBorders>
              <w:top w:val="nil"/>
              <w:left w:val="nil"/>
              <w:bottom w:val="nil"/>
            </w:tcBorders>
          </w:tcPr>
          <w:p w14:paraId="46307FE1" w14:textId="39665F1C" w:rsidR="00FA2079" w:rsidRPr="00D712DE"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{"citationID":"L3QBIzqP","properties":{"formattedCitation":"\\super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FA2079" w:rsidRPr="00D712DE" w14:paraId="3E119852" w14:textId="77777777" w:rsidTr="002F194E">
        <w:tc>
          <w:tcPr>
            <w:tcW w:w="2269" w:type="dxa"/>
            <w:tcBorders>
              <w:top w:val="nil"/>
              <w:bottom w:val="nil"/>
              <w:right w:val="nil"/>
            </w:tcBorders>
          </w:tcPr>
          <w:p w14:paraId="0E1452D5" w14:textId="0F0168D6"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3CBA6017" w14:textId="77777777" w:rsidR="00FA2079" w:rsidRPr="00D712DE" w:rsidRDefault="00FA2079" w:rsidP="004C6016">
            <w:pPr>
              <w:rPr>
                <w:sz w:val="20"/>
                <w:szCs w:val="20"/>
                <w:lang w:val="en-GB"/>
              </w:rPr>
            </w:pPr>
            <w:r w:rsidRPr="00D712DE">
              <w:rPr>
                <w:sz w:val="20"/>
                <w:szCs w:val="20"/>
                <w:lang w:val="en-GB"/>
              </w:rPr>
              <w:t>*3</w:t>
            </w:r>
          </w:p>
        </w:tc>
        <w:tc>
          <w:tcPr>
            <w:tcW w:w="1701" w:type="dxa"/>
            <w:tcBorders>
              <w:top w:val="nil"/>
              <w:left w:val="nil"/>
              <w:bottom w:val="single" w:sz="4" w:space="0" w:color="auto"/>
              <w:right w:val="nil"/>
            </w:tcBorders>
          </w:tcPr>
          <w:p w14:paraId="55051A5C" w14:textId="1705A68D" w:rsidR="00FA2079" w:rsidRPr="00D712DE" w:rsidRDefault="00FA2079" w:rsidP="004C6016">
            <w:pPr>
              <w:tabs>
                <w:tab w:val="decimal" w:pos="1310"/>
              </w:tabs>
              <w:rPr>
                <w:sz w:val="20"/>
                <w:szCs w:val="20"/>
                <w:lang w:val="en-GB"/>
              </w:rPr>
            </w:pPr>
            <w:r>
              <w:rPr>
                <w:sz w:val="20"/>
                <w:szCs w:val="20"/>
                <w:lang w:val="en-GB"/>
              </w:rPr>
              <w:t>7.01</w:t>
            </w:r>
          </w:p>
        </w:tc>
        <w:tc>
          <w:tcPr>
            <w:tcW w:w="1417" w:type="dxa"/>
            <w:tcBorders>
              <w:top w:val="nil"/>
              <w:left w:val="nil"/>
              <w:bottom w:val="single" w:sz="4" w:space="0" w:color="auto"/>
              <w:right w:val="nil"/>
            </w:tcBorders>
          </w:tcPr>
          <w:p w14:paraId="3FD12A9E" w14:textId="3A13DD46" w:rsidR="00FA2079" w:rsidRPr="00D712DE" w:rsidRDefault="00FA2079" w:rsidP="004C6016">
            <w:pPr>
              <w:tabs>
                <w:tab w:val="decimal" w:pos="1451"/>
              </w:tabs>
              <w:rPr>
                <w:sz w:val="20"/>
                <w:szCs w:val="20"/>
                <w:lang w:val="en-GB"/>
              </w:rPr>
            </w:pPr>
            <w:r w:rsidRPr="00D712DE">
              <w:rPr>
                <w:sz w:val="20"/>
                <w:szCs w:val="20"/>
                <w:lang w:val="en-GB"/>
              </w:rPr>
              <w:t>7</w:t>
            </w:r>
            <w:r>
              <w:rPr>
                <w:sz w:val="20"/>
                <w:szCs w:val="20"/>
                <w:lang w:val="en-GB"/>
              </w:rPr>
              <w:t>.</w:t>
            </w:r>
            <w:r w:rsidRPr="00D712DE">
              <w:rPr>
                <w:sz w:val="20"/>
                <w:szCs w:val="20"/>
                <w:lang w:val="en-GB"/>
              </w:rPr>
              <w:t>08</w:t>
            </w:r>
          </w:p>
        </w:tc>
        <w:tc>
          <w:tcPr>
            <w:tcW w:w="992" w:type="dxa"/>
            <w:tcBorders>
              <w:top w:val="nil"/>
              <w:left w:val="nil"/>
              <w:bottom w:val="single" w:sz="4" w:space="0" w:color="auto"/>
            </w:tcBorders>
          </w:tcPr>
          <w:p w14:paraId="565CB827" w14:textId="151E331D" w:rsidR="00FA2079" w:rsidRPr="00D712DE"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{"citationID":"7Ohj48JX","properties":{"formattedCitation":"\\super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FA2079" w:rsidRPr="00D712DE" w14:paraId="66EEAED9" w14:textId="77777777" w:rsidTr="002F194E">
        <w:tc>
          <w:tcPr>
            <w:tcW w:w="2269" w:type="dxa"/>
            <w:tcBorders>
              <w:top w:val="nil"/>
              <w:bottom w:val="nil"/>
              <w:right w:val="nil"/>
            </w:tcBorders>
          </w:tcPr>
          <w:p w14:paraId="6149357E" w14:textId="77777777" w:rsidR="00FA2079" w:rsidRPr="00D712DE" w:rsidRDefault="00FA2079" w:rsidP="004C6016">
            <w:pPr>
              <w:rPr>
                <w:i/>
                <w:sz w:val="20"/>
                <w:szCs w:val="20"/>
                <w:lang w:val="en-GB"/>
              </w:rPr>
            </w:pPr>
          </w:p>
        </w:tc>
        <w:tc>
          <w:tcPr>
            <w:tcW w:w="3402" w:type="dxa"/>
            <w:tcBorders>
              <w:left w:val="nil"/>
              <w:bottom w:val="nil"/>
              <w:right w:val="nil"/>
            </w:tcBorders>
          </w:tcPr>
          <w:p w14:paraId="50961F88" w14:textId="13378290"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2A4473E8" w14:textId="4749AF11" w:rsidR="00FA2079" w:rsidRDefault="00FA2079" w:rsidP="004C6016">
            <w:pPr>
              <w:tabs>
                <w:tab w:val="decimal" w:pos="1310"/>
              </w:tabs>
              <w:rPr>
                <w:sz w:val="20"/>
                <w:szCs w:val="20"/>
                <w:lang w:val="en-GB"/>
              </w:rPr>
            </w:pPr>
            <w:r>
              <w:rPr>
                <w:sz w:val="20"/>
                <w:szCs w:val="20"/>
                <w:lang w:val="en-GB"/>
              </w:rPr>
              <w:t>3.05</w:t>
            </w:r>
          </w:p>
        </w:tc>
        <w:tc>
          <w:tcPr>
            <w:tcW w:w="1417" w:type="dxa"/>
            <w:tcBorders>
              <w:left w:val="nil"/>
              <w:bottom w:val="nil"/>
              <w:right w:val="nil"/>
            </w:tcBorders>
          </w:tcPr>
          <w:p w14:paraId="1F1F5A68" w14:textId="70CDFE55" w:rsidR="00FA2079" w:rsidRPr="00D712DE" w:rsidRDefault="00FA2079" w:rsidP="004C6016">
            <w:pPr>
              <w:tabs>
                <w:tab w:val="decimal" w:pos="1451"/>
              </w:tabs>
              <w:rPr>
                <w:sz w:val="20"/>
                <w:szCs w:val="20"/>
                <w:lang w:val="en-GB"/>
              </w:rPr>
            </w:pPr>
            <w:r w:rsidRPr="00D712DE">
              <w:rPr>
                <w:sz w:val="20"/>
                <w:szCs w:val="20"/>
                <w:lang w:val="en-GB"/>
              </w:rPr>
              <w:t>4.00</w:t>
            </w:r>
          </w:p>
        </w:tc>
        <w:tc>
          <w:tcPr>
            <w:tcW w:w="992" w:type="dxa"/>
            <w:tcBorders>
              <w:top w:val="single" w:sz="4" w:space="0" w:color="auto"/>
              <w:left w:val="nil"/>
              <w:bottom w:val="nil"/>
            </w:tcBorders>
          </w:tcPr>
          <w:p w14:paraId="10DC1A6E" w14:textId="172903D5" w:rsidR="00FA2079" w:rsidRPr="00D712DE"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{"citationID":"lGOqTuiD","properties":{"formattedCitation":"\\super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FA2079" w:rsidRPr="00D712DE" w14:paraId="5E14A817" w14:textId="77777777" w:rsidTr="002F194E">
        <w:tc>
          <w:tcPr>
            <w:tcW w:w="2269" w:type="dxa"/>
            <w:tcBorders>
              <w:top w:val="nil"/>
              <w:bottom w:val="nil"/>
              <w:right w:val="nil"/>
            </w:tcBorders>
          </w:tcPr>
          <w:p w14:paraId="0AD5AA39"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41F0110B" w14:textId="202D4C39"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31CA9FA6" w14:textId="4D3756F2" w:rsidR="00FA2079" w:rsidRDefault="00FA2079" w:rsidP="004C6016">
            <w:pPr>
              <w:tabs>
                <w:tab w:val="decimal" w:pos="1310"/>
              </w:tabs>
              <w:rPr>
                <w:sz w:val="20"/>
                <w:szCs w:val="20"/>
                <w:lang w:val="en-GB"/>
              </w:rPr>
            </w:pPr>
            <w:r>
              <w:rPr>
                <w:sz w:val="20"/>
                <w:szCs w:val="20"/>
                <w:lang w:val="en-GB"/>
              </w:rPr>
              <w:t>37.80</w:t>
            </w:r>
          </w:p>
        </w:tc>
        <w:tc>
          <w:tcPr>
            <w:tcW w:w="1417" w:type="dxa"/>
            <w:tcBorders>
              <w:top w:val="nil"/>
              <w:left w:val="nil"/>
              <w:bottom w:val="nil"/>
              <w:right w:val="nil"/>
            </w:tcBorders>
          </w:tcPr>
          <w:p w14:paraId="455B762D" w14:textId="5F0F5C0D" w:rsidR="00FA2079" w:rsidRPr="00D712DE" w:rsidRDefault="00FA2079" w:rsidP="004C6016">
            <w:pPr>
              <w:tabs>
                <w:tab w:val="decimal" w:pos="1451"/>
              </w:tabs>
              <w:rPr>
                <w:sz w:val="20"/>
                <w:szCs w:val="20"/>
                <w:lang w:val="en-GB"/>
              </w:rPr>
            </w:pPr>
            <w:r w:rsidRPr="00D712DE">
              <w:rPr>
                <w:sz w:val="20"/>
                <w:szCs w:val="20"/>
                <w:lang w:val="en-GB"/>
              </w:rPr>
              <w:t>31.99</w:t>
            </w:r>
          </w:p>
        </w:tc>
        <w:tc>
          <w:tcPr>
            <w:tcW w:w="992" w:type="dxa"/>
            <w:tcBorders>
              <w:top w:val="nil"/>
              <w:left w:val="nil"/>
              <w:bottom w:val="nil"/>
            </w:tcBorders>
          </w:tcPr>
          <w:p w14:paraId="60D17224" w14:textId="3F900DBA" w:rsidR="00FA2079" w:rsidRPr="00D712DE"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{"citationID":"GOCQsf0V","properties":{"formattedCitation":"\\super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FA2079" w:rsidRPr="00D712DE" w14:paraId="6E404CF9" w14:textId="77777777" w:rsidTr="002F194E">
        <w:tc>
          <w:tcPr>
            <w:tcW w:w="2269" w:type="dxa"/>
            <w:tcBorders>
              <w:top w:val="nil"/>
              <w:bottom w:val="single" w:sz="4" w:space="0" w:color="auto"/>
              <w:right w:val="nil"/>
            </w:tcBorders>
          </w:tcPr>
          <w:p w14:paraId="4C469523"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4AD436C8" w14:textId="06DC1300" w:rsidR="00FA2079" w:rsidRPr="00D712DE" w:rsidRDefault="00FA2079" w:rsidP="004C6016">
            <w:pPr>
              <w:rPr>
                <w:sz w:val="20"/>
                <w:szCs w:val="20"/>
                <w:lang w:val="en-GB"/>
              </w:rPr>
            </w:pPr>
            <w:r w:rsidRPr="00D712DE">
              <w:rPr>
                <w:sz w:val="20"/>
                <w:szCs w:val="20"/>
                <w:lang w:val="en-GB"/>
              </w:rPr>
              <w:t>N</w:t>
            </w:r>
            <w:r>
              <w:rPr>
                <w:sz w:val="20"/>
                <w:szCs w:val="20"/>
                <w:lang w:val="en-GB"/>
              </w:rPr>
              <w:t xml:space="preserve">ormal </w:t>
            </w:r>
            <w:r w:rsidRPr="00D712DE">
              <w:rPr>
                <w:sz w:val="20"/>
                <w:szCs w:val="20"/>
                <w:lang w:val="en-GB"/>
              </w:rPr>
              <w:t>M</w:t>
            </w:r>
            <w:r>
              <w:rPr>
                <w:sz w:val="20"/>
                <w:szCs w:val="20"/>
                <w:lang w:val="en-GB"/>
              </w:rPr>
              <w:t>etaboliser</w:t>
            </w:r>
          </w:p>
        </w:tc>
        <w:tc>
          <w:tcPr>
            <w:tcW w:w="1701" w:type="dxa"/>
            <w:tcBorders>
              <w:top w:val="nil"/>
              <w:left w:val="nil"/>
              <w:bottom w:val="single" w:sz="4" w:space="0" w:color="auto"/>
              <w:right w:val="nil"/>
            </w:tcBorders>
          </w:tcPr>
          <w:p w14:paraId="4A46730B" w14:textId="6A6D0F41" w:rsidR="00FA2079" w:rsidRDefault="00FA2079" w:rsidP="004C6016">
            <w:pPr>
              <w:tabs>
                <w:tab w:val="decimal" w:pos="1310"/>
              </w:tabs>
              <w:rPr>
                <w:sz w:val="20"/>
                <w:szCs w:val="20"/>
                <w:lang w:val="en-GB"/>
              </w:rPr>
            </w:pPr>
            <w:r>
              <w:rPr>
                <w:sz w:val="20"/>
                <w:szCs w:val="20"/>
                <w:lang w:val="en-GB"/>
              </w:rPr>
              <w:t>59.15</w:t>
            </w:r>
          </w:p>
        </w:tc>
        <w:tc>
          <w:tcPr>
            <w:tcW w:w="1417" w:type="dxa"/>
            <w:tcBorders>
              <w:top w:val="nil"/>
              <w:left w:val="nil"/>
              <w:bottom w:val="single" w:sz="4" w:space="0" w:color="auto"/>
              <w:right w:val="nil"/>
            </w:tcBorders>
          </w:tcPr>
          <w:p w14:paraId="0BB8456A" w14:textId="74EF1B9C" w:rsidR="00FA2079" w:rsidRPr="00D712DE" w:rsidRDefault="00FA2079" w:rsidP="004C6016">
            <w:pPr>
              <w:tabs>
                <w:tab w:val="decimal" w:pos="1451"/>
              </w:tabs>
              <w:rPr>
                <w:sz w:val="20"/>
                <w:szCs w:val="20"/>
                <w:lang w:val="en-GB"/>
              </w:rPr>
            </w:pPr>
            <w:r w:rsidRPr="00D712DE">
              <w:rPr>
                <w:sz w:val="20"/>
                <w:szCs w:val="20"/>
                <w:lang w:val="en-GB"/>
              </w:rPr>
              <w:t>64.01</w:t>
            </w:r>
          </w:p>
        </w:tc>
        <w:tc>
          <w:tcPr>
            <w:tcW w:w="992" w:type="dxa"/>
            <w:tcBorders>
              <w:top w:val="nil"/>
              <w:left w:val="nil"/>
              <w:bottom w:val="single" w:sz="4" w:space="0" w:color="auto"/>
            </w:tcBorders>
          </w:tcPr>
          <w:p w14:paraId="374BB3DF" w14:textId="2C37D461" w:rsidR="00FA2079" w:rsidRPr="00D712DE" w:rsidRDefault="002021E2" w:rsidP="002F194E">
            <w:pPr>
              <w:jc w:val="center"/>
              <w:rPr>
                <w:sz w:val="20"/>
                <w:szCs w:val="20"/>
                <w:lang w:val="en-GB"/>
              </w:rPr>
            </w:pPr>
            <w:r w:rsidRPr="002021E2">
              <w:rPr>
                <w:sz w:val="20"/>
                <w:szCs w:val="20"/>
                <w:lang w:val="en-GB"/>
              </w:rPr>
              <w:fldChar w:fldCharType="begin"/>
            </w:r>
            <w:r w:rsidR="00C14024">
              <w:rPr>
                <w:sz w:val="20"/>
                <w:szCs w:val="20"/>
                <w:lang w:val="en-GB"/>
              </w:rPr>
              <w:instrText xml:space="preserve"> ADDIN ZOTERO_ITEM CSL_CITATION {"citationID":"0ZenCl5K","properties":{"formattedCitation":"\\super 7\\nosupersub{}","plainCitation":"7","noteIndex":0},"citationItems":[{"id":110,"uris":["http://zotero.org/users/local/tKhEs3aL/items/WPPJFUG5"],"uri":["http://zotero.org/users/local/tKhEs3aL/items/WPPJFUG5"],"itemData":{"id":110,"type":"article-journal","container-title":"Clinical Pharmacology &amp; Therapeutics","DOI":"10.1038/clpt.2014.159","ISSN":"0009-9236, 1532-6535","issue":"5","journalAbbreviation":"Clin Pharmacol Ther","page":"542-548","source":"DOI.org (Crossref)","title":"Clinical Pharmacogenetics Implementation Consortium Guidelines for CYP2C9 and HLA-B Genotypes and Phenytoin Dosing","volume":"96","author":[{"family":"Caudle","given":"K E"},{"family":"Rettie","given":"A E"},{"family":"Whirl-Carrillo","given":"M"},{"family":"Smith","given":"L H"},{"family":"Mintzer","given":"S"},{"family":"Lee","given":"M T M"},{"family":"Klein","given":"T E"},{"family":"Callaghan","given":"J T"}],"issued":{"date-parts":[["2014",11]]}}}],"schema":"https://github.com/citation-style-language/schema/raw/master/csl-citation.json"} </w:instrText>
            </w:r>
            <w:r w:rsidRPr="002021E2">
              <w:rPr>
                <w:sz w:val="20"/>
                <w:szCs w:val="20"/>
                <w:lang w:val="en-GB"/>
              </w:rPr>
              <w:fldChar w:fldCharType="separate"/>
            </w:r>
            <w:r w:rsidR="00C14024" w:rsidRPr="00C14024">
              <w:rPr>
                <w:rFonts w:ascii="Calibri" w:cs="Times New Roman"/>
                <w:sz w:val="20"/>
                <w:vertAlign w:val="superscript"/>
              </w:rPr>
              <w:t>7</w:t>
            </w:r>
            <w:r w:rsidRPr="002021E2">
              <w:rPr>
                <w:sz w:val="20"/>
                <w:szCs w:val="20"/>
                <w:lang w:val="en-GB"/>
              </w:rPr>
              <w:fldChar w:fldCharType="end"/>
            </w:r>
          </w:p>
        </w:tc>
      </w:tr>
      <w:tr w:rsidR="00045285" w:rsidRPr="00D712DE" w14:paraId="1B307FF2" w14:textId="77777777" w:rsidTr="002F194E">
        <w:tc>
          <w:tcPr>
            <w:tcW w:w="2269" w:type="dxa"/>
            <w:tcBorders>
              <w:bottom w:val="nil"/>
              <w:right w:val="nil"/>
            </w:tcBorders>
          </w:tcPr>
          <w:p w14:paraId="440D47B2" w14:textId="77777777" w:rsidR="00FA2079" w:rsidRPr="00194E48" w:rsidRDefault="00FA2079" w:rsidP="004C6016">
            <w:pPr>
              <w:rPr>
                <w:b/>
                <w:i/>
                <w:sz w:val="20"/>
                <w:szCs w:val="20"/>
                <w:lang w:val="en-GB"/>
              </w:rPr>
            </w:pPr>
            <w:r w:rsidRPr="00194E48">
              <w:rPr>
                <w:b/>
                <w:i/>
                <w:sz w:val="20"/>
                <w:szCs w:val="20"/>
                <w:lang w:val="en-GB"/>
              </w:rPr>
              <w:t>CYP2C19</w:t>
            </w:r>
          </w:p>
        </w:tc>
        <w:tc>
          <w:tcPr>
            <w:tcW w:w="3402" w:type="dxa"/>
            <w:tcBorders>
              <w:left w:val="nil"/>
              <w:bottom w:val="nil"/>
              <w:right w:val="nil"/>
            </w:tcBorders>
          </w:tcPr>
          <w:p w14:paraId="4C84638F" w14:textId="77777777"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0DEC545F" w14:textId="18289933" w:rsidR="00FA2079" w:rsidRPr="00D712DE" w:rsidRDefault="00FA2079" w:rsidP="004C6016">
            <w:pPr>
              <w:tabs>
                <w:tab w:val="decimal" w:pos="1310"/>
              </w:tabs>
              <w:rPr>
                <w:sz w:val="20"/>
                <w:szCs w:val="20"/>
                <w:lang w:val="en-GB"/>
              </w:rPr>
            </w:pPr>
            <w:r>
              <w:rPr>
                <w:sz w:val="20"/>
                <w:szCs w:val="20"/>
                <w:lang w:val="en-GB"/>
              </w:rPr>
              <w:t>62.04</w:t>
            </w:r>
          </w:p>
        </w:tc>
        <w:tc>
          <w:tcPr>
            <w:tcW w:w="1417" w:type="dxa"/>
            <w:tcBorders>
              <w:left w:val="nil"/>
              <w:bottom w:val="nil"/>
              <w:right w:val="nil"/>
            </w:tcBorders>
          </w:tcPr>
          <w:p w14:paraId="3E6D77CF" w14:textId="10BEA2EC" w:rsidR="00FA2079" w:rsidRPr="00D712DE" w:rsidRDefault="00FA2079" w:rsidP="004C6016">
            <w:pPr>
              <w:tabs>
                <w:tab w:val="decimal" w:pos="1451"/>
              </w:tabs>
              <w:rPr>
                <w:sz w:val="20"/>
                <w:szCs w:val="20"/>
                <w:lang w:val="en-GB"/>
              </w:rPr>
            </w:pPr>
            <w:r w:rsidRPr="00D712DE">
              <w:rPr>
                <w:sz w:val="20"/>
                <w:szCs w:val="20"/>
                <w:lang w:val="en-GB"/>
              </w:rPr>
              <w:t>62</w:t>
            </w:r>
            <w:r>
              <w:rPr>
                <w:sz w:val="20"/>
                <w:szCs w:val="20"/>
                <w:lang w:val="en-GB"/>
              </w:rPr>
              <w:t>.</w:t>
            </w:r>
            <w:r w:rsidRPr="00D712DE">
              <w:rPr>
                <w:sz w:val="20"/>
                <w:szCs w:val="20"/>
                <w:lang w:val="en-GB"/>
              </w:rPr>
              <w:t>4</w:t>
            </w:r>
          </w:p>
        </w:tc>
        <w:tc>
          <w:tcPr>
            <w:tcW w:w="992" w:type="dxa"/>
            <w:tcBorders>
              <w:left w:val="nil"/>
              <w:bottom w:val="nil"/>
            </w:tcBorders>
          </w:tcPr>
          <w:p w14:paraId="089A1BFD" w14:textId="7553FE05" w:rsidR="00FA2079" w:rsidRPr="00395834"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{"citationID":"5a9DrDQU","properties":{"formattedCitation":"\\super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045285" w:rsidRPr="00D712DE" w14:paraId="5B34F63A" w14:textId="77777777" w:rsidTr="002F194E">
        <w:tc>
          <w:tcPr>
            <w:tcW w:w="2269" w:type="dxa"/>
            <w:tcBorders>
              <w:top w:val="nil"/>
              <w:bottom w:val="nil"/>
              <w:right w:val="nil"/>
            </w:tcBorders>
          </w:tcPr>
          <w:p w14:paraId="2EA921E2" w14:textId="787AB17E" w:rsidR="00FA2079" w:rsidRPr="00194E48" w:rsidRDefault="00FA2079" w:rsidP="004C6016">
            <w:pPr>
              <w:rPr>
                <w:sz w:val="20"/>
                <w:szCs w:val="20"/>
                <w:lang w:val="en-GB"/>
              </w:rPr>
            </w:pPr>
            <w:r>
              <w:rPr>
                <w:sz w:val="20"/>
                <w:szCs w:val="20"/>
                <w:lang w:val="en-GB"/>
              </w:rPr>
              <w:t>(n = 162)</w:t>
            </w:r>
          </w:p>
        </w:tc>
        <w:tc>
          <w:tcPr>
            <w:tcW w:w="3402" w:type="dxa"/>
            <w:tcBorders>
              <w:top w:val="nil"/>
              <w:left w:val="nil"/>
              <w:bottom w:val="nil"/>
              <w:right w:val="nil"/>
            </w:tcBorders>
          </w:tcPr>
          <w:p w14:paraId="2985B312" w14:textId="77777777" w:rsidR="00FA2079" w:rsidRPr="00D712DE" w:rsidRDefault="00FA2079" w:rsidP="004C6016">
            <w:pPr>
              <w:rPr>
                <w:sz w:val="20"/>
                <w:szCs w:val="20"/>
                <w:lang w:val="en-GB"/>
              </w:rPr>
            </w:pPr>
            <w:r w:rsidRPr="00D712DE">
              <w:rPr>
                <w:sz w:val="20"/>
                <w:szCs w:val="20"/>
                <w:lang w:val="en-GB"/>
              </w:rPr>
              <w:t>*2</w:t>
            </w:r>
          </w:p>
        </w:tc>
        <w:tc>
          <w:tcPr>
            <w:tcW w:w="1701" w:type="dxa"/>
            <w:tcBorders>
              <w:top w:val="nil"/>
              <w:left w:val="nil"/>
              <w:bottom w:val="nil"/>
              <w:right w:val="nil"/>
            </w:tcBorders>
          </w:tcPr>
          <w:p w14:paraId="09337676" w14:textId="0D649BE7" w:rsidR="00FA2079" w:rsidRPr="00D712DE" w:rsidRDefault="00FA2079" w:rsidP="004C6016">
            <w:pPr>
              <w:tabs>
                <w:tab w:val="decimal" w:pos="1310"/>
              </w:tabs>
              <w:rPr>
                <w:sz w:val="20"/>
                <w:szCs w:val="20"/>
                <w:lang w:val="en-GB"/>
              </w:rPr>
            </w:pPr>
            <w:r>
              <w:rPr>
                <w:sz w:val="20"/>
                <w:szCs w:val="20"/>
                <w:lang w:val="en-GB"/>
              </w:rPr>
              <w:t>17.59</w:t>
            </w:r>
          </w:p>
        </w:tc>
        <w:tc>
          <w:tcPr>
            <w:tcW w:w="1417" w:type="dxa"/>
            <w:tcBorders>
              <w:top w:val="nil"/>
              <w:left w:val="nil"/>
              <w:bottom w:val="nil"/>
              <w:right w:val="nil"/>
            </w:tcBorders>
          </w:tcPr>
          <w:p w14:paraId="165433D5" w14:textId="212638E6" w:rsidR="00FA2079" w:rsidRPr="00D712DE" w:rsidRDefault="00FA2079" w:rsidP="004C6016">
            <w:pPr>
              <w:tabs>
                <w:tab w:val="decimal" w:pos="1451"/>
              </w:tabs>
              <w:rPr>
                <w:sz w:val="20"/>
                <w:szCs w:val="20"/>
                <w:lang w:val="en-GB"/>
              </w:rPr>
            </w:pPr>
            <w:r w:rsidRPr="00D712DE">
              <w:rPr>
                <w:sz w:val="20"/>
                <w:szCs w:val="20"/>
                <w:lang w:val="en-GB"/>
              </w:rPr>
              <w:t>14</w:t>
            </w:r>
            <w:r>
              <w:rPr>
                <w:sz w:val="20"/>
                <w:szCs w:val="20"/>
                <w:lang w:val="en-GB"/>
              </w:rPr>
              <w:t>.</w:t>
            </w:r>
            <w:r w:rsidRPr="00D712DE">
              <w:rPr>
                <w:sz w:val="20"/>
                <w:szCs w:val="20"/>
                <w:lang w:val="en-GB"/>
              </w:rPr>
              <w:t>6</w:t>
            </w:r>
          </w:p>
        </w:tc>
        <w:tc>
          <w:tcPr>
            <w:tcW w:w="992" w:type="dxa"/>
            <w:tcBorders>
              <w:top w:val="nil"/>
              <w:left w:val="nil"/>
              <w:bottom w:val="nil"/>
            </w:tcBorders>
          </w:tcPr>
          <w:p w14:paraId="3755373D" w14:textId="460A4CF9"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{"citationID":"e2jxtf0D","properties":{"formattedCitation":"\\super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r w:rsidR="00164BA2" w:rsidRPr="00164BA2">
              <w:rPr>
                <w:sz w:val="20"/>
                <w:szCs w:val="20"/>
                <w:vertAlign w:val="superscript"/>
                <w:lang w:val="en-GB"/>
              </w:rPr>
              <w:t>,</w:t>
            </w:r>
            <w:r w:rsidR="00164BA2">
              <w:rPr>
                <w:sz w:val="20"/>
                <w:szCs w:val="20"/>
                <w:lang w:val="en-GB"/>
              </w:rPr>
              <w:fldChar w:fldCharType="begin"/>
            </w:r>
            <w:r w:rsidR="00164BA2">
              <w:rPr>
                <w:sz w:val="20"/>
                <w:szCs w:val="20"/>
                <w:lang w:val="en-GB"/>
              </w:rPr>
              <w:instrText xml:space="preserve"> ADDIN ZOTERO_ITEM CSL_CITATION {"citationID":"tt3ZkPpg","properties":{"formattedCitation":"\\super 9\\nosupersub{}","plainCitation":"9","noteIndex":0},"citationItems":[{"id":136,"uris":["http://zotero.org/users/local/tKhEs3aL/items/5K7XAAQ7"],"uri":["http://zotero.org/users/local/tKhEs3aL/items/5K7XAAQ7"],"itemData":{"id":136,"type":"article-journal","container-title":"Clinical and Translational Science","DOI":"10.1111/cts.12830","ISSN":"1752-8054, 1752-8062","journalAbbreviation":"Clin Transl Sci","language":"en","page":"cts.12830","source":"DOI.org (Crossref)","title":"CYP2C19 Allele Frequencies in Over 2.2 Million Direct‐to‐Consumer Genetics Research Participants and the Potential Implication for Prescriptions in a Large Health System","author":[{"family":"Ionova","given":"Yelena"},{"family":"Ashenhurst","given":"James"},{"family":"Zhan","given":"Jianan"},{"family":"Nhan","given":"Hoang"},{"family":"Kosinski","given":"Cindy"},{"family":"Tamraz","given":"Bani"},{"family":"Chubb","given":"Alison"}],"issued":{"date-parts":[["2020",7,21]]}}}],"schema":"https://github.com/citation-style-language/schema/raw/master/csl-citation.json"} </w:instrText>
            </w:r>
            <w:r w:rsidR="00164BA2">
              <w:rPr>
                <w:sz w:val="20"/>
                <w:szCs w:val="20"/>
                <w:lang w:val="en-GB"/>
              </w:rPr>
              <w:fldChar w:fldCharType="separate"/>
            </w:r>
            <w:r w:rsidR="00164BA2" w:rsidRPr="00164BA2">
              <w:rPr>
                <w:rFonts w:ascii="Calibri" w:cs="Times New Roman"/>
                <w:sz w:val="20"/>
                <w:vertAlign w:val="superscript"/>
              </w:rPr>
              <w:t>9</w:t>
            </w:r>
            <w:r w:rsidR="00164BA2">
              <w:rPr>
                <w:sz w:val="20"/>
                <w:szCs w:val="20"/>
                <w:lang w:val="en-GB"/>
              </w:rPr>
              <w:fldChar w:fldCharType="end"/>
            </w:r>
          </w:p>
        </w:tc>
      </w:tr>
      <w:tr w:rsidR="00045285" w:rsidRPr="00D712DE" w14:paraId="058E9490" w14:textId="77777777" w:rsidTr="002F194E">
        <w:tc>
          <w:tcPr>
            <w:tcW w:w="2269" w:type="dxa"/>
            <w:tcBorders>
              <w:top w:val="nil"/>
              <w:bottom w:val="nil"/>
              <w:right w:val="nil"/>
            </w:tcBorders>
          </w:tcPr>
          <w:p w14:paraId="0A004A5A" w14:textId="7A33C748" w:rsidR="00FA2079" w:rsidRPr="00D712DE" w:rsidRDefault="00FA2079" w:rsidP="004C6016">
            <w:pPr>
              <w:rPr>
                <w:i/>
                <w:sz w:val="20"/>
                <w:szCs w:val="20"/>
                <w:lang w:val="en-GB"/>
              </w:rPr>
            </w:pPr>
          </w:p>
        </w:tc>
        <w:tc>
          <w:tcPr>
            <w:tcW w:w="3402" w:type="dxa"/>
            <w:tcBorders>
              <w:top w:val="nil"/>
              <w:left w:val="nil"/>
              <w:bottom w:val="nil"/>
              <w:right w:val="nil"/>
            </w:tcBorders>
          </w:tcPr>
          <w:p w14:paraId="483125A7" w14:textId="1E30D47C" w:rsidR="00FA2079" w:rsidRPr="00D712DE" w:rsidRDefault="00FA2079" w:rsidP="004C6016">
            <w:pPr>
              <w:rPr>
                <w:sz w:val="20"/>
                <w:szCs w:val="20"/>
                <w:lang w:val="en-GB"/>
              </w:rPr>
            </w:pPr>
            <w:r w:rsidRPr="00D712DE">
              <w:rPr>
                <w:sz w:val="20"/>
                <w:szCs w:val="20"/>
                <w:lang w:val="en-GB"/>
              </w:rPr>
              <w:t>*3</w:t>
            </w:r>
          </w:p>
        </w:tc>
        <w:tc>
          <w:tcPr>
            <w:tcW w:w="1701" w:type="dxa"/>
            <w:tcBorders>
              <w:top w:val="nil"/>
              <w:left w:val="nil"/>
              <w:bottom w:val="nil"/>
              <w:right w:val="nil"/>
            </w:tcBorders>
          </w:tcPr>
          <w:p w14:paraId="207E5209" w14:textId="70D05396" w:rsidR="00FA2079" w:rsidRPr="00D712DE" w:rsidRDefault="00FA2079" w:rsidP="004C6016">
            <w:pPr>
              <w:tabs>
                <w:tab w:val="decimal" w:pos="1310"/>
              </w:tabs>
              <w:rPr>
                <w:sz w:val="20"/>
                <w:szCs w:val="20"/>
                <w:lang w:val="en-GB"/>
              </w:rPr>
            </w:pPr>
            <w:r>
              <w:rPr>
                <w:sz w:val="20"/>
                <w:szCs w:val="20"/>
                <w:lang w:val="en-GB"/>
              </w:rPr>
              <w:t>0.31</w:t>
            </w:r>
          </w:p>
        </w:tc>
        <w:tc>
          <w:tcPr>
            <w:tcW w:w="1417" w:type="dxa"/>
            <w:tcBorders>
              <w:top w:val="nil"/>
              <w:left w:val="nil"/>
              <w:bottom w:val="nil"/>
              <w:right w:val="nil"/>
            </w:tcBorders>
          </w:tcPr>
          <w:p w14:paraId="291DD8FF" w14:textId="5261A473" w:rsidR="00FA2079" w:rsidRPr="00D712DE" w:rsidRDefault="00C14024" w:rsidP="004C6016">
            <w:pPr>
              <w:tabs>
                <w:tab w:val="decimal" w:pos="1451"/>
              </w:tabs>
              <w:rPr>
                <w:sz w:val="20"/>
                <w:szCs w:val="20"/>
                <w:lang w:val="en-GB"/>
              </w:rPr>
            </w:pPr>
            <w:r>
              <w:rPr>
                <w:sz w:val="20"/>
                <w:szCs w:val="20"/>
                <w:lang w:val="en-GB"/>
              </w:rPr>
              <w:t>0.</w:t>
            </w:r>
            <w:r w:rsidR="00164BA2">
              <w:rPr>
                <w:sz w:val="20"/>
                <w:szCs w:val="20"/>
                <w:lang w:val="en-GB"/>
              </w:rPr>
              <w:t>0</w:t>
            </w:r>
            <w:r>
              <w:rPr>
                <w:sz w:val="20"/>
                <w:szCs w:val="20"/>
                <w:lang w:val="en-GB"/>
              </w:rPr>
              <w:t>2</w:t>
            </w:r>
          </w:p>
        </w:tc>
        <w:tc>
          <w:tcPr>
            <w:tcW w:w="992" w:type="dxa"/>
            <w:tcBorders>
              <w:top w:val="nil"/>
              <w:left w:val="nil"/>
              <w:bottom w:val="nil"/>
            </w:tcBorders>
          </w:tcPr>
          <w:p w14:paraId="791A6B2D" w14:textId="7F2159F3" w:rsidR="00FA2079" w:rsidRPr="00D712DE" w:rsidRDefault="00164BA2" w:rsidP="002F194E">
            <w:pPr>
              <w:jc w:val="center"/>
              <w:rPr>
                <w:sz w:val="20"/>
                <w:szCs w:val="20"/>
                <w:lang w:val="en-GB"/>
              </w:rPr>
            </w:pPr>
            <w:r>
              <w:rPr>
                <w:sz w:val="20"/>
                <w:szCs w:val="20"/>
                <w:lang w:val="en-GB"/>
              </w:rPr>
              <w:fldChar w:fldCharType="begin"/>
            </w:r>
            <w:r w:rsidR="00822226">
              <w:rPr>
                <w:sz w:val="20"/>
                <w:szCs w:val="20"/>
                <w:lang w:val="en-GB"/>
              </w:rPr>
              <w:instrText xml:space="preserve"> ADDIN ZOTERO_ITEM CSL_CITATION {"citationID":"qE05VBri","properties":{"formattedCitation":"\\super 9\\nosupersub{}","plainCitation":"9","noteIndex":0},"citationItems":[{"id":136,"uris":["http://zotero.org/users/local/tKhEs3aL/items/5K7XAAQ7"],"uri":["http://zotero.org/users/local/tKhEs3aL/items/5K7XAAQ7"],"itemData":{"id":136,"type":"article-journal","container-title":"Clinical and Translational Science","DOI":"10.1111/cts.12830","ISSN":"1752-8054, 1752-8062","journalAbbreviation":"Clin Transl Sci","language":"en","page":"cts.12830","source":"DOI.org (Crossref)","title":"CYP2C19 Allele Frequencies in Over 2.2 Million Direct‐to‐Consumer Genetics Research Participants and the Potential Implication for Prescriptions in a Large Health System","author":[{"family":"Ionova","given":"Yelena"},{"family":"Ashenhurst","given":"James"},{"family":"Zhan","given":"Jianan"},{"family":"Nhan","given":"Hoang"},{"family":"Kosinski","given":"Cindy"},{"family":"Tamraz","given":"Bani"},{"family":"Chubb","given":"Alison"}],"issued":{"date-parts":[["2020",7,21]]}}}],"schema":"https://github.com/citation-style-language/schema/raw/master/csl-citation.json"} </w:instrText>
            </w:r>
            <w:r>
              <w:rPr>
                <w:sz w:val="20"/>
                <w:szCs w:val="20"/>
                <w:lang w:val="en-GB"/>
              </w:rPr>
              <w:fldChar w:fldCharType="separate"/>
            </w:r>
            <w:r w:rsidRPr="00164BA2">
              <w:rPr>
                <w:rFonts w:ascii="Calibri" w:cs="Times New Roman"/>
                <w:sz w:val="20"/>
                <w:vertAlign w:val="superscript"/>
              </w:rPr>
              <w:t>9</w:t>
            </w:r>
            <w:r>
              <w:rPr>
                <w:sz w:val="20"/>
                <w:szCs w:val="20"/>
                <w:lang w:val="en-GB"/>
              </w:rPr>
              <w:fldChar w:fldCharType="end"/>
            </w:r>
          </w:p>
        </w:tc>
      </w:tr>
      <w:tr w:rsidR="00045285" w:rsidRPr="00D712DE" w14:paraId="314F9388" w14:textId="77777777" w:rsidTr="002F194E">
        <w:tc>
          <w:tcPr>
            <w:tcW w:w="2269" w:type="dxa"/>
            <w:tcBorders>
              <w:top w:val="nil"/>
              <w:bottom w:val="nil"/>
              <w:right w:val="nil"/>
            </w:tcBorders>
          </w:tcPr>
          <w:p w14:paraId="19D6EB76" w14:textId="09220A2C" w:rsidR="00FA2079" w:rsidRPr="00D712DE" w:rsidRDefault="00FA2079" w:rsidP="004C6016">
            <w:pPr>
              <w:rPr>
                <w:i/>
                <w:sz w:val="20"/>
                <w:szCs w:val="20"/>
                <w:lang w:val="en-GB"/>
              </w:rPr>
            </w:pPr>
          </w:p>
        </w:tc>
        <w:tc>
          <w:tcPr>
            <w:tcW w:w="3402" w:type="dxa"/>
            <w:tcBorders>
              <w:top w:val="nil"/>
              <w:left w:val="nil"/>
              <w:bottom w:val="nil"/>
              <w:right w:val="nil"/>
            </w:tcBorders>
          </w:tcPr>
          <w:p w14:paraId="6513BFEB" w14:textId="10CC0023" w:rsidR="00FA2079" w:rsidRPr="00D712DE" w:rsidRDefault="00FA2079" w:rsidP="004C6016">
            <w:pPr>
              <w:rPr>
                <w:sz w:val="20"/>
                <w:szCs w:val="20"/>
                <w:lang w:val="en-GB"/>
              </w:rPr>
            </w:pPr>
            <w:r w:rsidRPr="00D712DE">
              <w:rPr>
                <w:sz w:val="20"/>
                <w:szCs w:val="20"/>
                <w:lang w:val="en-GB"/>
              </w:rPr>
              <w:t>*4A</w:t>
            </w:r>
          </w:p>
        </w:tc>
        <w:tc>
          <w:tcPr>
            <w:tcW w:w="1701" w:type="dxa"/>
            <w:tcBorders>
              <w:top w:val="nil"/>
              <w:left w:val="nil"/>
              <w:bottom w:val="nil"/>
              <w:right w:val="nil"/>
            </w:tcBorders>
          </w:tcPr>
          <w:p w14:paraId="41B68119" w14:textId="053926DE" w:rsidR="00FA2079" w:rsidRPr="00D712DE" w:rsidRDefault="00FA2079" w:rsidP="004C6016">
            <w:pPr>
              <w:tabs>
                <w:tab w:val="decimal" w:pos="1310"/>
              </w:tabs>
              <w:rPr>
                <w:sz w:val="20"/>
                <w:szCs w:val="20"/>
                <w:lang w:val="en-GB"/>
              </w:rPr>
            </w:pPr>
            <w:r>
              <w:rPr>
                <w:sz w:val="20"/>
                <w:szCs w:val="20"/>
                <w:lang w:val="en-GB"/>
              </w:rPr>
              <w:t>0.31</w:t>
            </w:r>
          </w:p>
        </w:tc>
        <w:tc>
          <w:tcPr>
            <w:tcW w:w="1417" w:type="dxa"/>
            <w:tcBorders>
              <w:top w:val="nil"/>
              <w:left w:val="nil"/>
              <w:bottom w:val="nil"/>
              <w:right w:val="nil"/>
            </w:tcBorders>
          </w:tcPr>
          <w:p w14:paraId="1183770C" w14:textId="26382C7E" w:rsidR="00FA2079" w:rsidRPr="00D712DE" w:rsidRDefault="00FA2079" w:rsidP="004C6016">
            <w:pPr>
              <w:tabs>
                <w:tab w:val="decimal" w:pos="1451"/>
              </w:tabs>
              <w:rPr>
                <w:sz w:val="20"/>
                <w:szCs w:val="20"/>
                <w:lang w:val="en-GB"/>
              </w:rPr>
            </w:pPr>
            <w:r>
              <w:rPr>
                <w:sz w:val="20"/>
                <w:szCs w:val="20"/>
                <w:lang w:val="en-GB"/>
              </w:rPr>
              <w:t xml:space="preserve"> (*4) </w:t>
            </w:r>
            <w:r w:rsidRPr="00D712DE">
              <w:rPr>
                <w:sz w:val="20"/>
                <w:szCs w:val="20"/>
                <w:lang w:val="en-GB"/>
              </w:rPr>
              <w:t>0</w:t>
            </w:r>
            <w:r>
              <w:rPr>
                <w:sz w:val="20"/>
                <w:szCs w:val="20"/>
                <w:lang w:val="en-GB"/>
              </w:rPr>
              <w:t>.</w:t>
            </w:r>
            <w:r w:rsidRPr="00D712DE">
              <w:rPr>
                <w:sz w:val="20"/>
                <w:szCs w:val="20"/>
                <w:lang w:val="en-GB"/>
              </w:rPr>
              <w:t>28</w:t>
            </w:r>
          </w:p>
        </w:tc>
        <w:tc>
          <w:tcPr>
            <w:tcW w:w="992" w:type="dxa"/>
            <w:tcBorders>
              <w:top w:val="nil"/>
              <w:left w:val="nil"/>
              <w:bottom w:val="nil"/>
            </w:tcBorders>
          </w:tcPr>
          <w:p w14:paraId="7B7ACE77" w14:textId="03F976C1"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{"citationID":"3LqXHxkM","properties":{"formattedCitation":"\\super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045285" w:rsidRPr="00D712DE" w14:paraId="6F76D2BC" w14:textId="77777777" w:rsidTr="002F194E">
        <w:tc>
          <w:tcPr>
            <w:tcW w:w="2269" w:type="dxa"/>
            <w:tcBorders>
              <w:top w:val="nil"/>
              <w:bottom w:val="nil"/>
              <w:right w:val="nil"/>
            </w:tcBorders>
          </w:tcPr>
          <w:p w14:paraId="538B75DE"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28359E11" w14:textId="63E6DFFD" w:rsidR="00FA2079" w:rsidRPr="00D712DE" w:rsidRDefault="00FA2079" w:rsidP="004C6016">
            <w:pPr>
              <w:rPr>
                <w:sz w:val="20"/>
                <w:szCs w:val="20"/>
                <w:lang w:val="en-GB"/>
              </w:rPr>
            </w:pPr>
            <w:r>
              <w:rPr>
                <w:sz w:val="20"/>
                <w:szCs w:val="20"/>
                <w:lang w:val="en-GB"/>
              </w:rPr>
              <w:t>*4B</w:t>
            </w:r>
          </w:p>
        </w:tc>
        <w:tc>
          <w:tcPr>
            <w:tcW w:w="1701" w:type="dxa"/>
            <w:tcBorders>
              <w:top w:val="nil"/>
              <w:left w:val="nil"/>
              <w:bottom w:val="nil"/>
              <w:right w:val="nil"/>
            </w:tcBorders>
          </w:tcPr>
          <w:p w14:paraId="2BFDB28A" w14:textId="2B2BE5C6"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3EB73319" w14:textId="5DADBB1F" w:rsidR="00FA2079" w:rsidRPr="00D712DE" w:rsidRDefault="00FA2079" w:rsidP="004C6016">
            <w:pPr>
              <w:tabs>
                <w:tab w:val="decimal" w:pos="1451"/>
              </w:tabs>
              <w:rPr>
                <w:sz w:val="20"/>
                <w:szCs w:val="20"/>
                <w:lang w:val="en-GB"/>
              </w:rPr>
            </w:pPr>
            <w:r>
              <w:rPr>
                <w:sz w:val="20"/>
                <w:szCs w:val="20"/>
                <w:lang w:val="en-GB"/>
              </w:rPr>
              <w:t>(*4) 0.28</w:t>
            </w:r>
          </w:p>
        </w:tc>
        <w:tc>
          <w:tcPr>
            <w:tcW w:w="992" w:type="dxa"/>
            <w:tcBorders>
              <w:top w:val="nil"/>
              <w:left w:val="nil"/>
              <w:bottom w:val="nil"/>
            </w:tcBorders>
          </w:tcPr>
          <w:p w14:paraId="15300D31" w14:textId="2DD23CA6"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{"citationID":"IUJ82UaB","properties":{"formattedCitation":"\\super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FA2079" w:rsidRPr="00D712DE" w14:paraId="0CAAD90F" w14:textId="77777777" w:rsidTr="002F194E">
        <w:tc>
          <w:tcPr>
            <w:tcW w:w="2269" w:type="dxa"/>
            <w:tcBorders>
              <w:top w:val="nil"/>
              <w:bottom w:val="nil"/>
              <w:right w:val="nil"/>
            </w:tcBorders>
          </w:tcPr>
          <w:p w14:paraId="7D56BCE1" w14:textId="52545A89"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03990944" w14:textId="77777777" w:rsidR="00FA2079" w:rsidRPr="00D712DE" w:rsidRDefault="00FA2079" w:rsidP="004C6016">
            <w:pPr>
              <w:rPr>
                <w:sz w:val="20"/>
                <w:szCs w:val="20"/>
                <w:lang w:val="en-GB"/>
              </w:rPr>
            </w:pPr>
            <w:r w:rsidRPr="00D712DE">
              <w:rPr>
                <w:sz w:val="20"/>
                <w:szCs w:val="20"/>
                <w:lang w:val="en-GB"/>
              </w:rPr>
              <w:t>*17</w:t>
            </w:r>
          </w:p>
        </w:tc>
        <w:tc>
          <w:tcPr>
            <w:tcW w:w="1701" w:type="dxa"/>
            <w:tcBorders>
              <w:top w:val="nil"/>
              <w:left w:val="nil"/>
              <w:bottom w:val="single" w:sz="4" w:space="0" w:color="auto"/>
              <w:right w:val="nil"/>
            </w:tcBorders>
          </w:tcPr>
          <w:p w14:paraId="21051D31" w14:textId="7405B0D4" w:rsidR="00FA2079" w:rsidRPr="00D712DE" w:rsidRDefault="00FA2079" w:rsidP="004C6016">
            <w:pPr>
              <w:tabs>
                <w:tab w:val="decimal" w:pos="1310"/>
              </w:tabs>
              <w:rPr>
                <w:sz w:val="20"/>
                <w:szCs w:val="20"/>
                <w:lang w:val="en-GB"/>
              </w:rPr>
            </w:pPr>
            <w:r>
              <w:rPr>
                <w:sz w:val="20"/>
                <w:szCs w:val="20"/>
                <w:lang w:val="en-GB"/>
              </w:rPr>
              <w:t>19.75</w:t>
            </w:r>
          </w:p>
        </w:tc>
        <w:tc>
          <w:tcPr>
            <w:tcW w:w="1417" w:type="dxa"/>
            <w:tcBorders>
              <w:top w:val="nil"/>
              <w:left w:val="nil"/>
              <w:bottom w:val="single" w:sz="4" w:space="0" w:color="auto"/>
              <w:right w:val="nil"/>
            </w:tcBorders>
          </w:tcPr>
          <w:p w14:paraId="5C3DB013" w14:textId="633FC33F" w:rsidR="00FA2079" w:rsidRPr="00D712DE" w:rsidRDefault="00FA2079" w:rsidP="004C6016">
            <w:pPr>
              <w:tabs>
                <w:tab w:val="decimal" w:pos="1451"/>
              </w:tabs>
              <w:rPr>
                <w:sz w:val="20"/>
                <w:szCs w:val="20"/>
                <w:lang w:val="en-GB"/>
              </w:rPr>
            </w:pPr>
            <w:r w:rsidRPr="00D712DE">
              <w:rPr>
                <w:sz w:val="20"/>
                <w:szCs w:val="20"/>
                <w:lang w:val="en-GB"/>
              </w:rPr>
              <w:t>21</w:t>
            </w:r>
            <w:r>
              <w:rPr>
                <w:sz w:val="20"/>
                <w:szCs w:val="20"/>
                <w:lang w:val="en-GB"/>
              </w:rPr>
              <w:t>.</w:t>
            </w:r>
            <w:r w:rsidRPr="00D712DE">
              <w:rPr>
                <w:sz w:val="20"/>
                <w:szCs w:val="20"/>
                <w:lang w:val="en-GB"/>
              </w:rPr>
              <w:t>3</w:t>
            </w:r>
            <w:r w:rsidR="00164BA2">
              <w:rPr>
                <w:sz w:val="20"/>
                <w:szCs w:val="20"/>
                <w:lang w:val="en-GB"/>
              </w:rPr>
              <w:t>–21.7</w:t>
            </w:r>
          </w:p>
        </w:tc>
        <w:tc>
          <w:tcPr>
            <w:tcW w:w="992" w:type="dxa"/>
            <w:tcBorders>
              <w:top w:val="nil"/>
              <w:left w:val="nil"/>
              <w:bottom w:val="single" w:sz="4" w:space="0" w:color="auto"/>
            </w:tcBorders>
          </w:tcPr>
          <w:p w14:paraId="4598A97C" w14:textId="432FC960" w:rsidR="00FA2079" w:rsidRPr="00164BA2" w:rsidRDefault="00395834" w:rsidP="002F194E">
            <w:pPr>
              <w:jc w:val="center"/>
              <w:rPr>
                <w:sz w:val="20"/>
                <w:szCs w:val="20"/>
                <w:vertAlign w:val="superscript"/>
                <w:lang w:val="en-GB"/>
              </w:rPr>
            </w:pPr>
            <w:r w:rsidRPr="00395834">
              <w:rPr>
                <w:sz w:val="20"/>
                <w:szCs w:val="20"/>
                <w:lang w:val="en-GB"/>
              </w:rPr>
              <w:fldChar w:fldCharType="begin"/>
            </w:r>
            <w:r w:rsidR="00C14024">
              <w:rPr>
                <w:sz w:val="20"/>
                <w:szCs w:val="20"/>
                <w:lang w:val="en-GB"/>
              </w:rPr>
              <w:instrText xml:space="preserve"> ADDIN ZOTERO_ITEM CSL_CITATION {"citationID":"EqPHOziq","properties":{"formattedCitation":"\\super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r w:rsidR="00164BA2">
              <w:rPr>
                <w:sz w:val="20"/>
                <w:szCs w:val="20"/>
                <w:vertAlign w:val="superscript"/>
                <w:lang w:val="en-GB"/>
              </w:rPr>
              <w:t>,</w:t>
            </w:r>
            <w:r w:rsidR="00164BA2">
              <w:rPr>
                <w:sz w:val="20"/>
                <w:szCs w:val="20"/>
                <w:lang w:val="en-GB"/>
              </w:rPr>
              <w:fldChar w:fldCharType="begin"/>
            </w:r>
            <w:r w:rsidR="00822226">
              <w:rPr>
                <w:sz w:val="20"/>
                <w:szCs w:val="20"/>
                <w:lang w:val="en-GB"/>
              </w:rPr>
              <w:instrText xml:space="preserve"> ADDIN ZOTERO_ITEM CSL_CITATION {"citationID":"L9URXACQ","properties":{"formattedCitation":"\\super 9\\nosupersub{}","plainCitation":"9","noteIndex":0},"citationItems":[{"id":136,"uris":["http://zotero.org/users/local/tKhEs3aL/items/5K7XAAQ7"],"uri":["http://zotero.org/users/local/tKhEs3aL/items/5K7XAAQ7"],"itemData":{"id":136,"type":"article-journal","container-title":"Clinical and Translational Science","DOI":"10.1111/cts.12830","ISSN":"1752-8054, 1752-8062","journalAbbreviation":"Clin Transl Sci","language":"en","page":"cts.12830","source":"DOI.org (Crossref)","title":"CYP2C19 Allele Frequencies in Over 2.2 Million Direct‐to‐Consumer Genetics Research Participants and the Potential Implication for Prescriptions in a Large Health System","author":[{"family":"Ionova","given":"Yelena"},{"family":"Ashenhurst","given":"James"},{"family":"Zhan","given":"Jianan"},{"family":"Nhan","given":"Hoang"},{"family":"Kosinski","given":"Cindy"},{"family":"Tamraz","given":"Bani"},{"family":"Chubb","given":"Alison"}],"issued":{"date-parts":[["2020",7,21]]}}}],"schema":"https://github.com/citation-style-language/schema/raw/master/csl-citation.json"} </w:instrText>
            </w:r>
            <w:r w:rsidR="00164BA2">
              <w:rPr>
                <w:sz w:val="20"/>
                <w:szCs w:val="20"/>
                <w:lang w:val="en-GB"/>
              </w:rPr>
              <w:fldChar w:fldCharType="separate"/>
            </w:r>
            <w:r w:rsidR="00164BA2" w:rsidRPr="00164BA2">
              <w:rPr>
                <w:rFonts w:ascii="Calibri" w:cs="Times New Roman"/>
                <w:sz w:val="20"/>
                <w:vertAlign w:val="superscript"/>
              </w:rPr>
              <w:t>9</w:t>
            </w:r>
            <w:r w:rsidR="00164BA2">
              <w:rPr>
                <w:sz w:val="20"/>
                <w:szCs w:val="20"/>
                <w:lang w:val="en-GB"/>
              </w:rPr>
              <w:fldChar w:fldCharType="end"/>
            </w:r>
          </w:p>
        </w:tc>
      </w:tr>
      <w:tr w:rsidR="00FA2079" w:rsidRPr="00D712DE" w14:paraId="78A50020" w14:textId="77777777" w:rsidTr="002F194E">
        <w:tc>
          <w:tcPr>
            <w:tcW w:w="2269" w:type="dxa"/>
            <w:tcBorders>
              <w:top w:val="nil"/>
              <w:bottom w:val="nil"/>
              <w:right w:val="nil"/>
            </w:tcBorders>
          </w:tcPr>
          <w:p w14:paraId="75B0024E" w14:textId="77777777" w:rsidR="00FA2079" w:rsidRPr="00D712DE" w:rsidRDefault="00FA2079" w:rsidP="004C6016">
            <w:pPr>
              <w:rPr>
                <w:i/>
                <w:sz w:val="20"/>
                <w:szCs w:val="20"/>
                <w:lang w:val="en-GB"/>
              </w:rPr>
            </w:pPr>
          </w:p>
        </w:tc>
        <w:tc>
          <w:tcPr>
            <w:tcW w:w="3402" w:type="dxa"/>
            <w:tcBorders>
              <w:left w:val="nil"/>
              <w:bottom w:val="nil"/>
              <w:right w:val="nil"/>
            </w:tcBorders>
          </w:tcPr>
          <w:p w14:paraId="7C55733A" w14:textId="5C6E433E"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753272E0" w14:textId="62B04790" w:rsidR="00FA2079" w:rsidRDefault="00FA2079" w:rsidP="004C6016">
            <w:pPr>
              <w:tabs>
                <w:tab w:val="decimal" w:pos="1310"/>
              </w:tabs>
              <w:rPr>
                <w:sz w:val="20"/>
                <w:szCs w:val="20"/>
                <w:lang w:val="en-GB"/>
              </w:rPr>
            </w:pPr>
            <w:r>
              <w:rPr>
                <w:sz w:val="20"/>
                <w:szCs w:val="20"/>
                <w:lang w:val="en-GB"/>
              </w:rPr>
              <w:t>4.94</w:t>
            </w:r>
          </w:p>
        </w:tc>
        <w:tc>
          <w:tcPr>
            <w:tcW w:w="1417" w:type="dxa"/>
            <w:tcBorders>
              <w:left w:val="nil"/>
              <w:bottom w:val="nil"/>
              <w:right w:val="nil"/>
            </w:tcBorders>
          </w:tcPr>
          <w:p w14:paraId="2B6DF07D" w14:textId="1FB65028" w:rsidR="00FA2079" w:rsidRPr="00D712DE" w:rsidRDefault="00FA2079" w:rsidP="004C6016">
            <w:pPr>
              <w:tabs>
                <w:tab w:val="decimal" w:pos="1451"/>
              </w:tabs>
              <w:rPr>
                <w:sz w:val="20"/>
                <w:szCs w:val="20"/>
                <w:lang w:val="en-GB"/>
              </w:rPr>
            </w:pPr>
            <w:r w:rsidRPr="00D712DE">
              <w:rPr>
                <w:sz w:val="20"/>
                <w:szCs w:val="20"/>
                <w:lang w:val="en-GB"/>
              </w:rPr>
              <w:t>2.5</w:t>
            </w:r>
          </w:p>
        </w:tc>
        <w:tc>
          <w:tcPr>
            <w:tcW w:w="992" w:type="dxa"/>
            <w:tcBorders>
              <w:left w:val="nil"/>
              <w:bottom w:val="nil"/>
            </w:tcBorders>
          </w:tcPr>
          <w:p w14:paraId="33AFC1A7" w14:textId="2085CF7F"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{"citationID":"N7qtztPZ","properties":{"formattedCitation":"\\super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FA2079" w:rsidRPr="00D712DE" w14:paraId="657C05C0" w14:textId="77777777" w:rsidTr="002F194E">
        <w:tc>
          <w:tcPr>
            <w:tcW w:w="2269" w:type="dxa"/>
            <w:tcBorders>
              <w:top w:val="nil"/>
              <w:bottom w:val="nil"/>
              <w:right w:val="nil"/>
            </w:tcBorders>
          </w:tcPr>
          <w:p w14:paraId="7CB12E6F"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344F602C" w14:textId="377277D0"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64293799" w14:textId="350BFF9D" w:rsidR="00FA2079" w:rsidRDefault="00FA2079" w:rsidP="004C6016">
            <w:pPr>
              <w:tabs>
                <w:tab w:val="decimal" w:pos="1310"/>
              </w:tabs>
              <w:rPr>
                <w:sz w:val="20"/>
                <w:szCs w:val="20"/>
                <w:lang w:val="en-GB"/>
              </w:rPr>
            </w:pPr>
            <w:r>
              <w:rPr>
                <w:sz w:val="20"/>
                <w:szCs w:val="20"/>
                <w:lang w:val="en-GB"/>
              </w:rPr>
              <w:t>26.54</w:t>
            </w:r>
          </w:p>
        </w:tc>
        <w:tc>
          <w:tcPr>
            <w:tcW w:w="1417" w:type="dxa"/>
            <w:tcBorders>
              <w:top w:val="nil"/>
              <w:left w:val="nil"/>
              <w:bottom w:val="nil"/>
              <w:right w:val="nil"/>
            </w:tcBorders>
          </w:tcPr>
          <w:p w14:paraId="1C46CA97" w14:textId="2859EED2" w:rsidR="00FA2079" w:rsidRPr="00D712DE" w:rsidRDefault="00FA2079" w:rsidP="004C6016">
            <w:pPr>
              <w:tabs>
                <w:tab w:val="decimal" w:pos="1451"/>
              </w:tabs>
              <w:rPr>
                <w:sz w:val="20"/>
                <w:szCs w:val="20"/>
                <w:lang w:val="en-GB"/>
              </w:rPr>
            </w:pPr>
            <w:r w:rsidRPr="00D712DE">
              <w:rPr>
                <w:sz w:val="20"/>
                <w:szCs w:val="20"/>
                <w:lang w:val="en-GB"/>
              </w:rPr>
              <w:t>26.8</w:t>
            </w:r>
          </w:p>
        </w:tc>
        <w:tc>
          <w:tcPr>
            <w:tcW w:w="992" w:type="dxa"/>
            <w:tcBorders>
              <w:top w:val="nil"/>
              <w:left w:val="nil"/>
              <w:bottom w:val="nil"/>
            </w:tcBorders>
          </w:tcPr>
          <w:p w14:paraId="62D6CCCF" w14:textId="29F62135"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{"citationID":"Gb2f5HBO","properties":{"formattedCitation":"\\super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FA2079" w:rsidRPr="00D712DE" w14:paraId="29966335" w14:textId="77777777" w:rsidTr="002F194E">
        <w:tc>
          <w:tcPr>
            <w:tcW w:w="2269" w:type="dxa"/>
            <w:tcBorders>
              <w:top w:val="nil"/>
              <w:bottom w:val="nil"/>
              <w:right w:val="nil"/>
            </w:tcBorders>
          </w:tcPr>
          <w:p w14:paraId="317E6D08"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5A29908A" w14:textId="7A943201" w:rsidR="00FA2079" w:rsidRPr="00D712DE" w:rsidRDefault="00FA2079" w:rsidP="004C6016">
            <w:pPr>
              <w:rPr>
                <w:sz w:val="20"/>
                <w:szCs w:val="20"/>
                <w:lang w:val="en-GB"/>
              </w:rPr>
            </w:pPr>
            <w:r w:rsidRPr="00D712DE">
              <w:rPr>
                <w:sz w:val="20"/>
                <w:szCs w:val="20"/>
                <w:lang w:val="en-GB"/>
              </w:rPr>
              <w:t>N</w:t>
            </w:r>
            <w:r>
              <w:rPr>
                <w:sz w:val="20"/>
                <w:szCs w:val="20"/>
                <w:lang w:val="en-GB"/>
              </w:rPr>
              <w:t>ormal Metaboliser</w:t>
            </w:r>
          </w:p>
        </w:tc>
        <w:tc>
          <w:tcPr>
            <w:tcW w:w="1701" w:type="dxa"/>
            <w:tcBorders>
              <w:top w:val="nil"/>
              <w:left w:val="nil"/>
              <w:bottom w:val="nil"/>
              <w:right w:val="nil"/>
            </w:tcBorders>
          </w:tcPr>
          <w:p w14:paraId="079AE6A9" w14:textId="05D24600" w:rsidR="00FA2079" w:rsidRDefault="00FA2079" w:rsidP="004C6016">
            <w:pPr>
              <w:tabs>
                <w:tab w:val="decimal" w:pos="1310"/>
              </w:tabs>
              <w:rPr>
                <w:sz w:val="20"/>
                <w:szCs w:val="20"/>
                <w:lang w:val="en-GB"/>
              </w:rPr>
            </w:pPr>
            <w:r>
              <w:rPr>
                <w:sz w:val="20"/>
                <w:szCs w:val="20"/>
                <w:lang w:val="en-GB"/>
              </w:rPr>
              <w:t>64.20</w:t>
            </w:r>
          </w:p>
        </w:tc>
        <w:tc>
          <w:tcPr>
            <w:tcW w:w="1417" w:type="dxa"/>
            <w:tcBorders>
              <w:top w:val="nil"/>
              <w:left w:val="nil"/>
              <w:bottom w:val="nil"/>
              <w:right w:val="nil"/>
            </w:tcBorders>
          </w:tcPr>
          <w:p w14:paraId="5C8FA3C8" w14:textId="6ED431E2" w:rsidR="00FA2079" w:rsidRPr="00D712DE" w:rsidRDefault="00FA2079" w:rsidP="004C6016">
            <w:pPr>
              <w:tabs>
                <w:tab w:val="decimal" w:pos="1451"/>
              </w:tabs>
              <w:rPr>
                <w:sz w:val="20"/>
                <w:szCs w:val="20"/>
                <w:lang w:val="en-GB"/>
              </w:rPr>
            </w:pPr>
            <w:r w:rsidRPr="00D712DE">
              <w:rPr>
                <w:sz w:val="20"/>
                <w:szCs w:val="20"/>
                <w:lang w:val="en-GB"/>
              </w:rPr>
              <w:t>66.1</w:t>
            </w:r>
          </w:p>
        </w:tc>
        <w:tc>
          <w:tcPr>
            <w:tcW w:w="992" w:type="dxa"/>
            <w:tcBorders>
              <w:top w:val="nil"/>
              <w:left w:val="nil"/>
              <w:bottom w:val="nil"/>
            </w:tcBorders>
          </w:tcPr>
          <w:p w14:paraId="0D8B06F3" w14:textId="2FF3CEDD" w:rsidR="00FA2079" w:rsidRPr="00D712DE" w:rsidRDefault="00395834" w:rsidP="002F194E">
            <w:pPr>
              <w:jc w:val="center"/>
              <w:rPr>
                <w:sz w:val="20"/>
                <w:szCs w:val="20"/>
                <w:lang w:val="en-GB"/>
              </w:rPr>
            </w:pPr>
            <w:r w:rsidRPr="00395834">
              <w:rPr>
                <w:sz w:val="20"/>
                <w:szCs w:val="20"/>
                <w:lang w:val="en-GB"/>
              </w:rPr>
              <w:fldChar w:fldCharType="begin"/>
            </w:r>
            <w:r w:rsidR="00C14024">
              <w:rPr>
                <w:sz w:val="20"/>
                <w:szCs w:val="20"/>
                <w:lang w:val="en-GB"/>
              </w:rPr>
              <w:instrText xml:space="preserve"> ADDIN ZOTERO_ITEM CSL_CITATION {"citationID":"xz5fEMob","properties":{"formattedCitation":"\\super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p>
        </w:tc>
      </w:tr>
      <w:tr w:rsidR="00FA2079" w:rsidRPr="00D712DE" w14:paraId="3E956E28" w14:textId="77777777" w:rsidTr="002F194E">
        <w:tc>
          <w:tcPr>
            <w:tcW w:w="2269" w:type="dxa"/>
            <w:tcBorders>
              <w:top w:val="nil"/>
              <w:bottom w:val="single" w:sz="4" w:space="0" w:color="auto"/>
              <w:right w:val="nil"/>
            </w:tcBorders>
          </w:tcPr>
          <w:p w14:paraId="1645A6BD"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091A5A95" w14:textId="326FAE75" w:rsidR="00FA2079" w:rsidRPr="00D712DE" w:rsidRDefault="00FA2079" w:rsidP="004C6016">
            <w:pPr>
              <w:rPr>
                <w:sz w:val="20"/>
                <w:szCs w:val="20"/>
                <w:lang w:val="en-GB"/>
              </w:rPr>
            </w:pPr>
            <w:r w:rsidRPr="00D712DE">
              <w:rPr>
                <w:sz w:val="20"/>
                <w:szCs w:val="20"/>
                <w:lang w:val="en-GB"/>
              </w:rPr>
              <w:t>U</w:t>
            </w:r>
            <w:r>
              <w:rPr>
                <w:sz w:val="20"/>
                <w:szCs w:val="20"/>
                <w:lang w:val="en-GB"/>
              </w:rPr>
              <w:t>ltra-rapid Metaboliser</w:t>
            </w:r>
          </w:p>
        </w:tc>
        <w:tc>
          <w:tcPr>
            <w:tcW w:w="1701" w:type="dxa"/>
            <w:tcBorders>
              <w:top w:val="nil"/>
              <w:left w:val="nil"/>
              <w:bottom w:val="single" w:sz="4" w:space="0" w:color="auto"/>
              <w:right w:val="nil"/>
            </w:tcBorders>
          </w:tcPr>
          <w:p w14:paraId="5311C944" w14:textId="5C52AF42" w:rsidR="00FA2079" w:rsidRDefault="00FA2079" w:rsidP="004C6016">
            <w:pPr>
              <w:tabs>
                <w:tab w:val="decimal" w:pos="1310"/>
              </w:tabs>
              <w:rPr>
                <w:sz w:val="20"/>
                <w:szCs w:val="20"/>
                <w:lang w:val="en-GB"/>
              </w:rPr>
            </w:pPr>
            <w:r>
              <w:rPr>
                <w:sz w:val="20"/>
                <w:szCs w:val="20"/>
                <w:lang w:val="en-GB"/>
              </w:rPr>
              <w:t>4.32</w:t>
            </w:r>
          </w:p>
        </w:tc>
        <w:tc>
          <w:tcPr>
            <w:tcW w:w="1417" w:type="dxa"/>
            <w:tcBorders>
              <w:top w:val="nil"/>
              <w:left w:val="nil"/>
              <w:bottom w:val="single" w:sz="4" w:space="0" w:color="auto"/>
              <w:right w:val="nil"/>
            </w:tcBorders>
          </w:tcPr>
          <w:p w14:paraId="6C6305F3" w14:textId="5534AF57" w:rsidR="00FA2079" w:rsidRPr="00D712DE" w:rsidRDefault="00FA2079" w:rsidP="004C6016">
            <w:pPr>
              <w:tabs>
                <w:tab w:val="decimal" w:pos="1451"/>
              </w:tabs>
              <w:rPr>
                <w:sz w:val="20"/>
                <w:szCs w:val="20"/>
                <w:lang w:val="en-GB"/>
              </w:rPr>
            </w:pPr>
            <w:r w:rsidRPr="00D712DE">
              <w:rPr>
                <w:sz w:val="20"/>
                <w:szCs w:val="20"/>
                <w:lang w:val="en-GB"/>
              </w:rPr>
              <w:t>4.6</w:t>
            </w:r>
            <w:r w:rsidR="00164BA2">
              <w:rPr>
                <w:sz w:val="20"/>
                <w:szCs w:val="20"/>
                <w:lang w:val="en-GB"/>
              </w:rPr>
              <w:t>–4.77</w:t>
            </w:r>
          </w:p>
        </w:tc>
        <w:tc>
          <w:tcPr>
            <w:tcW w:w="992" w:type="dxa"/>
            <w:tcBorders>
              <w:top w:val="nil"/>
              <w:left w:val="nil"/>
              <w:bottom w:val="single" w:sz="4" w:space="0" w:color="auto"/>
            </w:tcBorders>
          </w:tcPr>
          <w:p w14:paraId="2DE829B9" w14:textId="2C40E579" w:rsidR="00FA2079" w:rsidRPr="00164BA2" w:rsidRDefault="00395834" w:rsidP="002F194E">
            <w:pPr>
              <w:jc w:val="center"/>
              <w:rPr>
                <w:sz w:val="20"/>
                <w:szCs w:val="20"/>
                <w:vertAlign w:val="superscript"/>
                <w:lang w:val="en-GB"/>
              </w:rPr>
            </w:pPr>
            <w:r w:rsidRPr="00395834">
              <w:rPr>
                <w:sz w:val="20"/>
                <w:szCs w:val="20"/>
                <w:lang w:val="en-GB"/>
              </w:rPr>
              <w:fldChar w:fldCharType="begin"/>
            </w:r>
            <w:r w:rsidR="00C14024">
              <w:rPr>
                <w:sz w:val="20"/>
                <w:szCs w:val="20"/>
                <w:lang w:val="en-GB"/>
              </w:rPr>
              <w:instrText xml:space="preserve"> ADDIN ZOTERO_ITEM CSL_CITATION {"citationID":"MGzpcIkA","properties":{"formattedCitation":"\\super 8\\nosupersub{}","plainCitation":"8","noteIndex":0},"citationItems":[{"id":115,"uris":["http://zotero.org/users/local/tKhEs3aL/items/7FVYFFSM"],"uri":["http://zotero.org/users/local/tKhEs3aL/items/7FVYFFSM"],"itemData":{"id":115,"type":"article-journal","container-title":"Clinical Pharmacology &amp; Therapeutics","DOI":"10.1038/clpt.2013.105","ISSN":"0009-9236, 1532-6535","issue":"3","journalAbbreviation":"Clin Pharmacol Ther","page":"317-323","source":"DOI.org (Crossref)","title":"Clinical Pharmacogenetics Implementation Consortium Guidelines for CYP2C19 Genotype and Clopidogrel Therapy: 2013 Update","title-short":"Clinical Pharmacogenetics Implementation Consortium Guidelines for CYP2C19 Genotype and Clopidogrel Therapy","volume":"94","author":[{"family":"Scott","given":"S A"},{"family":"Sangkuhl","given":"K"},{"family":"Stein","given":"C M"},{"family":"Hulot","given":"J-S"},{"family":"Mega","given":"J L"},{"family":"Roden","given":"D M"},{"family":"Klein","given":"T E"},{"family":"Sabatine","given":"M S"},{"family":"Johnson","given":"J A"},{"family":"Shuldiner","given":"A R"}],"issued":{"date-parts":[["2013",9]]}}}],"schema":"https://github.com/citation-style-language/schema/raw/master/csl-citation.json"} </w:instrText>
            </w:r>
            <w:r w:rsidRPr="00395834">
              <w:rPr>
                <w:sz w:val="20"/>
                <w:szCs w:val="20"/>
                <w:lang w:val="en-GB"/>
              </w:rPr>
              <w:fldChar w:fldCharType="separate"/>
            </w:r>
            <w:r w:rsidR="00C14024" w:rsidRPr="00C14024">
              <w:rPr>
                <w:rFonts w:ascii="Calibri" w:cs="Times New Roman"/>
                <w:sz w:val="20"/>
                <w:vertAlign w:val="superscript"/>
              </w:rPr>
              <w:t>8</w:t>
            </w:r>
            <w:r w:rsidRPr="00395834">
              <w:rPr>
                <w:sz w:val="20"/>
                <w:szCs w:val="20"/>
                <w:lang w:val="en-GB"/>
              </w:rPr>
              <w:fldChar w:fldCharType="end"/>
            </w:r>
            <w:r w:rsidR="00164BA2">
              <w:rPr>
                <w:sz w:val="20"/>
                <w:szCs w:val="20"/>
                <w:vertAlign w:val="superscript"/>
                <w:lang w:val="en-GB"/>
              </w:rPr>
              <w:t>,</w:t>
            </w:r>
            <w:r w:rsidR="00164BA2">
              <w:rPr>
                <w:sz w:val="20"/>
                <w:szCs w:val="20"/>
                <w:lang w:val="en-GB"/>
              </w:rPr>
              <w:fldChar w:fldCharType="begin"/>
            </w:r>
            <w:r w:rsidR="00822226">
              <w:rPr>
                <w:sz w:val="20"/>
                <w:szCs w:val="20"/>
                <w:lang w:val="en-GB"/>
              </w:rPr>
              <w:instrText xml:space="preserve"> ADDIN ZOTERO_ITEM CSL_CITATION {"citationID":"PeK8ixsz","properties":{"formattedCitation":"\\super 9\\nosupersub{}","plainCitation":"9","noteIndex":0},"citationItems":[{"id":136,"uris":["http://zotero.org/users/local/tKhEs3aL/items/5K7XAAQ7"],"uri":["http://zotero.org/users/local/tKhEs3aL/items/5K7XAAQ7"],"itemData":{"id":136,"type":"article-journal","container-title":"Clinical and Translational Science","DOI":"10.1111/cts.12830","ISSN":"1752-8054, 1752-8062","journalAbbreviation":"Clin Transl Sci","language":"en","page":"cts.12830","source":"DOI.org (Crossref)","title":"CYP2C19 Allele Frequencies in Over 2.2 Million Direct‐to‐Consumer Genetics Research Participants and the Potential Implication for Prescriptions in a Large Health System","author":[{"family":"Ionova","given":"Yelena"},{"family":"Ashenhurst","given":"James"},{"family":"Zhan","given":"Jianan"},{"family":"Nhan","given":"Hoang"},{"family":"Kosinski","given":"Cindy"},{"family":"Tamraz","given":"Bani"},{"family":"Chubb","given":"Alison"}],"issued":{"date-parts":[["2020",7,21]]}}}],"schema":"https://github.com/citation-style-language/schema/raw/master/csl-citation.json"} </w:instrText>
            </w:r>
            <w:r w:rsidR="00164BA2">
              <w:rPr>
                <w:sz w:val="20"/>
                <w:szCs w:val="20"/>
                <w:lang w:val="en-GB"/>
              </w:rPr>
              <w:fldChar w:fldCharType="separate"/>
            </w:r>
            <w:r w:rsidR="00164BA2" w:rsidRPr="00164BA2">
              <w:rPr>
                <w:rFonts w:ascii="Calibri" w:cs="Times New Roman"/>
                <w:sz w:val="20"/>
                <w:vertAlign w:val="superscript"/>
              </w:rPr>
              <w:t>9</w:t>
            </w:r>
            <w:r w:rsidR="00164BA2">
              <w:rPr>
                <w:sz w:val="20"/>
                <w:szCs w:val="20"/>
                <w:lang w:val="en-GB"/>
              </w:rPr>
              <w:fldChar w:fldCharType="end"/>
            </w:r>
          </w:p>
        </w:tc>
      </w:tr>
      <w:tr w:rsidR="00045285" w:rsidRPr="00D712DE" w14:paraId="634484A3" w14:textId="77777777" w:rsidTr="002F194E">
        <w:tc>
          <w:tcPr>
            <w:tcW w:w="2269" w:type="dxa"/>
            <w:tcBorders>
              <w:bottom w:val="nil"/>
              <w:right w:val="nil"/>
            </w:tcBorders>
          </w:tcPr>
          <w:p w14:paraId="3864F776" w14:textId="61D788A5" w:rsidR="00FA2079" w:rsidRPr="00194E48" w:rsidRDefault="00FA2079" w:rsidP="004C6016">
            <w:pPr>
              <w:rPr>
                <w:b/>
                <w:i/>
                <w:sz w:val="20"/>
                <w:szCs w:val="20"/>
                <w:lang w:val="en-GB"/>
              </w:rPr>
            </w:pPr>
            <w:r w:rsidRPr="00194E48">
              <w:rPr>
                <w:b/>
                <w:i/>
                <w:sz w:val="20"/>
                <w:szCs w:val="20"/>
                <w:lang w:val="en-GB"/>
              </w:rPr>
              <w:t>CYP2D6</w:t>
            </w:r>
          </w:p>
        </w:tc>
        <w:tc>
          <w:tcPr>
            <w:tcW w:w="3402" w:type="dxa"/>
            <w:tcBorders>
              <w:left w:val="nil"/>
              <w:bottom w:val="nil"/>
              <w:right w:val="nil"/>
            </w:tcBorders>
          </w:tcPr>
          <w:p w14:paraId="14763E77" w14:textId="75CC133F"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1747117B" w14:textId="3A2940A9" w:rsidR="00FA2079" w:rsidRPr="00D712DE" w:rsidRDefault="00FA2079" w:rsidP="004C6016">
            <w:pPr>
              <w:tabs>
                <w:tab w:val="decimal" w:pos="1310"/>
              </w:tabs>
              <w:rPr>
                <w:sz w:val="20"/>
                <w:szCs w:val="20"/>
                <w:lang w:val="en-GB"/>
              </w:rPr>
            </w:pPr>
            <w:r>
              <w:rPr>
                <w:sz w:val="20"/>
                <w:szCs w:val="20"/>
                <w:lang w:val="en-GB"/>
              </w:rPr>
              <w:t>48.24</w:t>
            </w:r>
          </w:p>
        </w:tc>
        <w:tc>
          <w:tcPr>
            <w:tcW w:w="1417" w:type="dxa"/>
            <w:tcBorders>
              <w:left w:val="nil"/>
              <w:bottom w:val="nil"/>
              <w:right w:val="nil"/>
            </w:tcBorders>
          </w:tcPr>
          <w:p w14:paraId="1C7662A5" w14:textId="64E7EB2D" w:rsidR="00FA2079" w:rsidRPr="00D712DE" w:rsidRDefault="00822226" w:rsidP="004C6016">
            <w:pPr>
              <w:tabs>
                <w:tab w:val="decimal" w:pos="1451"/>
              </w:tabs>
              <w:rPr>
                <w:sz w:val="20"/>
                <w:szCs w:val="20"/>
                <w:lang w:val="en-GB"/>
              </w:rPr>
            </w:pPr>
            <w:r>
              <w:rPr>
                <w:sz w:val="20"/>
                <w:szCs w:val="20"/>
                <w:lang w:val="en-GB"/>
              </w:rPr>
              <w:t>41.38</w:t>
            </w:r>
          </w:p>
        </w:tc>
        <w:tc>
          <w:tcPr>
            <w:tcW w:w="992" w:type="dxa"/>
            <w:tcBorders>
              <w:left w:val="nil"/>
              <w:bottom w:val="nil"/>
            </w:tcBorders>
          </w:tcPr>
          <w:p w14:paraId="04B307F2" w14:textId="49C8A051"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{"citationID":"I8x5L7Jk","properties":{"formattedCitation":"\\super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3CBB67DC" w14:textId="77777777" w:rsidTr="002F194E">
        <w:tc>
          <w:tcPr>
            <w:tcW w:w="2269" w:type="dxa"/>
            <w:tcBorders>
              <w:top w:val="nil"/>
              <w:bottom w:val="nil"/>
              <w:right w:val="nil"/>
            </w:tcBorders>
          </w:tcPr>
          <w:p w14:paraId="10768B7D" w14:textId="4BACAB60" w:rsidR="00FA2079" w:rsidRPr="00194E48" w:rsidRDefault="00FA2079" w:rsidP="004C6016">
            <w:pPr>
              <w:tabs>
                <w:tab w:val="center" w:pos="953"/>
              </w:tabs>
              <w:rPr>
                <w:sz w:val="20"/>
                <w:szCs w:val="20"/>
                <w:lang w:val="en-GB"/>
              </w:rPr>
            </w:pPr>
            <w:r>
              <w:rPr>
                <w:sz w:val="20"/>
                <w:szCs w:val="20"/>
                <w:lang w:val="en-GB"/>
              </w:rPr>
              <w:t>(n = 142)</w:t>
            </w:r>
          </w:p>
        </w:tc>
        <w:tc>
          <w:tcPr>
            <w:tcW w:w="3402" w:type="dxa"/>
            <w:tcBorders>
              <w:top w:val="nil"/>
              <w:left w:val="nil"/>
              <w:bottom w:val="nil"/>
              <w:right w:val="nil"/>
            </w:tcBorders>
          </w:tcPr>
          <w:p w14:paraId="2ED1E68B" w14:textId="5E26CFDE" w:rsidR="00FA2079" w:rsidRPr="00D712DE" w:rsidRDefault="00FA2079" w:rsidP="004C6016">
            <w:pPr>
              <w:rPr>
                <w:sz w:val="20"/>
                <w:szCs w:val="20"/>
                <w:lang w:val="en-GB"/>
              </w:rPr>
            </w:pPr>
            <w:r w:rsidRPr="00D712DE">
              <w:rPr>
                <w:sz w:val="20"/>
                <w:szCs w:val="20"/>
                <w:lang w:val="en-GB"/>
              </w:rPr>
              <w:t>*1x2</w:t>
            </w:r>
          </w:p>
        </w:tc>
        <w:tc>
          <w:tcPr>
            <w:tcW w:w="1701" w:type="dxa"/>
            <w:tcBorders>
              <w:top w:val="nil"/>
              <w:left w:val="nil"/>
              <w:bottom w:val="nil"/>
              <w:right w:val="nil"/>
            </w:tcBorders>
          </w:tcPr>
          <w:p w14:paraId="45863BD0" w14:textId="01F4C095" w:rsidR="00FA2079" w:rsidRPr="00D712DE" w:rsidRDefault="00FA2079" w:rsidP="004C6016">
            <w:pPr>
              <w:tabs>
                <w:tab w:val="decimal" w:pos="1310"/>
              </w:tabs>
              <w:rPr>
                <w:sz w:val="20"/>
                <w:szCs w:val="20"/>
                <w:lang w:val="en-GB"/>
              </w:rPr>
            </w:pPr>
            <w:r>
              <w:rPr>
                <w:sz w:val="20"/>
                <w:szCs w:val="20"/>
                <w:lang w:val="en-GB"/>
              </w:rPr>
              <w:t>0.35</w:t>
            </w:r>
          </w:p>
        </w:tc>
        <w:tc>
          <w:tcPr>
            <w:tcW w:w="1417" w:type="dxa"/>
            <w:tcBorders>
              <w:top w:val="nil"/>
              <w:left w:val="nil"/>
              <w:bottom w:val="nil"/>
              <w:right w:val="nil"/>
            </w:tcBorders>
          </w:tcPr>
          <w:p w14:paraId="49B161D2" w14:textId="7DAFE721" w:rsidR="00FA2079" w:rsidRPr="00D712DE" w:rsidRDefault="00822226" w:rsidP="004C6016">
            <w:pPr>
              <w:tabs>
                <w:tab w:val="decimal" w:pos="1451"/>
              </w:tabs>
              <w:rPr>
                <w:sz w:val="20"/>
                <w:szCs w:val="20"/>
                <w:lang w:val="en-GB"/>
              </w:rPr>
            </w:pPr>
            <w:r>
              <w:rPr>
                <w:sz w:val="20"/>
                <w:szCs w:val="20"/>
                <w:lang w:val="en-GB"/>
              </w:rPr>
              <w:t>0.94</w:t>
            </w:r>
          </w:p>
        </w:tc>
        <w:tc>
          <w:tcPr>
            <w:tcW w:w="992" w:type="dxa"/>
            <w:tcBorders>
              <w:top w:val="nil"/>
              <w:left w:val="nil"/>
              <w:bottom w:val="nil"/>
            </w:tcBorders>
          </w:tcPr>
          <w:p w14:paraId="3502852A" w14:textId="43142B12"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{"citationID":"7SecMr3y","properties":{"formattedCitation":"\\super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7DF6EA02" w14:textId="77777777" w:rsidTr="002F194E">
        <w:tc>
          <w:tcPr>
            <w:tcW w:w="2269" w:type="dxa"/>
            <w:tcBorders>
              <w:top w:val="nil"/>
              <w:bottom w:val="nil"/>
              <w:right w:val="nil"/>
            </w:tcBorders>
          </w:tcPr>
          <w:p w14:paraId="19F5B0E6"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019034F6" w14:textId="312EC3B9" w:rsidR="00FA2079" w:rsidRPr="00D712DE" w:rsidRDefault="00FA2079" w:rsidP="004C6016">
            <w:pPr>
              <w:rPr>
                <w:sz w:val="20"/>
                <w:szCs w:val="20"/>
                <w:lang w:val="en-GB"/>
              </w:rPr>
            </w:pPr>
            <w:r w:rsidRPr="00D712DE">
              <w:rPr>
                <w:sz w:val="20"/>
                <w:szCs w:val="20"/>
                <w:lang w:val="en-GB"/>
              </w:rPr>
              <w:t>*3</w:t>
            </w:r>
          </w:p>
        </w:tc>
        <w:tc>
          <w:tcPr>
            <w:tcW w:w="1701" w:type="dxa"/>
            <w:tcBorders>
              <w:top w:val="nil"/>
              <w:left w:val="nil"/>
              <w:bottom w:val="nil"/>
              <w:right w:val="nil"/>
            </w:tcBorders>
          </w:tcPr>
          <w:p w14:paraId="144C66D6" w14:textId="27535A25" w:rsidR="00FA2079" w:rsidRPr="00D712DE" w:rsidRDefault="00FA2079" w:rsidP="004C6016">
            <w:pPr>
              <w:tabs>
                <w:tab w:val="decimal" w:pos="1310"/>
              </w:tabs>
              <w:rPr>
                <w:sz w:val="20"/>
                <w:szCs w:val="20"/>
                <w:lang w:val="en-GB"/>
              </w:rPr>
            </w:pPr>
            <w:r>
              <w:rPr>
                <w:sz w:val="20"/>
                <w:szCs w:val="20"/>
                <w:lang w:val="en-GB"/>
              </w:rPr>
              <w:t>2.46</w:t>
            </w:r>
          </w:p>
        </w:tc>
        <w:tc>
          <w:tcPr>
            <w:tcW w:w="1417" w:type="dxa"/>
            <w:tcBorders>
              <w:top w:val="nil"/>
              <w:left w:val="nil"/>
              <w:bottom w:val="nil"/>
              <w:right w:val="nil"/>
            </w:tcBorders>
          </w:tcPr>
          <w:p w14:paraId="5211CC53" w14:textId="565F7D04" w:rsidR="00FA2079" w:rsidRPr="00D712DE" w:rsidRDefault="00822226" w:rsidP="004C6016">
            <w:pPr>
              <w:tabs>
                <w:tab w:val="decimal" w:pos="1451"/>
              </w:tabs>
              <w:rPr>
                <w:sz w:val="20"/>
                <w:szCs w:val="20"/>
                <w:lang w:val="en-GB"/>
              </w:rPr>
            </w:pPr>
            <w:r>
              <w:rPr>
                <w:sz w:val="20"/>
                <w:szCs w:val="20"/>
                <w:lang w:val="en-GB"/>
              </w:rPr>
              <w:t>1.36</w:t>
            </w:r>
          </w:p>
        </w:tc>
        <w:tc>
          <w:tcPr>
            <w:tcW w:w="992" w:type="dxa"/>
            <w:tcBorders>
              <w:top w:val="nil"/>
              <w:left w:val="nil"/>
              <w:bottom w:val="nil"/>
            </w:tcBorders>
          </w:tcPr>
          <w:p w14:paraId="0FD8746B" w14:textId="6E289C2C"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{"citationID":"GoTsS98W","properties":{"formattedCitation":"\\super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3E587A15" w14:textId="77777777" w:rsidTr="002F194E">
        <w:tc>
          <w:tcPr>
            <w:tcW w:w="2269" w:type="dxa"/>
            <w:tcBorders>
              <w:top w:val="nil"/>
              <w:bottom w:val="nil"/>
              <w:right w:val="nil"/>
            </w:tcBorders>
          </w:tcPr>
          <w:p w14:paraId="0BCD4C34"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5DF10DB4" w14:textId="4DEAAEE7" w:rsidR="00FA2079" w:rsidRPr="00D712DE" w:rsidRDefault="00FA2079" w:rsidP="004C6016">
            <w:pPr>
              <w:rPr>
                <w:sz w:val="20"/>
                <w:szCs w:val="20"/>
                <w:lang w:val="en-GB"/>
              </w:rPr>
            </w:pPr>
            <w:r w:rsidRPr="00D712DE">
              <w:rPr>
                <w:sz w:val="20"/>
                <w:szCs w:val="20"/>
                <w:lang w:val="en-GB"/>
              </w:rPr>
              <w:t>*4</w:t>
            </w:r>
          </w:p>
        </w:tc>
        <w:tc>
          <w:tcPr>
            <w:tcW w:w="1701" w:type="dxa"/>
            <w:tcBorders>
              <w:top w:val="nil"/>
              <w:left w:val="nil"/>
              <w:bottom w:val="nil"/>
              <w:right w:val="nil"/>
            </w:tcBorders>
          </w:tcPr>
          <w:p w14:paraId="03A78FAE" w14:textId="398B8F24" w:rsidR="00FA2079" w:rsidRPr="00D712DE" w:rsidRDefault="00FA2079" w:rsidP="004C6016">
            <w:pPr>
              <w:tabs>
                <w:tab w:val="decimal" w:pos="1310"/>
              </w:tabs>
              <w:rPr>
                <w:sz w:val="20"/>
                <w:szCs w:val="20"/>
                <w:lang w:val="en-GB"/>
              </w:rPr>
            </w:pPr>
            <w:r>
              <w:rPr>
                <w:sz w:val="20"/>
                <w:szCs w:val="20"/>
                <w:lang w:val="en-GB"/>
              </w:rPr>
              <w:t>5.28</w:t>
            </w:r>
          </w:p>
        </w:tc>
        <w:tc>
          <w:tcPr>
            <w:tcW w:w="1417" w:type="dxa"/>
            <w:tcBorders>
              <w:top w:val="nil"/>
              <w:left w:val="nil"/>
              <w:bottom w:val="nil"/>
              <w:right w:val="nil"/>
            </w:tcBorders>
          </w:tcPr>
          <w:p w14:paraId="4E3FBF28" w14:textId="35A5758B" w:rsidR="00FA2079" w:rsidRPr="00D712DE" w:rsidRDefault="00822226" w:rsidP="004C6016">
            <w:pPr>
              <w:tabs>
                <w:tab w:val="decimal" w:pos="1451"/>
              </w:tabs>
              <w:rPr>
                <w:sz w:val="20"/>
                <w:szCs w:val="20"/>
                <w:lang w:val="en-GB"/>
              </w:rPr>
            </w:pPr>
            <w:r>
              <w:rPr>
                <w:sz w:val="20"/>
                <w:szCs w:val="20"/>
                <w:lang w:val="en-GB"/>
              </w:rPr>
              <w:t>17.93</w:t>
            </w:r>
          </w:p>
        </w:tc>
        <w:tc>
          <w:tcPr>
            <w:tcW w:w="992" w:type="dxa"/>
            <w:tcBorders>
              <w:top w:val="nil"/>
              <w:left w:val="nil"/>
              <w:bottom w:val="nil"/>
            </w:tcBorders>
          </w:tcPr>
          <w:p w14:paraId="7E953D2A" w14:textId="084E1730"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{"citationID":"4jhIxpYE","properties":{"formattedCitation":"\\super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5E84F9EF" w14:textId="77777777" w:rsidTr="002F194E">
        <w:tc>
          <w:tcPr>
            <w:tcW w:w="2269" w:type="dxa"/>
            <w:tcBorders>
              <w:top w:val="nil"/>
              <w:bottom w:val="nil"/>
              <w:right w:val="nil"/>
            </w:tcBorders>
          </w:tcPr>
          <w:p w14:paraId="676C13D8"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38423B7B" w14:textId="593FF14B" w:rsidR="00FA2079" w:rsidRPr="00D712DE" w:rsidRDefault="00FA2079" w:rsidP="004C6016">
            <w:pPr>
              <w:rPr>
                <w:sz w:val="20"/>
                <w:szCs w:val="20"/>
                <w:lang w:val="en-GB"/>
              </w:rPr>
            </w:pPr>
            <w:r w:rsidRPr="00D712DE">
              <w:rPr>
                <w:sz w:val="20"/>
                <w:szCs w:val="20"/>
                <w:lang w:val="en-GB"/>
              </w:rPr>
              <w:t>*4x2</w:t>
            </w:r>
          </w:p>
        </w:tc>
        <w:tc>
          <w:tcPr>
            <w:tcW w:w="1701" w:type="dxa"/>
            <w:tcBorders>
              <w:top w:val="nil"/>
              <w:left w:val="nil"/>
              <w:bottom w:val="nil"/>
              <w:right w:val="nil"/>
            </w:tcBorders>
          </w:tcPr>
          <w:p w14:paraId="5FF0BABE" w14:textId="0F3909E4" w:rsidR="00FA2079" w:rsidRPr="00D712DE" w:rsidRDefault="00FA2079" w:rsidP="004C6016">
            <w:pPr>
              <w:tabs>
                <w:tab w:val="decimal" w:pos="1310"/>
              </w:tabs>
              <w:rPr>
                <w:sz w:val="20"/>
                <w:szCs w:val="20"/>
                <w:lang w:val="en-GB"/>
              </w:rPr>
            </w:pPr>
            <w:r>
              <w:rPr>
                <w:sz w:val="20"/>
                <w:szCs w:val="20"/>
                <w:lang w:val="en-GB"/>
              </w:rPr>
              <w:t>0.35</w:t>
            </w:r>
          </w:p>
        </w:tc>
        <w:tc>
          <w:tcPr>
            <w:tcW w:w="1417" w:type="dxa"/>
            <w:tcBorders>
              <w:top w:val="nil"/>
              <w:left w:val="nil"/>
              <w:bottom w:val="nil"/>
              <w:right w:val="nil"/>
            </w:tcBorders>
          </w:tcPr>
          <w:p w14:paraId="3138FBCB" w14:textId="1369F3C9" w:rsidR="00FA2079" w:rsidRPr="00D712DE" w:rsidRDefault="00822226" w:rsidP="004C6016">
            <w:pPr>
              <w:tabs>
                <w:tab w:val="decimal" w:pos="1451"/>
              </w:tabs>
              <w:rPr>
                <w:sz w:val="20"/>
                <w:szCs w:val="20"/>
                <w:lang w:val="en-GB"/>
              </w:rPr>
            </w:pPr>
            <w:r>
              <w:rPr>
                <w:sz w:val="20"/>
                <w:szCs w:val="20"/>
                <w:lang w:val="en-GB"/>
              </w:rPr>
              <w:t>0.28</w:t>
            </w:r>
          </w:p>
        </w:tc>
        <w:tc>
          <w:tcPr>
            <w:tcW w:w="992" w:type="dxa"/>
            <w:tcBorders>
              <w:top w:val="nil"/>
              <w:left w:val="nil"/>
              <w:bottom w:val="nil"/>
            </w:tcBorders>
          </w:tcPr>
          <w:p w14:paraId="72205C61" w14:textId="08109B1A"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{"citationID":"MMhiofb9","properties":{"formattedCitation":"\\super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664062DB" w14:textId="77777777" w:rsidTr="002F194E">
        <w:tc>
          <w:tcPr>
            <w:tcW w:w="2269" w:type="dxa"/>
            <w:tcBorders>
              <w:top w:val="nil"/>
              <w:bottom w:val="nil"/>
              <w:right w:val="nil"/>
            </w:tcBorders>
          </w:tcPr>
          <w:p w14:paraId="4A45302B"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5B55C6FF" w14:textId="2CDF38E1" w:rsidR="00FA2079" w:rsidRPr="00D712DE" w:rsidRDefault="00FA2079" w:rsidP="004C6016">
            <w:pPr>
              <w:rPr>
                <w:sz w:val="20"/>
                <w:szCs w:val="20"/>
                <w:lang w:val="en-GB"/>
              </w:rPr>
            </w:pPr>
            <w:r w:rsidRPr="00D712DE">
              <w:rPr>
                <w:sz w:val="20"/>
                <w:szCs w:val="20"/>
                <w:lang w:val="en-GB"/>
              </w:rPr>
              <w:t>*4M</w:t>
            </w:r>
          </w:p>
        </w:tc>
        <w:tc>
          <w:tcPr>
            <w:tcW w:w="1701" w:type="dxa"/>
            <w:tcBorders>
              <w:top w:val="nil"/>
              <w:left w:val="nil"/>
              <w:bottom w:val="nil"/>
              <w:right w:val="nil"/>
            </w:tcBorders>
          </w:tcPr>
          <w:p w14:paraId="04C01BA0" w14:textId="35DF4040" w:rsidR="00FA2079" w:rsidRPr="00D712DE" w:rsidRDefault="00FA2079" w:rsidP="004C6016">
            <w:pPr>
              <w:tabs>
                <w:tab w:val="decimal" w:pos="1310"/>
              </w:tabs>
              <w:rPr>
                <w:sz w:val="20"/>
                <w:szCs w:val="20"/>
                <w:lang w:val="en-GB"/>
              </w:rPr>
            </w:pPr>
            <w:r>
              <w:rPr>
                <w:sz w:val="20"/>
                <w:szCs w:val="20"/>
                <w:lang w:val="en-GB"/>
              </w:rPr>
              <w:t>0.70</w:t>
            </w:r>
          </w:p>
        </w:tc>
        <w:tc>
          <w:tcPr>
            <w:tcW w:w="1417" w:type="dxa"/>
            <w:tcBorders>
              <w:top w:val="nil"/>
              <w:left w:val="nil"/>
              <w:bottom w:val="nil"/>
              <w:right w:val="nil"/>
            </w:tcBorders>
          </w:tcPr>
          <w:p w14:paraId="58F08DAF" w14:textId="62BA1F7D" w:rsidR="00FA2079" w:rsidRPr="00D712DE" w:rsidRDefault="00822226"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1F785422" w14:textId="45FBAC32" w:rsidR="00FA2079" w:rsidRPr="00D712DE" w:rsidRDefault="00FA2079" w:rsidP="002F194E">
            <w:pPr>
              <w:jc w:val="center"/>
              <w:rPr>
                <w:sz w:val="20"/>
                <w:szCs w:val="20"/>
                <w:lang w:val="en-GB"/>
              </w:rPr>
            </w:pPr>
          </w:p>
        </w:tc>
      </w:tr>
      <w:tr w:rsidR="00045285" w:rsidRPr="00D712DE" w14:paraId="19D311E0" w14:textId="77777777" w:rsidTr="002F194E">
        <w:tc>
          <w:tcPr>
            <w:tcW w:w="2269" w:type="dxa"/>
            <w:tcBorders>
              <w:top w:val="nil"/>
              <w:bottom w:val="nil"/>
              <w:right w:val="nil"/>
            </w:tcBorders>
          </w:tcPr>
          <w:p w14:paraId="70B1BB2E"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6D66B843" w14:textId="31ADA147" w:rsidR="00FA2079" w:rsidRPr="00D712DE" w:rsidRDefault="00FA2079" w:rsidP="004C6016">
            <w:pPr>
              <w:rPr>
                <w:sz w:val="20"/>
                <w:szCs w:val="20"/>
                <w:lang w:val="en-GB"/>
              </w:rPr>
            </w:pPr>
            <w:r w:rsidRPr="00D712DE">
              <w:rPr>
                <w:sz w:val="20"/>
                <w:szCs w:val="20"/>
                <w:lang w:val="en-GB"/>
              </w:rPr>
              <w:t>*5</w:t>
            </w:r>
          </w:p>
        </w:tc>
        <w:tc>
          <w:tcPr>
            <w:tcW w:w="1701" w:type="dxa"/>
            <w:tcBorders>
              <w:top w:val="nil"/>
              <w:left w:val="nil"/>
              <w:bottom w:val="nil"/>
              <w:right w:val="nil"/>
            </w:tcBorders>
          </w:tcPr>
          <w:p w14:paraId="18B7D98E" w14:textId="258C50C5" w:rsidR="00FA2079" w:rsidRPr="00D712DE" w:rsidRDefault="00FA2079" w:rsidP="004C6016">
            <w:pPr>
              <w:tabs>
                <w:tab w:val="decimal" w:pos="1310"/>
              </w:tabs>
              <w:rPr>
                <w:sz w:val="20"/>
                <w:szCs w:val="20"/>
                <w:lang w:val="en-GB"/>
              </w:rPr>
            </w:pPr>
            <w:r>
              <w:rPr>
                <w:sz w:val="20"/>
                <w:szCs w:val="20"/>
                <w:lang w:val="en-GB"/>
              </w:rPr>
              <w:t>3.52</w:t>
            </w:r>
          </w:p>
        </w:tc>
        <w:tc>
          <w:tcPr>
            <w:tcW w:w="1417" w:type="dxa"/>
            <w:tcBorders>
              <w:top w:val="nil"/>
              <w:left w:val="nil"/>
              <w:bottom w:val="nil"/>
              <w:right w:val="nil"/>
            </w:tcBorders>
          </w:tcPr>
          <w:p w14:paraId="6021CFC3" w14:textId="042885E8" w:rsidR="00FA2079" w:rsidRPr="00D712DE" w:rsidRDefault="00822226" w:rsidP="004C6016">
            <w:pPr>
              <w:tabs>
                <w:tab w:val="decimal" w:pos="1451"/>
              </w:tabs>
              <w:rPr>
                <w:sz w:val="20"/>
                <w:szCs w:val="20"/>
                <w:lang w:val="en-GB"/>
              </w:rPr>
            </w:pPr>
            <w:r>
              <w:rPr>
                <w:sz w:val="20"/>
                <w:szCs w:val="20"/>
                <w:lang w:val="en-GB"/>
              </w:rPr>
              <w:t>2.65</w:t>
            </w:r>
          </w:p>
        </w:tc>
        <w:tc>
          <w:tcPr>
            <w:tcW w:w="992" w:type="dxa"/>
            <w:tcBorders>
              <w:top w:val="nil"/>
              <w:left w:val="nil"/>
              <w:bottom w:val="nil"/>
            </w:tcBorders>
          </w:tcPr>
          <w:p w14:paraId="0C2C4801" w14:textId="584D661C"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{"citationID":"eiCz7ud1","properties":{"formattedCitation":"\\super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4B1A87B1" w14:textId="77777777" w:rsidTr="002F194E">
        <w:tc>
          <w:tcPr>
            <w:tcW w:w="2269" w:type="dxa"/>
            <w:tcBorders>
              <w:top w:val="nil"/>
              <w:bottom w:val="nil"/>
              <w:right w:val="nil"/>
            </w:tcBorders>
          </w:tcPr>
          <w:p w14:paraId="23AE8A83"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7A047F01" w14:textId="156D2049" w:rsidR="00FA2079" w:rsidRPr="00D712DE" w:rsidRDefault="00FA2079" w:rsidP="004C6016">
            <w:pPr>
              <w:rPr>
                <w:sz w:val="20"/>
                <w:szCs w:val="20"/>
                <w:lang w:val="en-GB"/>
              </w:rPr>
            </w:pPr>
            <w:r>
              <w:rPr>
                <w:sz w:val="20"/>
                <w:szCs w:val="20"/>
                <w:lang w:val="en-GB"/>
              </w:rPr>
              <w:t>*6</w:t>
            </w:r>
          </w:p>
        </w:tc>
        <w:tc>
          <w:tcPr>
            <w:tcW w:w="1701" w:type="dxa"/>
            <w:tcBorders>
              <w:top w:val="nil"/>
              <w:left w:val="nil"/>
              <w:bottom w:val="nil"/>
              <w:right w:val="nil"/>
            </w:tcBorders>
          </w:tcPr>
          <w:p w14:paraId="19894B24" w14:textId="1F6168CA" w:rsidR="00FA2079" w:rsidRDefault="00164BA2"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43146EA2" w14:textId="65C6C51F" w:rsidR="00FA2079" w:rsidRPr="00D712DE" w:rsidRDefault="00822226" w:rsidP="004C6016">
            <w:pPr>
              <w:tabs>
                <w:tab w:val="decimal" w:pos="1451"/>
              </w:tabs>
              <w:rPr>
                <w:sz w:val="20"/>
                <w:szCs w:val="20"/>
                <w:lang w:val="en-GB"/>
              </w:rPr>
            </w:pPr>
            <w:r>
              <w:rPr>
                <w:sz w:val="20"/>
                <w:szCs w:val="20"/>
                <w:lang w:val="en-GB"/>
              </w:rPr>
              <w:t>0.92</w:t>
            </w:r>
          </w:p>
        </w:tc>
        <w:tc>
          <w:tcPr>
            <w:tcW w:w="992" w:type="dxa"/>
            <w:tcBorders>
              <w:top w:val="nil"/>
              <w:left w:val="nil"/>
              <w:bottom w:val="nil"/>
            </w:tcBorders>
          </w:tcPr>
          <w:p w14:paraId="01E50C6E" w14:textId="0106AFEA"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{"citationID":"qCmQlNIT","properties":{"formattedCitation":"\\super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110BAD8C" w14:textId="77777777" w:rsidTr="002F194E">
        <w:tc>
          <w:tcPr>
            <w:tcW w:w="2269" w:type="dxa"/>
            <w:tcBorders>
              <w:top w:val="nil"/>
              <w:bottom w:val="nil"/>
              <w:right w:val="nil"/>
            </w:tcBorders>
          </w:tcPr>
          <w:p w14:paraId="71108363"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218D59FD" w14:textId="0A52BCD0" w:rsidR="00FA2079" w:rsidRDefault="00FA2079" w:rsidP="004C6016">
            <w:pPr>
              <w:rPr>
                <w:sz w:val="20"/>
                <w:szCs w:val="20"/>
                <w:lang w:val="en-GB"/>
              </w:rPr>
            </w:pPr>
            <w:r>
              <w:rPr>
                <w:sz w:val="20"/>
                <w:szCs w:val="20"/>
                <w:lang w:val="en-GB"/>
              </w:rPr>
              <w:t>*7</w:t>
            </w:r>
          </w:p>
        </w:tc>
        <w:tc>
          <w:tcPr>
            <w:tcW w:w="1701" w:type="dxa"/>
            <w:tcBorders>
              <w:top w:val="nil"/>
              <w:left w:val="nil"/>
              <w:bottom w:val="nil"/>
              <w:right w:val="nil"/>
            </w:tcBorders>
          </w:tcPr>
          <w:p w14:paraId="46C1FD7A" w14:textId="76FDC653" w:rsidR="00FA2079" w:rsidRDefault="00164BA2"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1B25FE80" w14:textId="2E70AB85" w:rsidR="00FA2079" w:rsidRPr="00D712DE" w:rsidRDefault="00822226" w:rsidP="004C6016">
            <w:pPr>
              <w:tabs>
                <w:tab w:val="decimal" w:pos="1451"/>
              </w:tabs>
              <w:rPr>
                <w:sz w:val="20"/>
                <w:szCs w:val="20"/>
                <w:lang w:val="en-GB"/>
              </w:rPr>
            </w:pPr>
            <w:r>
              <w:rPr>
                <w:sz w:val="20"/>
                <w:szCs w:val="20"/>
                <w:lang w:val="en-GB"/>
              </w:rPr>
              <w:t>0.07</w:t>
            </w:r>
          </w:p>
        </w:tc>
        <w:tc>
          <w:tcPr>
            <w:tcW w:w="992" w:type="dxa"/>
            <w:tcBorders>
              <w:top w:val="nil"/>
              <w:left w:val="nil"/>
              <w:bottom w:val="nil"/>
            </w:tcBorders>
          </w:tcPr>
          <w:p w14:paraId="1BA12B6D" w14:textId="7EDDD1E3"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{"citationID":"PemXi8LV","properties":{"formattedCitation":"\\super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46B51652" w14:textId="77777777" w:rsidTr="002F194E">
        <w:tc>
          <w:tcPr>
            <w:tcW w:w="2269" w:type="dxa"/>
            <w:tcBorders>
              <w:top w:val="nil"/>
              <w:bottom w:val="nil"/>
              <w:right w:val="nil"/>
            </w:tcBorders>
          </w:tcPr>
          <w:p w14:paraId="4EF8874B"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2F6B3A97" w14:textId="201836DA" w:rsidR="00FA2079" w:rsidRPr="00D712DE" w:rsidRDefault="00FA2079" w:rsidP="004C6016">
            <w:pPr>
              <w:rPr>
                <w:sz w:val="20"/>
                <w:szCs w:val="20"/>
                <w:lang w:val="en-GB"/>
              </w:rPr>
            </w:pPr>
            <w:r w:rsidRPr="00D712DE">
              <w:rPr>
                <w:sz w:val="20"/>
                <w:szCs w:val="20"/>
                <w:lang w:val="en-GB"/>
              </w:rPr>
              <w:t>*9</w:t>
            </w:r>
          </w:p>
        </w:tc>
        <w:tc>
          <w:tcPr>
            <w:tcW w:w="1701" w:type="dxa"/>
            <w:tcBorders>
              <w:top w:val="nil"/>
              <w:left w:val="nil"/>
              <w:bottom w:val="nil"/>
              <w:right w:val="nil"/>
            </w:tcBorders>
          </w:tcPr>
          <w:p w14:paraId="3FB36D60" w14:textId="04884975" w:rsidR="00FA2079" w:rsidRPr="00D712DE" w:rsidRDefault="00FA2079" w:rsidP="004C6016">
            <w:pPr>
              <w:tabs>
                <w:tab w:val="decimal" w:pos="1310"/>
              </w:tabs>
              <w:rPr>
                <w:sz w:val="20"/>
                <w:szCs w:val="20"/>
                <w:lang w:val="en-GB"/>
              </w:rPr>
            </w:pPr>
            <w:r>
              <w:rPr>
                <w:sz w:val="20"/>
                <w:szCs w:val="20"/>
                <w:lang w:val="en-GB"/>
              </w:rPr>
              <w:t>1.76</w:t>
            </w:r>
          </w:p>
        </w:tc>
        <w:tc>
          <w:tcPr>
            <w:tcW w:w="1417" w:type="dxa"/>
            <w:tcBorders>
              <w:top w:val="nil"/>
              <w:left w:val="nil"/>
              <w:bottom w:val="nil"/>
              <w:right w:val="nil"/>
            </w:tcBorders>
          </w:tcPr>
          <w:p w14:paraId="6177D064" w14:textId="2D79DBB2" w:rsidR="00FA2079" w:rsidRPr="00D712DE" w:rsidRDefault="00822226" w:rsidP="004C6016">
            <w:pPr>
              <w:tabs>
                <w:tab w:val="decimal" w:pos="1451"/>
              </w:tabs>
              <w:rPr>
                <w:sz w:val="20"/>
                <w:szCs w:val="20"/>
                <w:lang w:val="en-GB"/>
              </w:rPr>
            </w:pPr>
            <w:r>
              <w:rPr>
                <w:sz w:val="20"/>
                <w:szCs w:val="20"/>
                <w:lang w:val="en-GB"/>
              </w:rPr>
              <w:t>2.03</w:t>
            </w:r>
          </w:p>
        </w:tc>
        <w:tc>
          <w:tcPr>
            <w:tcW w:w="992" w:type="dxa"/>
            <w:tcBorders>
              <w:top w:val="nil"/>
              <w:left w:val="nil"/>
              <w:bottom w:val="nil"/>
            </w:tcBorders>
          </w:tcPr>
          <w:p w14:paraId="4C828856" w14:textId="44648EAD"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{"citationID":"oU0bW02j","properties":{"formattedCitation":"\\super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77BFED68" w14:textId="77777777" w:rsidTr="002F194E">
        <w:tc>
          <w:tcPr>
            <w:tcW w:w="2269" w:type="dxa"/>
            <w:tcBorders>
              <w:top w:val="nil"/>
              <w:bottom w:val="nil"/>
              <w:right w:val="nil"/>
            </w:tcBorders>
          </w:tcPr>
          <w:p w14:paraId="0AEE89EF"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7C2E519D" w14:textId="6E40864F" w:rsidR="00FA2079" w:rsidRPr="002F6F45" w:rsidRDefault="00FA2079" w:rsidP="004C6016">
            <w:pPr>
              <w:rPr>
                <w:sz w:val="20"/>
                <w:szCs w:val="20"/>
                <w:vertAlign w:val="superscript"/>
                <w:lang w:val="en-GB"/>
              </w:rPr>
            </w:pPr>
            <w:r w:rsidRPr="00D712DE">
              <w:rPr>
                <w:sz w:val="20"/>
                <w:szCs w:val="20"/>
                <w:lang w:val="en-GB"/>
              </w:rPr>
              <w:t>*10</w:t>
            </w:r>
            <w:r>
              <w:rPr>
                <w:sz w:val="20"/>
                <w:szCs w:val="20"/>
                <w:lang w:val="en-GB"/>
              </w:rPr>
              <w:t xml:space="preserve"> </w:t>
            </w:r>
            <w:r w:rsidR="00045285">
              <w:rPr>
                <w:sz w:val="20"/>
                <w:szCs w:val="20"/>
                <w:vertAlign w:val="superscript"/>
                <w:lang w:val="en-GB"/>
              </w:rPr>
              <w:t>b</w:t>
            </w:r>
          </w:p>
        </w:tc>
        <w:tc>
          <w:tcPr>
            <w:tcW w:w="1701" w:type="dxa"/>
            <w:tcBorders>
              <w:top w:val="nil"/>
              <w:left w:val="nil"/>
              <w:bottom w:val="nil"/>
              <w:right w:val="nil"/>
            </w:tcBorders>
          </w:tcPr>
          <w:p w14:paraId="17FDF24B" w14:textId="186B511D" w:rsidR="00FA2079" w:rsidRPr="00D712DE" w:rsidRDefault="00FA2079" w:rsidP="004C6016">
            <w:pPr>
              <w:tabs>
                <w:tab w:val="decimal" w:pos="1310"/>
              </w:tabs>
              <w:rPr>
                <w:sz w:val="20"/>
                <w:szCs w:val="20"/>
                <w:lang w:val="en-GB"/>
              </w:rPr>
            </w:pPr>
            <w:r>
              <w:rPr>
                <w:sz w:val="20"/>
                <w:szCs w:val="20"/>
                <w:lang w:val="en-GB"/>
              </w:rPr>
              <w:t>1.06</w:t>
            </w:r>
          </w:p>
        </w:tc>
        <w:tc>
          <w:tcPr>
            <w:tcW w:w="1417" w:type="dxa"/>
            <w:tcBorders>
              <w:top w:val="nil"/>
              <w:left w:val="nil"/>
              <w:bottom w:val="nil"/>
              <w:right w:val="nil"/>
            </w:tcBorders>
          </w:tcPr>
          <w:p w14:paraId="0444DD46" w14:textId="093295A8" w:rsidR="00FA2079" w:rsidRPr="00D712DE" w:rsidRDefault="00822226" w:rsidP="004C6016">
            <w:pPr>
              <w:tabs>
                <w:tab w:val="decimal" w:pos="1451"/>
              </w:tabs>
              <w:rPr>
                <w:sz w:val="20"/>
                <w:szCs w:val="20"/>
                <w:lang w:val="en-GB"/>
              </w:rPr>
            </w:pPr>
            <w:r>
              <w:rPr>
                <w:sz w:val="20"/>
                <w:szCs w:val="20"/>
                <w:lang w:val="en-GB"/>
              </w:rPr>
              <w:t>2.32</w:t>
            </w:r>
          </w:p>
        </w:tc>
        <w:tc>
          <w:tcPr>
            <w:tcW w:w="992" w:type="dxa"/>
            <w:tcBorders>
              <w:top w:val="nil"/>
              <w:left w:val="nil"/>
              <w:bottom w:val="nil"/>
            </w:tcBorders>
          </w:tcPr>
          <w:p w14:paraId="60E9787B" w14:textId="6CC2A62A"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{"citationID":"MFSeOZEe","properties":{"formattedCitation":"\\super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4C31FD4D" w14:textId="77777777" w:rsidTr="002F194E">
        <w:tc>
          <w:tcPr>
            <w:tcW w:w="2269" w:type="dxa"/>
            <w:tcBorders>
              <w:top w:val="nil"/>
              <w:bottom w:val="nil"/>
              <w:right w:val="nil"/>
            </w:tcBorders>
          </w:tcPr>
          <w:p w14:paraId="4BED0A2A" w14:textId="57818EE5" w:rsidR="00FA2079" w:rsidRPr="00D712DE" w:rsidRDefault="00FA2079" w:rsidP="004C6016">
            <w:pPr>
              <w:rPr>
                <w:i/>
                <w:sz w:val="20"/>
                <w:szCs w:val="20"/>
                <w:lang w:val="en-GB"/>
              </w:rPr>
            </w:pPr>
          </w:p>
        </w:tc>
        <w:tc>
          <w:tcPr>
            <w:tcW w:w="3402" w:type="dxa"/>
            <w:tcBorders>
              <w:top w:val="nil"/>
              <w:left w:val="nil"/>
              <w:bottom w:val="nil"/>
              <w:right w:val="nil"/>
            </w:tcBorders>
          </w:tcPr>
          <w:p w14:paraId="5FABC4B3" w14:textId="793DAF3A" w:rsidR="00FA2079" w:rsidRPr="00D712DE" w:rsidRDefault="00FA2079" w:rsidP="004C6016">
            <w:pPr>
              <w:rPr>
                <w:sz w:val="20"/>
                <w:szCs w:val="20"/>
                <w:lang w:val="en-GB"/>
              </w:rPr>
            </w:pPr>
            <w:r>
              <w:rPr>
                <w:sz w:val="20"/>
                <w:szCs w:val="20"/>
                <w:lang w:val="en-GB"/>
              </w:rPr>
              <w:t>*12</w:t>
            </w:r>
          </w:p>
        </w:tc>
        <w:tc>
          <w:tcPr>
            <w:tcW w:w="1701" w:type="dxa"/>
            <w:tcBorders>
              <w:top w:val="nil"/>
              <w:left w:val="nil"/>
              <w:bottom w:val="nil"/>
              <w:right w:val="nil"/>
            </w:tcBorders>
          </w:tcPr>
          <w:p w14:paraId="5BA5DFE4" w14:textId="12FAA369"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058B1801" w14:textId="2CE31B95" w:rsidR="00FA2079" w:rsidRPr="00D712DE" w:rsidRDefault="00822226" w:rsidP="004C6016">
            <w:pPr>
              <w:tabs>
                <w:tab w:val="decimal" w:pos="1451"/>
              </w:tabs>
              <w:rPr>
                <w:sz w:val="20"/>
                <w:szCs w:val="20"/>
                <w:lang w:val="en-GB"/>
              </w:rPr>
            </w:pPr>
            <w:r>
              <w:rPr>
                <w:sz w:val="20"/>
                <w:szCs w:val="20"/>
                <w:lang w:val="en-GB"/>
              </w:rPr>
              <w:t>0.01</w:t>
            </w:r>
          </w:p>
        </w:tc>
        <w:tc>
          <w:tcPr>
            <w:tcW w:w="992" w:type="dxa"/>
            <w:tcBorders>
              <w:top w:val="nil"/>
              <w:left w:val="nil"/>
              <w:bottom w:val="nil"/>
            </w:tcBorders>
          </w:tcPr>
          <w:p w14:paraId="4424A09A" w14:textId="455F7A67"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{"citationID":"nk0eC9mt","properties":{"formattedCitation":"\\super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4E60D475" w14:textId="77777777" w:rsidTr="002F194E">
        <w:tc>
          <w:tcPr>
            <w:tcW w:w="2269" w:type="dxa"/>
            <w:tcBorders>
              <w:top w:val="nil"/>
              <w:bottom w:val="nil"/>
              <w:right w:val="nil"/>
            </w:tcBorders>
          </w:tcPr>
          <w:p w14:paraId="6AF6561C" w14:textId="70F6370E" w:rsidR="00FA2079" w:rsidRPr="00D712DE" w:rsidRDefault="00FA2079" w:rsidP="004C6016">
            <w:pPr>
              <w:rPr>
                <w:i/>
                <w:sz w:val="20"/>
                <w:szCs w:val="20"/>
                <w:lang w:val="en-GB"/>
              </w:rPr>
            </w:pPr>
          </w:p>
        </w:tc>
        <w:tc>
          <w:tcPr>
            <w:tcW w:w="3402" w:type="dxa"/>
            <w:tcBorders>
              <w:top w:val="nil"/>
              <w:left w:val="nil"/>
              <w:bottom w:val="nil"/>
              <w:right w:val="nil"/>
            </w:tcBorders>
          </w:tcPr>
          <w:p w14:paraId="07525E65" w14:textId="7328C4F9" w:rsidR="00FA2079" w:rsidRDefault="00FA2079" w:rsidP="004C6016">
            <w:pPr>
              <w:rPr>
                <w:sz w:val="20"/>
                <w:szCs w:val="20"/>
                <w:lang w:val="en-GB"/>
              </w:rPr>
            </w:pPr>
            <w:r>
              <w:rPr>
                <w:sz w:val="20"/>
                <w:szCs w:val="20"/>
                <w:lang w:val="en-GB"/>
              </w:rPr>
              <w:t>*29</w:t>
            </w:r>
          </w:p>
        </w:tc>
        <w:tc>
          <w:tcPr>
            <w:tcW w:w="1701" w:type="dxa"/>
            <w:tcBorders>
              <w:top w:val="nil"/>
              <w:left w:val="nil"/>
              <w:bottom w:val="nil"/>
              <w:right w:val="nil"/>
            </w:tcBorders>
          </w:tcPr>
          <w:p w14:paraId="7DFC03A8" w14:textId="345BAC9E"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4825425C" w14:textId="31572386" w:rsidR="00FA2079" w:rsidRPr="00D712DE" w:rsidRDefault="00822226" w:rsidP="004C6016">
            <w:pPr>
              <w:tabs>
                <w:tab w:val="decimal" w:pos="1451"/>
              </w:tabs>
              <w:rPr>
                <w:sz w:val="20"/>
                <w:szCs w:val="20"/>
                <w:lang w:val="en-GB"/>
              </w:rPr>
            </w:pPr>
            <w:r>
              <w:rPr>
                <w:sz w:val="20"/>
                <w:szCs w:val="20"/>
                <w:lang w:val="en-GB"/>
              </w:rPr>
              <w:t>0.16</w:t>
            </w:r>
          </w:p>
        </w:tc>
        <w:tc>
          <w:tcPr>
            <w:tcW w:w="992" w:type="dxa"/>
            <w:tcBorders>
              <w:top w:val="nil"/>
              <w:left w:val="nil"/>
              <w:bottom w:val="nil"/>
            </w:tcBorders>
          </w:tcPr>
          <w:p w14:paraId="586FA6DA" w14:textId="4C94CEBC"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{"citationID":"lCK6OmgU","properties":{"formattedCitation":"\\super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2EFBF534" w14:textId="77777777" w:rsidTr="002F194E">
        <w:tc>
          <w:tcPr>
            <w:tcW w:w="2269" w:type="dxa"/>
            <w:tcBorders>
              <w:top w:val="nil"/>
              <w:bottom w:val="nil"/>
              <w:right w:val="nil"/>
            </w:tcBorders>
          </w:tcPr>
          <w:p w14:paraId="15986CE8"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1396AF1D" w14:textId="4709C4ED" w:rsidR="00FA2079" w:rsidRDefault="00FA2079" w:rsidP="004C6016">
            <w:pPr>
              <w:rPr>
                <w:sz w:val="20"/>
                <w:szCs w:val="20"/>
                <w:lang w:val="en-GB"/>
              </w:rPr>
            </w:pPr>
            <w:r>
              <w:rPr>
                <w:sz w:val="20"/>
                <w:szCs w:val="20"/>
                <w:lang w:val="en-GB"/>
              </w:rPr>
              <w:t>*36</w:t>
            </w:r>
          </w:p>
        </w:tc>
        <w:tc>
          <w:tcPr>
            <w:tcW w:w="1701" w:type="dxa"/>
            <w:tcBorders>
              <w:top w:val="nil"/>
              <w:left w:val="nil"/>
              <w:bottom w:val="nil"/>
              <w:right w:val="nil"/>
            </w:tcBorders>
          </w:tcPr>
          <w:p w14:paraId="16C8B32B" w14:textId="5CD49D06"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2C8E44F9" w14:textId="76FA98ED" w:rsidR="00FA2079" w:rsidRPr="00D712DE" w:rsidRDefault="00822226" w:rsidP="004C6016">
            <w:pPr>
              <w:tabs>
                <w:tab w:val="decimal" w:pos="1451"/>
              </w:tabs>
              <w:rPr>
                <w:sz w:val="20"/>
                <w:szCs w:val="20"/>
                <w:lang w:val="en-GB"/>
              </w:rPr>
            </w:pPr>
            <w:r>
              <w:rPr>
                <w:sz w:val="20"/>
                <w:szCs w:val="20"/>
                <w:lang w:val="en-GB"/>
              </w:rPr>
              <w:t>0</w:t>
            </w:r>
          </w:p>
        </w:tc>
        <w:tc>
          <w:tcPr>
            <w:tcW w:w="992" w:type="dxa"/>
            <w:tcBorders>
              <w:top w:val="nil"/>
              <w:left w:val="nil"/>
              <w:bottom w:val="nil"/>
            </w:tcBorders>
          </w:tcPr>
          <w:p w14:paraId="68F8E1D1" w14:textId="55257851"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{"citationID":"riBC4rQF","properties":{"formattedCitation":"\\super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41AE43CF" w14:textId="77777777" w:rsidTr="002F194E">
        <w:tc>
          <w:tcPr>
            <w:tcW w:w="2269" w:type="dxa"/>
            <w:tcBorders>
              <w:top w:val="nil"/>
              <w:bottom w:val="nil"/>
              <w:right w:val="nil"/>
            </w:tcBorders>
          </w:tcPr>
          <w:p w14:paraId="2CD75FB2"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5D7EEE74" w14:textId="4DCD437A" w:rsidR="00FA2079" w:rsidRPr="002F6F45" w:rsidRDefault="00FA2079" w:rsidP="004C6016">
            <w:pPr>
              <w:rPr>
                <w:sz w:val="20"/>
                <w:szCs w:val="20"/>
                <w:vertAlign w:val="superscript"/>
                <w:lang w:val="en-GB"/>
              </w:rPr>
            </w:pPr>
            <w:r>
              <w:rPr>
                <w:sz w:val="20"/>
                <w:szCs w:val="20"/>
                <w:lang w:val="en-GB"/>
              </w:rPr>
              <w:t xml:space="preserve">*41 </w:t>
            </w:r>
            <w:r w:rsidR="00045285">
              <w:rPr>
                <w:sz w:val="20"/>
                <w:szCs w:val="20"/>
                <w:vertAlign w:val="superscript"/>
                <w:lang w:val="en-GB"/>
              </w:rPr>
              <w:t>b</w:t>
            </w:r>
          </w:p>
        </w:tc>
        <w:tc>
          <w:tcPr>
            <w:tcW w:w="1701" w:type="dxa"/>
            <w:tcBorders>
              <w:top w:val="nil"/>
              <w:left w:val="nil"/>
              <w:bottom w:val="nil"/>
              <w:right w:val="nil"/>
            </w:tcBorders>
          </w:tcPr>
          <w:p w14:paraId="698EBA38" w14:textId="39BAE767"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238AEDA2" w14:textId="09AD7113" w:rsidR="00FA2079" w:rsidRPr="00D712DE" w:rsidRDefault="00822226" w:rsidP="004C6016">
            <w:pPr>
              <w:tabs>
                <w:tab w:val="decimal" w:pos="1451"/>
              </w:tabs>
              <w:rPr>
                <w:sz w:val="20"/>
                <w:szCs w:val="20"/>
                <w:lang w:val="en-GB"/>
              </w:rPr>
            </w:pPr>
            <w:r>
              <w:rPr>
                <w:sz w:val="20"/>
                <w:szCs w:val="20"/>
                <w:lang w:val="en-GB"/>
              </w:rPr>
              <w:t>8.88</w:t>
            </w:r>
          </w:p>
        </w:tc>
        <w:tc>
          <w:tcPr>
            <w:tcW w:w="992" w:type="dxa"/>
            <w:tcBorders>
              <w:top w:val="nil"/>
              <w:left w:val="nil"/>
              <w:bottom w:val="nil"/>
            </w:tcBorders>
          </w:tcPr>
          <w:p w14:paraId="23CB19EC" w14:textId="2FEE8878"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{"citationID":"xmx0Yk3e","properties":{"formattedCitation":"\\super 10\\nosupersub{}","plainCitation":"10","noteIndex":0},"citationItems":[{"id":138,"uris":["http://zotero.org/users/local/tKhEs3aL/items/PBU427GP"],"uri":["http://zotero.org/users/local/tKhEs3aL/items/PBU427GP"],"itemData":{"id":138,"type":"article-journal","container-title":"Clinical Pharmacology &amp; Therapeutics","DOI":"10.1038/clpt.2012.96","ISSN":"0009-9236, 1532-6535","issue":"4","journalAbbreviation":"Clin Pharmacol Ther","page":"414-417","source":"DOI.org (Crossref)","title":"Pharmacogenomics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10</w:t>
            </w:r>
            <w:r>
              <w:rPr>
                <w:sz w:val="20"/>
                <w:szCs w:val="20"/>
                <w:lang w:val="en-GB"/>
              </w:rPr>
              <w:fldChar w:fldCharType="end"/>
            </w:r>
          </w:p>
        </w:tc>
      </w:tr>
      <w:tr w:rsidR="00045285" w:rsidRPr="00D712DE" w14:paraId="30EAFD81" w14:textId="77777777" w:rsidTr="002F194E">
        <w:tc>
          <w:tcPr>
            <w:tcW w:w="2269" w:type="dxa"/>
            <w:tcBorders>
              <w:top w:val="nil"/>
              <w:bottom w:val="nil"/>
              <w:right w:val="nil"/>
            </w:tcBorders>
          </w:tcPr>
          <w:p w14:paraId="742FB66D"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657670CD" w14:textId="5F3979F1" w:rsidR="00FA2079" w:rsidRDefault="00FA2079" w:rsidP="004C6016">
            <w:pPr>
              <w:rPr>
                <w:sz w:val="20"/>
                <w:szCs w:val="20"/>
                <w:lang w:val="en-GB"/>
              </w:rPr>
            </w:pPr>
            <w:r>
              <w:rPr>
                <w:sz w:val="20"/>
                <w:szCs w:val="20"/>
                <w:lang w:val="en-GB"/>
              </w:rPr>
              <w:t>*69</w:t>
            </w:r>
          </w:p>
        </w:tc>
        <w:tc>
          <w:tcPr>
            <w:tcW w:w="1701" w:type="dxa"/>
            <w:tcBorders>
              <w:top w:val="nil"/>
              <w:left w:val="nil"/>
              <w:bottom w:val="nil"/>
              <w:right w:val="nil"/>
            </w:tcBorders>
          </w:tcPr>
          <w:p w14:paraId="0BD25665" w14:textId="1F1668B0"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1F492614" w14:textId="5DD79555" w:rsidR="00FA2079" w:rsidRPr="00D712DE" w:rsidRDefault="00822226"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54468862" w14:textId="77777777" w:rsidR="00FA2079" w:rsidRPr="00D712DE" w:rsidRDefault="00FA2079" w:rsidP="002F194E">
            <w:pPr>
              <w:jc w:val="center"/>
              <w:rPr>
                <w:sz w:val="20"/>
                <w:szCs w:val="20"/>
                <w:lang w:val="en-GB"/>
              </w:rPr>
            </w:pPr>
          </w:p>
        </w:tc>
      </w:tr>
      <w:tr w:rsidR="00045285" w:rsidRPr="00D712DE" w14:paraId="457C43C1" w14:textId="77777777" w:rsidTr="002F194E">
        <w:tc>
          <w:tcPr>
            <w:tcW w:w="2269" w:type="dxa"/>
            <w:tcBorders>
              <w:top w:val="nil"/>
              <w:bottom w:val="nil"/>
              <w:right w:val="nil"/>
            </w:tcBorders>
          </w:tcPr>
          <w:p w14:paraId="47C0CBBF"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4A554869" w14:textId="1548C954" w:rsidR="00FA2079" w:rsidRDefault="00FA2079" w:rsidP="004C6016">
            <w:pPr>
              <w:rPr>
                <w:sz w:val="20"/>
                <w:szCs w:val="20"/>
                <w:lang w:val="en-GB"/>
              </w:rPr>
            </w:pPr>
            <w:r>
              <w:rPr>
                <w:sz w:val="20"/>
                <w:szCs w:val="20"/>
                <w:lang w:val="en-GB"/>
              </w:rPr>
              <w:t>*109</w:t>
            </w:r>
          </w:p>
        </w:tc>
        <w:tc>
          <w:tcPr>
            <w:tcW w:w="1701" w:type="dxa"/>
            <w:tcBorders>
              <w:top w:val="nil"/>
              <w:left w:val="nil"/>
              <w:bottom w:val="nil"/>
              <w:right w:val="nil"/>
            </w:tcBorders>
          </w:tcPr>
          <w:p w14:paraId="44C7BECF" w14:textId="246057D6"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3DEFDCCC" w14:textId="3288B6E5" w:rsidR="00FA2079" w:rsidRPr="00D712DE" w:rsidRDefault="00822226"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35F65088" w14:textId="77777777" w:rsidR="00FA2079" w:rsidRPr="00D712DE" w:rsidRDefault="00FA2079" w:rsidP="002F194E">
            <w:pPr>
              <w:jc w:val="center"/>
              <w:rPr>
                <w:sz w:val="20"/>
                <w:szCs w:val="20"/>
                <w:lang w:val="en-GB"/>
              </w:rPr>
            </w:pPr>
          </w:p>
        </w:tc>
      </w:tr>
      <w:tr w:rsidR="00045285" w:rsidRPr="00D712DE" w14:paraId="6F05AA3E" w14:textId="77777777" w:rsidTr="002F194E">
        <w:tc>
          <w:tcPr>
            <w:tcW w:w="2269" w:type="dxa"/>
            <w:tcBorders>
              <w:top w:val="nil"/>
              <w:bottom w:val="nil"/>
              <w:right w:val="nil"/>
            </w:tcBorders>
          </w:tcPr>
          <w:p w14:paraId="48D48163"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1B747EDF" w14:textId="357BA41F" w:rsidR="00FA2079" w:rsidRPr="007300E5" w:rsidRDefault="00FA2079" w:rsidP="004C6016">
            <w:pPr>
              <w:rPr>
                <w:sz w:val="20"/>
                <w:szCs w:val="20"/>
                <w:vertAlign w:val="superscript"/>
                <w:lang w:val="en-GB"/>
              </w:rPr>
            </w:pPr>
            <w:r>
              <w:rPr>
                <w:sz w:val="20"/>
                <w:szCs w:val="20"/>
                <w:lang w:val="en-GB"/>
              </w:rPr>
              <w:t xml:space="preserve">Not conclusive (*1/*4 or *4M/*10) </w:t>
            </w:r>
            <w:r w:rsidR="00045285">
              <w:rPr>
                <w:sz w:val="20"/>
                <w:szCs w:val="20"/>
                <w:vertAlign w:val="superscript"/>
                <w:lang w:val="en-GB"/>
              </w:rPr>
              <w:t>c</w:t>
            </w:r>
          </w:p>
        </w:tc>
        <w:tc>
          <w:tcPr>
            <w:tcW w:w="1701" w:type="dxa"/>
            <w:tcBorders>
              <w:top w:val="nil"/>
              <w:left w:val="nil"/>
              <w:bottom w:val="nil"/>
              <w:right w:val="nil"/>
            </w:tcBorders>
          </w:tcPr>
          <w:p w14:paraId="5F33E490" w14:textId="4FB42723" w:rsidR="00FA2079" w:rsidRPr="00D712DE" w:rsidRDefault="00FA2079" w:rsidP="004C6016">
            <w:pPr>
              <w:tabs>
                <w:tab w:val="decimal" w:pos="1310"/>
              </w:tabs>
              <w:rPr>
                <w:sz w:val="20"/>
                <w:szCs w:val="20"/>
                <w:lang w:val="en-GB"/>
              </w:rPr>
            </w:pPr>
            <w:r>
              <w:rPr>
                <w:sz w:val="20"/>
                <w:szCs w:val="20"/>
                <w:lang w:val="en-GB"/>
              </w:rPr>
              <w:t>27.46</w:t>
            </w:r>
          </w:p>
        </w:tc>
        <w:tc>
          <w:tcPr>
            <w:tcW w:w="1417" w:type="dxa"/>
            <w:tcBorders>
              <w:top w:val="nil"/>
              <w:left w:val="nil"/>
              <w:bottom w:val="nil"/>
              <w:right w:val="nil"/>
            </w:tcBorders>
          </w:tcPr>
          <w:p w14:paraId="64D440F3" w14:textId="1BC313F2" w:rsidR="00FA2079" w:rsidRPr="00D712DE" w:rsidRDefault="00164BA2"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3DCCA5E9" w14:textId="77777777" w:rsidR="00FA2079" w:rsidRPr="00D712DE" w:rsidRDefault="00FA2079" w:rsidP="002F194E">
            <w:pPr>
              <w:jc w:val="center"/>
              <w:rPr>
                <w:sz w:val="20"/>
                <w:szCs w:val="20"/>
                <w:lang w:val="en-GB"/>
              </w:rPr>
            </w:pPr>
          </w:p>
        </w:tc>
      </w:tr>
      <w:tr w:rsidR="00045285" w:rsidRPr="00D712DE" w14:paraId="7CC644B5" w14:textId="77777777" w:rsidTr="002F194E">
        <w:tc>
          <w:tcPr>
            <w:tcW w:w="2269" w:type="dxa"/>
            <w:tcBorders>
              <w:top w:val="nil"/>
              <w:bottom w:val="nil"/>
              <w:right w:val="nil"/>
            </w:tcBorders>
          </w:tcPr>
          <w:p w14:paraId="6B5EE3AB"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3250F562" w14:textId="2CB82F3F" w:rsidR="00FA2079" w:rsidRPr="007300E5" w:rsidRDefault="00FA2079" w:rsidP="004C6016">
            <w:pPr>
              <w:rPr>
                <w:sz w:val="20"/>
                <w:szCs w:val="20"/>
                <w:vertAlign w:val="superscript"/>
                <w:lang w:val="en-GB"/>
              </w:rPr>
            </w:pPr>
            <w:r>
              <w:rPr>
                <w:sz w:val="20"/>
                <w:szCs w:val="20"/>
                <w:lang w:val="en-GB"/>
              </w:rPr>
              <w:t xml:space="preserve">Not conclusive (*4/*41 or *4M/*69) </w:t>
            </w:r>
            <w:r w:rsidR="00045285">
              <w:rPr>
                <w:sz w:val="20"/>
                <w:szCs w:val="20"/>
                <w:vertAlign w:val="superscript"/>
                <w:lang w:val="en-GB"/>
              </w:rPr>
              <w:t>c</w:t>
            </w:r>
          </w:p>
        </w:tc>
        <w:tc>
          <w:tcPr>
            <w:tcW w:w="1701" w:type="dxa"/>
            <w:tcBorders>
              <w:top w:val="nil"/>
              <w:left w:val="nil"/>
              <w:bottom w:val="nil"/>
              <w:right w:val="nil"/>
            </w:tcBorders>
          </w:tcPr>
          <w:p w14:paraId="66E2778E" w14:textId="517F0DDB" w:rsidR="00FA2079" w:rsidRPr="00D712DE" w:rsidRDefault="00FA2079" w:rsidP="004C6016">
            <w:pPr>
              <w:tabs>
                <w:tab w:val="decimal" w:pos="1310"/>
              </w:tabs>
              <w:rPr>
                <w:sz w:val="20"/>
                <w:szCs w:val="20"/>
                <w:lang w:val="en-GB"/>
              </w:rPr>
            </w:pPr>
            <w:r>
              <w:rPr>
                <w:sz w:val="20"/>
                <w:szCs w:val="20"/>
                <w:lang w:val="en-GB"/>
              </w:rPr>
              <w:t>2.11</w:t>
            </w:r>
          </w:p>
        </w:tc>
        <w:tc>
          <w:tcPr>
            <w:tcW w:w="1417" w:type="dxa"/>
            <w:tcBorders>
              <w:top w:val="nil"/>
              <w:left w:val="nil"/>
              <w:bottom w:val="nil"/>
              <w:right w:val="nil"/>
            </w:tcBorders>
          </w:tcPr>
          <w:p w14:paraId="19118351" w14:textId="25E0DEC4" w:rsidR="00FA2079" w:rsidRPr="00D712DE" w:rsidRDefault="00164BA2"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4FE77026" w14:textId="77777777" w:rsidR="00FA2079" w:rsidRPr="00D712DE" w:rsidRDefault="00FA2079" w:rsidP="002F194E">
            <w:pPr>
              <w:jc w:val="center"/>
              <w:rPr>
                <w:sz w:val="20"/>
                <w:szCs w:val="20"/>
                <w:lang w:val="en-GB"/>
              </w:rPr>
            </w:pPr>
          </w:p>
        </w:tc>
      </w:tr>
      <w:tr w:rsidR="00FA2079" w:rsidRPr="00D712DE" w14:paraId="1BFA5289" w14:textId="77777777" w:rsidTr="002F194E">
        <w:tc>
          <w:tcPr>
            <w:tcW w:w="2269" w:type="dxa"/>
            <w:tcBorders>
              <w:top w:val="nil"/>
              <w:bottom w:val="nil"/>
              <w:right w:val="nil"/>
            </w:tcBorders>
          </w:tcPr>
          <w:p w14:paraId="721FE755"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4CFA9BCB" w14:textId="6773F26D" w:rsidR="00FA2079" w:rsidRPr="007300E5" w:rsidRDefault="00FA2079" w:rsidP="004C6016">
            <w:pPr>
              <w:rPr>
                <w:sz w:val="20"/>
                <w:szCs w:val="20"/>
                <w:vertAlign w:val="superscript"/>
                <w:lang w:val="en-GB"/>
              </w:rPr>
            </w:pPr>
            <w:r>
              <w:rPr>
                <w:sz w:val="20"/>
                <w:szCs w:val="20"/>
                <w:lang w:val="en-GB"/>
              </w:rPr>
              <w:t xml:space="preserve">Not conclusive (*1/*10/*36) </w:t>
            </w:r>
            <w:r w:rsidR="00045285">
              <w:rPr>
                <w:sz w:val="20"/>
                <w:szCs w:val="20"/>
                <w:vertAlign w:val="superscript"/>
                <w:lang w:val="en-GB"/>
              </w:rPr>
              <w:t>d</w:t>
            </w:r>
          </w:p>
        </w:tc>
        <w:tc>
          <w:tcPr>
            <w:tcW w:w="1701" w:type="dxa"/>
            <w:tcBorders>
              <w:top w:val="nil"/>
              <w:left w:val="nil"/>
              <w:bottom w:val="single" w:sz="4" w:space="0" w:color="auto"/>
              <w:right w:val="nil"/>
            </w:tcBorders>
          </w:tcPr>
          <w:p w14:paraId="45379496" w14:textId="40D0D34F" w:rsidR="00FA2079" w:rsidRPr="00D712DE" w:rsidRDefault="00FA2079" w:rsidP="004C6016">
            <w:pPr>
              <w:tabs>
                <w:tab w:val="decimal" w:pos="1310"/>
              </w:tabs>
              <w:rPr>
                <w:sz w:val="20"/>
                <w:szCs w:val="20"/>
                <w:lang w:val="en-GB"/>
              </w:rPr>
            </w:pPr>
            <w:r>
              <w:rPr>
                <w:sz w:val="20"/>
                <w:szCs w:val="20"/>
                <w:lang w:val="en-GB"/>
              </w:rPr>
              <w:t>0.70</w:t>
            </w:r>
          </w:p>
        </w:tc>
        <w:tc>
          <w:tcPr>
            <w:tcW w:w="1417" w:type="dxa"/>
            <w:tcBorders>
              <w:top w:val="nil"/>
              <w:left w:val="nil"/>
              <w:bottom w:val="single" w:sz="4" w:space="0" w:color="auto"/>
              <w:right w:val="nil"/>
            </w:tcBorders>
          </w:tcPr>
          <w:p w14:paraId="004C102B" w14:textId="3ECED35B" w:rsidR="00FA2079" w:rsidRPr="00D712DE" w:rsidRDefault="00164BA2" w:rsidP="004C6016">
            <w:pPr>
              <w:tabs>
                <w:tab w:val="decimal" w:pos="1451"/>
              </w:tabs>
              <w:rPr>
                <w:sz w:val="20"/>
                <w:szCs w:val="20"/>
                <w:lang w:val="en-GB"/>
              </w:rPr>
            </w:pPr>
            <w:r>
              <w:rPr>
                <w:sz w:val="20"/>
                <w:szCs w:val="20"/>
                <w:lang w:val="en-GB"/>
              </w:rPr>
              <w:t>-</w:t>
            </w:r>
          </w:p>
        </w:tc>
        <w:tc>
          <w:tcPr>
            <w:tcW w:w="992" w:type="dxa"/>
            <w:tcBorders>
              <w:top w:val="nil"/>
              <w:left w:val="nil"/>
              <w:bottom w:val="single" w:sz="4" w:space="0" w:color="auto"/>
            </w:tcBorders>
          </w:tcPr>
          <w:p w14:paraId="0114F4A7" w14:textId="77777777" w:rsidR="00FA2079" w:rsidRPr="00D712DE" w:rsidRDefault="00FA2079" w:rsidP="002F194E">
            <w:pPr>
              <w:jc w:val="center"/>
              <w:rPr>
                <w:sz w:val="20"/>
                <w:szCs w:val="20"/>
                <w:lang w:val="en-GB"/>
              </w:rPr>
            </w:pPr>
          </w:p>
        </w:tc>
      </w:tr>
      <w:tr w:rsidR="00FA2079" w:rsidRPr="00D712DE" w14:paraId="6FA9D2CB" w14:textId="77777777" w:rsidTr="002F194E">
        <w:tc>
          <w:tcPr>
            <w:tcW w:w="2269" w:type="dxa"/>
            <w:tcBorders>
              <w:top w:val="nil"/>
              <w:bottom w:val="nil"/>
              <w:right w:val="nil"/>
            </w:tcBorders>
          </w:tcPr>
          <w:p w14:paraId="2AE0A8D7" w14:textId="77777777" w:rsidR="00FA2079" w:rsidRPr="00D712DE" w:rsidRDefault="00FA2079" w:rsidP="004C6016">
            <w:pPr>
              <w:rPr>
                <w:i/>
                <w:sz w:val="20"/>
                <w:szCs w:val="20"/>
                <w:lang w:val="en-GB"/>
              </w:rPr>
            </w:pPr>
          </w:p>
        </w:tc>
        <w:tc>
          <w:tcPr>
            <w:tcW w:w="3402" w:type="dxa"/>
            <w:tcBorders>
              <w:left w:val="nil"/>
              <w:bottom w:val="nil"/>
              <w:right w:val="nil"/>
            </w:tcBorders>
          </w:tcPr>
          <w:p w14:paraId="07BA135B" w14:textId="3F9D2F14" w:rsidR="00FA2079"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088535F8" w14:textId="3DA9A63C" w:rsidR="00FA2079" w:rsidRDefault="00FA2079" w:rsidP="004C6016">
            <w:pPr>
              <w:tabs>
                <w:tab w:val="decimal" w:pos="1310"/>
              </w:tabs>
              <w:rPr>
                <w:sz w:val="20"/>
                <w:szCs w:val="20"/>
                <w:lang w:val="en-GB"/>
              </w:rPr>
            </w:pPr>
            <w:r>
              <w:rPr>
                <w:sz w:val="20"/>
                <w:szCs w:val="20"/>
                <w:lang w:val="en-GB"/>
              </w:rPr>
              <w:t>7.75</w:t>
            </w:r>
          </w:p>
        </w:tc>
        <w:tc>
          <w:tcPr>
            <w:tcW w:w="1417" w:type="dxa"/>
            <w:tcBorders>
              <w:left w:val="nil"/>
              <w:bottom w:val="nil"/>
              <w:right w:val="nil"/>
            </w:tcBorders>
          </w:tcPr>
          <w:p w14:paraId="79742F80" w14:textId="34D5C0C9" w:rsidR="00FA2079" w:rsidRPr="00D712DE" w:rsidRDefault="00164BA2" w:rsidP="004C6016">
            <w:pPr>
              <w:tabs>
                <w:tab w:val="decimal" w:pos="1451"/>
              </w:tabs>
              <w:rPr>
                <w:sz w:val="20"/>
                <w:szCs w:val="20"/>
                <w:lang w:val="en-GB"/>
              </w:rPr>
            </w:pPr>
            <w:r>
              <w:rPr>
                <w:sz w:val="20"/>
                <w:szCs w:val="20"/>
                <w:lang w:val="en-GB"/>
              </w:rPr>
              <w:t>5.4–9</w:t>
            </w:r>
          </w:p>
        </w:tc>
        <w:tc>
          <w:tcPr>
            <w:tcW w:w="992" w:type="dxa"/>
            <w:tcBorders>
              <w:left w:val="nil"/>
              <w:bottom w:val="nil"/>
            </w:tcBorders>
          </w:tcPr>
          <w:p w14:paraId="794F3B7B" w14:textId="32B4E3DA" w:rsidR="00FA2079" w:rsidRPr="00D712DE" w:rsidRDefault="00822226"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{"citationID":"qQR86UQi","properties":{"formattedCitation":"\\super 11\\nosupersub{}","plainCitation":"11","noteIndex":0},"citationItems":[{"id":140,"uris":["http://zotero.org/users/local/tKhEs3aL/items/YX3UQW28"],"uri":["http://zotero.org/users/local/tKhEs3aL/items/YX3UQW28"],"itemData":{"id":140,"type":"article","language":"Dutch","title":"Algemene achtergrondtekst Farmacogenetica - CYP2D6","title-short":"Achtergrondtekst CYP2D6","author":[{"family":"Koninklijke Nederlandse Maatschappij ter bevordering der Pharmacie","given":""}],"accessed":{"date-parts":[["2020",9,11]]},"issued":{"date-parts":[["2020",2,21]]}}}],"schema":"https://github.com/citation-style-language/schema/raw/master/csl-citation.json"}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11</w:t>
            </w:r>
            <w:r>
              <w:rPr>
                <w:sz w:val="20"/>
                <w:szCs w:val="20"/>
                <w:lang w:val="en-GB"/>
              </w:rPr>
              <w:fldChar w:fldCharType="end"/>
            </w:r>
          </w:p>
        </w:tc>
      </w:tr>
      <w:tr w:rsidR="00FA2079" w:rsidRPr="00D712DE" w14:paraId="3F7701B1" w14:textId="77777777" w:rsidTr="002F194E">
        <w:tc>
          <w:tcPr>
            <w:tcW w:w="2269" w:type="dxa"/>
            <w:tcBorders>
              <w:top w:val="nil"/>
              <w:bottom w:val="nil"/>
              <w:right w:val="nil"/>
            </w:tcBorders>
          </w:tcPr>
          <w:p w14:paraId="0B5DACFE"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23C250E9" w14:textId="0C23FAA5" w:rsidR="00FA2079"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70A6BCCE" w14:textId="305B3047" w:rsidR="00FA2079" w:rsidRDefault="00FA2079" w:rsidP="004C6016">
            <w:pPr>
              <w:tabs>
                <w:tab w:val="decimal" w:pos="1310"/>
              </w:tabs>
              <w:rPr>
                <w:sz w:val="20"/>
                <w:szCs w:val="20"/>
                <w:lang w:val="en-GB"/>
              </w:rPr>
            </w:pPr>
            <w:r>
              <w:rPr>
                <w:sz w:val="20"/>
                <w:szCs w:val="20"/>
                <w:lang w:val="en-GB"/>
              </w:rPr>
              <w:t>40.14</w:t>
            </w:r>
          </w:p>
        </w:tc>
        <w:tc>
          <w:tcPr>
            <w:tcW w:w="1417" w:type="dxa"/>
            <w:tcBorders>
              <w:top w:val="nil"/>
              <w:left w:val="nil"/>
              <w:bottom w:val="nil"/>
              <w:right w:val="nil"/>
            </w:tcBorders>
          </w:tcPr>
          <w:p w14:paraId="47A61396" w14:textId="786BE198" w:rsidR="00FA2079" w:rsidRPr="00D712DE" w:rsidRDefault="00164BA2" w:rsidP="004C6016">
            <w:pPr>
              <w:tabs>
                <w:tab w:val="decimal" w:pos="1451"/>
              </w:tabs>
              <w:rPr>
                <w:sz w:val="20"/>
                <w:szCs w:val="20"/>
                <w:lang w:val="en-GB"/>
              </w:rPr>
            </w:pPr>
            <w:r>
              <w:rPr>
                <w:sz w:val="20"/>
                <w:szCs w:val="20"/>
                <w:lang w:val="en-GB"/>
              </w:rPr>
              <w:t>10–40</w:t>
            </w:r>
          </w:p>
        </w:tc>
        <w:tc>
          <w:tcPr>
            <w:tcW w:w="992" w:type="dxa"/>
            <w:tcBorders>
              <w:top w:val="nil"/>
              <w:left w:val="nil"/>
              <w:bottom w:val="nil"/>
            </w:tcBorders>
          </w:tcPr>
          <w:p w14:paraId="494A38EF" w14:textId="48FC809F" w:rsidR="00FA2079" w:rsidRPr="00D712DE" w:rsidRDefault="00822226" w:rsidP="002F194E">
            <w:pPr>
              <w:jc w:val="center"/>
              <w:rPr>
                <w:sz w:val="20"/>
                <w:szCs w:val="20"/>
                <w:lang w:val="en-GB"/>
              </w:rPr>
            </w:pPr>
            <w:r>
              <w:rPr>
                <w:sz w:val="20"/>
                <w:szCs w:val="20"/>
                <w:lang w:val="en-GB"/>
              </w:rPr>
              <w:fldChar w:fldCharType="begin"/>
            </w:r>
            <w:r w:rsidR="00C97933">
              <w:rPr>
                <w:sz w:val="20"/>
                <w:szCs w:val="20"/>
                <w:lang w:val="en-GB"/>
              </w:rPr>
              <w:instrText xml:space="preserve"> ADDIN ZOTERO_ITEM CSL_CITATION {"citationID":"MFdZp8QE","properties":{"formattedCitation":"\\super 11\\nosupersub{}","plainCitation":"11","noteIndex":0},"citationItems":[{"id":140,"uris":["http://zotero.org/users/local/tKhEs3aL/items/YX3UQW28"],"uri":["http://zotero.org/users/local/tKhEs3aL/items/YX3UQW28"],"itemData":{"id":140,"type":"article","language":"Dutch","title":"Algemene achtergrondtekst Farmacogenetica - CYP2D6","title-short":"Achtergrondtekst CYP2D6","author":[{"family":"Koninklijke Nederlandse Maatschappij ter bevordering der Pharmacie","given":""}],"accessed":{"date-parts":[["2020",9,11]]},"issued":{"date-parts":[["2020",2,21]]}}}],"schema":"https://github.com/citation-style-language/schema/raw/master/csl-citation.json"}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11</w:t>
            </w:r>
            <w:r>
              <w:rPr>
                <w:sz w:val="20"/>
                <w:szCs w:val="20"/>
                <w:lang w:val="en-GB"/>
              </w:rPr>
              <w:fldChar w:fldCharType="end"/>
            </w:r>
          </w:p>
        </w:tc>
      </w:tr>
      <w:tr w:rsidR="00FA2079" w:rsidRPr="00D712DE" w14:paraId="67DF0A0D" w14:textId="77777777" w:rsidTr="002F194E">
        <w:tc>
          <w:tcPr>
            <w:tcW w:w="2269" w:type="dxa"/>
            <w:tcBorders>
              <w:top w:val="nil"/>
              <w:bottom w:val="nil"/>
              <w:right w:val="nil"/>
            </w:tcBorders>
          </w:tcPr>
          <w:p w14:paraId="11481229"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14ED76D4" w14:textId="5B534064" w:rsidR="00FA2079" w:rsidRDefault="00FA2079" w:rsidP="004C6016">
            <w:pPr>
              <w:rPr>
                <w:sz w:val="20"/>
                <w:szCs w:val="20"/>
                <w:lang w:val="en-GB"/>
              </w:rPr>
            </w:pPr>
            <w:r w:rsidRPr="00D712DE">
              <w:rPr>
                <w:sz w:val="20"/>
                <w:szCs w:val="20"/>
                <w:lang w:val="en-GB"/>
              </w:rPr>
              <w:t>N</w:t>
            </w:r>
            <w:r>
              <w:rPr>
                <w:sz w:val="20"/>
                <w:szCs w:val="20"/>
                <w:lang w:val="en-GB"/>
              </w:rPr>
              <w:t>ormal Metaboliser</w:t>
            </w:r>
          </w:p>
        </w:tc>
        <w:tc>
          <w:tcPr>
            <w:tcW w:w="1701" w:type="dxa"/>
            <w:tcBorders>
              <w:top w:val="nil"/>
              <w:left w:val="nil"/>
              <w:bottom w:val="nil"/>
              <w:right w:val="nil"/>
            </w:tcBorders>
          </w:tcPr>
          <w:p w14:paraId="74F47060" w14:textId="3557DD86" w:rsidR="00FA2079" w:rsidRDefault="00FA2079" w:rsidP="004C6016">
            <w:pPr>
              <w:tabs>
                <w:tab w:val="decimal" w:pos="1310"/>
              </w:tabs>
              <w:rPr>
                <w:sz w:val="20"/>
                <w:szCs w:val="20"/>
                <w:lang w:val="en-GB"/>
              </w:rPr>
            </w:pPr>
            <w:r>
              <w:rPr>
                <w:sz w:val="20"/>
                <w:szCs w:val="20"/>
                <w:lang w:val="en-GB"/>
              </w:rPr>
              <w:t>51.41</w:t>
            </w:r>
          </w:p>
        </w:tc>
        <w:tc>
          <w:tcPr>
            <w:tcW w:w="1417" w:type="dxa"/>
            <w:tcBorders>
              <w:top w:val="nil"/>
              <w:left w:val="nil"/>
              <w:bottom w:val="nil"/>
              <w:right w:val="nil"/>
            </w:tcBorders>
          </w:tcPr>
          <w:p w14:paraId="608814C3" w14:textId="24582AE3" w:rsidR="00FA2079" w:rsidRPr="00D712DE" w:rsidRDefault="00164BA2" w:rsidP="004C6016">
            <w:pPr>
              <w:tabs>
                <w:tab w:val="decimal" w:pos="1451"/>
              </w:tabs>
              <w:rPr>
                <w:sz w:val="20"/>
                <w:szCs w:val="20"/>
                <w:lang w:val="en-GB"/>
              </w:rPr>
            </w:pPr>
            <w:r>
              <w:rPr>
                <w:sz w:val="20"/>
                <w:szCs w:val="20"/>
                <w:lang w:val="en-GB"/>
              </w:rPr>
              <w:t>80</w:t>
            </w:r>
          </w:p>
        </w:tc>
        <w:tc>
          <w:tcPr>
            <w:tcW w:w="992" w:type="dxa"/>
            <w:tcBorders>
              <w:top w:val="nil"/>
              <w:left w:val="nil"/>
              <w:bottom w:val="nil"/>
            </w:tcBorders>
          </w:tcPr>
          <w:p w14:paraId="5F916510" w14:textId="1FA931CD" w:rsidR="00FA2079" w:rsidRPr="00D712DE" w:rsidRDefault="00822226" w:rsidP="002F194E">
            <w:pPr>
              <w:jc w:val="center"/>
              <w:rPr>
                <w:sz w:val="20"/>
                <w:szCs w:val="20"/>
                <w:lang w:val="en-GB"/>
              </w:rPr>
            </w:pPr>
            <w:r>
              <w:rPr>
                <w:sz w:val="20"/>
                <w:szCs w:val="20"/>
                <w:lang w:val="en-GB"/>
              </w:rPr>
              <w:fldChar w:fldCharType="begin"/>
            </w:r>
            <w:r w:rsidR="00C97933">
              <w:rPr>
                <w:sz w:val="20"/>
                <w:szCs w:val="20"/>
                <w:lang w:val="en-GB"/>
              </w:rPr>
              <w:instrText xml:space="preserve"> ADDIN ZOTERO_ITEM CSL_CITATION {"citationID":"bViEmegl","properties":{"formattedCitation":"\\super 11\\nosupersub{}","plainCitation":"11","noteIndex":0},"citationItems":[{"id":140,"uris":["http://zotero.org/users/local/tKhEs3aL/items/YX3UQW28"],"uri":["http://zotero.org/users/local/tKhEs3aL/items/YX3UQW28"],"itemData":{"id":140,"type":"article","language":"Dutch","title":"Algemene achtergrondtekst Farmacogenetica - CYP2D6","title-short":"Achtergrondtekst CYP2D6","author":[{"family":"Koninklijke Nederlandse Maatschappij ter bevordering der Pharmacie","given":""}],"accessed":{"date-parts":[["2020",9,11]]},"issued":{"date-parts":[["2020",2,21]]}}}],"schema":"https://github.com/citation-style-language/schema/raw/master/csl-citation.json"}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11</w:t>
            </w:r>
            <w:r>
              <w:rPr>
                <w:sz w:val="20"/>
                <w:szCs w:val="20"/>
                <w:lang w:val="en-GB"/>
              </w:rPr>
              <w:fldChar w:fldCharType="end"/>
            </w:r>
          </w:p>
        </w:tc>
      </w:tr>
      <w:tr w:rsidR="00FA2079" w:rsidRPr="00D712DE" w14:paraId="3145907D" w14:textId="77777777" w:rsidTr="002F194E">
        <w:tc>
          <w:tcPr>
            <w:tcW w:w="2269" w:type="dxa"/>
            <w:tcBorders>
              <w:top w:val="nil"/>
              <w:bottom w:val="single" w:sz="4" w:space="0" w:color="auto"/>
              <w:right w:val="nil"/>
            </w:tcBorders>
          </w:tcPr>
          <w:p w14:paraId="40DD5C01"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071F5E0B" w14:textId="23DA1BDD" w:rsidR="00FA2079" w:rsidRDefault="00FA2079" w:rsidP="004C6016">
            <w:pPr>
              <w:rPr>
                <w:sz w:val="20"/>
                <w:szCs w:val="20"/>
                <w:lang w:val="en-GB"/>
              </w:rPr>
            </w:pPr>
            <w:r w:rsidRPr="00D712DE">
              <w:rPr>
                <w:sz w:val="20"/>
                <w:szCs w:val="20"/>
                <w:lang w:val="en-GB"/>
              </w:rPr>
              <w:t>U</w:t>
            </w:r>
            <w:r>
              <w:rPr>
                <w:sz w:val="20"/>
                <w:szCs w:val="20"/>
                <w:lang w:val="en-GB"/>
              </w:rPr>
              <w:t>ltra-rapid Metaboliser</w:t>
            </w:r>
          </w:p>
        </w:tc>
        <w:tc>
          <w:tcPr>
            <w:tcW w:w="1701" w:type="dxa"/>
            <w:tcBorders>
              <w:top w:val="nil"/>
              <w:left w:val="nil"/>
              <w:bottom w:val="single" w:sz="4" w:space="0" w:color="auto"/>
              <w:right w:val="nil"/>
            </w:tcBorders>
          </w:tcPr>
          <w:p w14:paraId="59679101" w14:textId="06DA2D55" w:rsidR="00FA2079" w:rsidRDefault="00FA2079" w:rsidP="004C6016">
            <w:pPr>
              <w:tabs>
                <w:tab w:val="decimal" w:pos="1310"/>
              </w:tabs>
              <w:rPr>
                <w:sz w:val="20"/>
                <w:szCs w:val="20"/>
                <w:lang w:val="en-GB"/>
              </w:rPr>
            </w:pPr>
            <w:r>
              <w:rPr>
                <w:sz w:val="20"/>
                <w:szCs w:val="20"/>
                <w:lang w:val="en-GB"/>
              </w:rPr>
              <w:t>0.70</w:t>
            </w:r>
          </w:p>
        </w:tc>
        <w:tc>
          <w:tcPr>
            <w:tcW w:w="1417" w:type="dxa"/>
            <w:tcBorders>
              <w:top w:val="nil"/>
              <w:left w:val="nil"/>
              <w:bottom w:val="single" w:sz="4" w:space="0" w:color="auto"/>
              <w:right w:val="nil"/>
            </w:tcBorders>
          </w:tcPr>
          <w:p w14:paraId="7532B85D" w14:textId="69076F8D" w:rsidR="00FA2079" w:rsidRPr="00D712DE" w:rsidRDefault="00164BA2" w:rsidP="004C6016">
            <w:pPr>
              <w:tabs>
                <w:tab w:val="decimal" w:pos="1451"/>
              </w:tabs>
              <w:rPr>
                <w:sz w:val="20"/>
                <w:szCs w:val="20"/>
                <w:lang w:val="en-GB"/>
              </w:rPr>
            </w:pPr>
            <w:r>
              <w:rPr>
                <w:sz w:val="20"/>
                <w:szCs w:val="20"/>
                <w:lang w:val="en-GB"/>
              </w:rPr>
              <w:t>1–2</w:t>
            </w:r>
          </w:p>
        </w:tc>
        <w:tc>
          <w:tcPr>
            <w:tcW w:w="992" w:type="dxa"/>
            <w:tcBorders>
              <w:top w:val="nil"/>
              <w:left w:val="nil"/>
              <w:bottom w:val="single" w:sz="4" w:space="0" w:color="auto"/>
            </w:tcBorders>
          </w:tcPr>
          <w:p w14:paraId="35D7C24B" w14:textId="7B0FBF85" w:rsidR="00FA2079" w:rsidRPr="00D712DE" w:rsidRDefault="00822226" w:rsidP="002F194E">
            <w:pPr>
              <w:jc w:val="center"/>
              <w:rPr>
                <w:sz w:val="20"/>
                <w:szCs w:val="20"/>
                <w:lang w:val="en-GB"/>
              </w:rPr>
            </w:pPr>
            <w:r>
              <w:rPr>
                <w:sz w:val="20"/>
                <w:szCs w:val="20"/>
                <w:lang w:val="en-GB"/>
              </w:rPr>
              <w:fldChar w:fldCharType="begin"/>
            </w:r>
            <w:r w:rsidR="00C97933">
              <w:rPr>
                <w:sz w:val="20"/>
                <w:szCs w:val="20"/>
                <w:lang w:val="en-GB"/>
              </w:rPr>
              <w:instrText xml:space="preserve"> ADDIN ZOTERO_ITEM CSL_CITATION {"citationID":"ICM4YKQ9","properties":{"formattedCitation":"\\super 11\\nosupersub{}","plainCitation":"11","noteIndex":0},"citationItems":[{"id":140,"uris":["http://zotero.org/users/local/tKhEs3aL/items/YX3UQW28"],"uri":["http://zotero.org/users/local/tKhEs3aL/items/YX3UQW28"],"itemData":{"id":140,"type":"article","language":"Dutch","title":"Algemene achtergrondtekst Farmacogenetica - CYP2D6","title-short":"Achtergrondtekst CYP2D6","author":[{"family":"Koninklijke Nederlandse Maatschappij ter bevordering der Pharmacie","given":""}],"accessed":{"date-parts":[["2020",9,11]]},"issued":{"date-parts":[["2020",2,21]]}}}],"schema":"https://github.com/citation-style-language/schema/raw/master/csl-citation.json"} </w:instrText>
            </w:r>
            <w:r>
              <w:rPr>
                <w:sz w:val="20"/>
                <w:szCs w:val="20"/>
                <w:lang w:val="en-GB"/>
              </w:rPr>
              <w:fldChar w:fldCharType="separate"/>
            </w:r>
            <w:r w:rsidRPr="00822226">
              <w:rPr>
                <w:rFonts w:ascii="Calibri" w:cs="Times New Roman"/>
                <w:sz w:val="20"/>
                <w:vertAlign w:val="superscript"/>
              </w:rPr>
              <w:t>11</w:t>
            </w:r>
            <w:r>
              <w:rPr>
                <w:sz w:val="20"/>
                <w:szCs w:val="20"/>
                <w:lang w:val="en-GB"/>
              </w:rPr>
              <w:fldChar w:fldCharType="end"/>
            </w:r>
          </w:p>
        </w:tc>
      </w:tr>
      <w:tr w:rsidR="00FA2079" w:rsidRPr="00D712DE" w14:paraId="5A30F412" w14:textId="77777777" w:rsidTr="002F194E">
        <w:tc>
          <w:tcPr>
            <w:tcW w:w="2269" w:type="dxa"/>
            <w:tcBorders>
              <w:bottom w:val="nil"/>
              <w:right w:val="nil"/>
            </w:tcBorders>
          </w:tcPr>
          <w:p w14:paraId="1155D437" w14:textId="77777777" w:rsidR="00FA2079" w:rsidRPr="00194E48" w:rsidRDefault="00FA2079" w:rsidP="004C6016">
            <w:pPr>
              <w:rPr>
                <w:b/>
                <w:i/>
                <w:sz w:val="20"/>
                <w:szCs w:val="20"/>
                <w:lang w:val="en-GB"/>
              </w:rPr>
            </w:pPr>
            <w:r w:rsidRPr="00194E48">
              <w:rPr>
                <w:b/>
                <w:i/>
                <w:sz w:val="20"/>
                <w:szCs w:val="20"/>
                <w:lang w:val="en-GB"/>
              </w:rPr>
              <w:lastRenderedPageBreak/>
              <w:t>CYP3A4</w:t>
            </w:r>
          </w:p>
        </w:tc>
        <w:tc>
          <w:tcPr>
            <w:tcW w:w="3402" w:type="dxa"/>
            <w:tcBorders>
              <w:left w:val="nil"/>
              <w:bottom w:val="nil"/>
              <w:right w:val="nil"/>
            </w:tcBorders>
          </w:tcPr>
          <w:p w14:paraId="24BB0B90" w14:textId="7D2E042C"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36B75507" w14:textId="1B324C95" w:rsidR="00FA2079" w:rsidRPr="00D712DE" w:rsidRDefault="00FA2079" w:rsidP="004C6016">
            <w:pPr>
              <w:tabs>
                <w:tab w:val="decimal" w:pos="1310"/>
              </w:tabs>
              <w:rPr>
                <w:sz w:val="20"/>
                <w:szCs w:val="20"/>
                <w:lang w:val="en-GB"/>
              </w:rPr>
            </w:pPr>
            <w:r>
              <w:rPr>
                <w:sz w:val="20"/>
                <w:szCs w:val="20"/>
                <w:lang w:val="en-GB"/>
              </w:rPr>
              <w:t>92.38</w:t>
            </w:r>
          </w:p>
        </w:tc>
        <w:tc>
          <w:tcPr>
            <w:tcW w:w="1417" w:type="dxa"/>
            <w:tcBorders>
              <w:left w:val="nil"/>
              <w:bottom w:val="nil"/>
              <w:right w:val="nil"/>
            </w:tcBorders>
          </w:tcPr>
          <w:p w14:paraId="3245AC7C" w14:textId="73868251" w:rsidR="00FA2079" w:rsidRPr="00D712DE" w:rsidRDefault="00FA2079" w:rsidP="004C6016">
            <w:pPr>
              <w:tabs>
                <w:tab w:val="decimal" w:pos="1451"/>
              </w:tabs>
              <w:rPr>
                <w:sz w:val="20"/>
                <w:szCs w:val="20"/>
                <w:lang w:val="en-GB"/>
              </w:rPr>
            </w:pPr>
            <w:r w:rsidRPr="00D712DE">
              <w:rPr>
                <w:sz w:val="20"/>
                <w:szCs w:val="20"/>
                <w:lang w:val="en-GB"/>
              </w:rPr>
              <w:t>91.5</w:t>
            </w:r>
          </w:p>
        </w:tc>
        <w:tc>
          <w:tcPr>
            <w:tcW w:w="992" w:type="dxa"/>
            <w:tcBorders>
              <w:left w:val="nil"/>
              <w:bottom w:val="nil"/>
            </w:tcBorders>
          </w:tcPr>
          <w:p w14:paraId="35F6DAB4" w14:textId="1A02016A" w:rsidR="00FA2079" w:rsidRPr="002021E2" w:rsidRDefault="002021E2" w:rsidP="002F194E">
            <w:pPr>
              <w:jc w:val="center"/>
              <w:rPr>
                <w:sz w:val="20"/>
                <w:szCs w:val="20"/>
                <w:lang w:val="en-GB"/>
              </w:rPr>
            </w:pPr>
            <w:r w:rsidRPr="002021E2">
              <w:rPr>
                <w:sz w:val="20"/>
                <w:szCs w:val="20"/>
                <w:lang w:val="en-GB"/>
              </w:rPr>
              <w:fldChar w:fldCharType="begin"/>
            </w:r>
            <w:r w:rsidR="00622E02">
              <w:rPr>
                <w:sz w:val="20"/>
                <w:szCs w:val="20"/>
                <w:lang w:val="en-GB"/>
              </w:rPr>
              <w:instrText xml:space="preserve"> ADDIN ZOTERO_ITEM CSL_CITATION {"citationID":"HEItjHd8","properties":{"formattedCitation":"\\super 5\\nosupersub{}","plainCitation":"5","noteIndex":0},"citationItems":[{"id":108,"uris":["http://zotero.org/users/local/tKhEs3aL/items/JHHSLLLY"],"uri":["http://zotero.org/users/local/tKhEs3aL/items/JHHSLLLY"],"itemData":{"id":108,"type":"article-journal","container-title":"Clinical Pharmacology &amp; Therapeutics","DOI":"10.1002/cpt.690","ISSN":"00099236","issue":"4","journalAbbreviation":"Clin. Pharmacol. Ther.","language":"en","page":"688-700","source":"DOI.org (Crossref)","title":"Worldwide Distribution of Cytochrome P450 Alleles: A Meta-analysis of Population-scale Sequencing Projects","title-short":"Worldwide Distribution of Cytochrome P450 Alleles","volume":"102","author":[{"family":"Zhou","given":"Y"},{"family":"Ingelman-Sundberg","given":"M"},{"family":"Lauschke","given":"Vm"}],"issued":{"date-parts":[["2017",10]]}}}],"schema":"https://github.com/citation-style-language/schema/raw/master/csl-citation.json"} </w:instrText>
            </w:r>
            <w:r w:rsidRPr="002021E2">
              <w:rPr>
                <w:sz w:val="20"/>
                <w:szCs w:val="20"/>
                <w:lang w:val="en-GB"/>
              </w:rPr>
              <w:fldChar w:fldCharType="separate"/>
            </w:r>
            <w:r w:rsidR="00622E02" w:rsidRPr="00622E02">
              <w:rPr>
                <w:rFonts w:ascii="Calibri" w:cs="Times New Roman"/>
                <w:sz w:val="20"/>
                <w:vertAlign w:val="superscript"/>
              </w:rPr>
              <w:t>5</w:t>
            </w:r>
            <w:r w:rsidRPr="002021E2">
              <w:rPr>
                <w:sz w:val="20"/>
                <w:szCs w:val="20"/>
                <w:lang w:val="en-GB"/>
              </w:rPr>
              <w:fldChar w:fldCharType="end"/>
            </w:r>
          </w:p>
        </w:tc>
      </w:tr>
      <w:tr w:rsidR="00FA2079" w:rsidRPr="00D712DE" w14:paraId="3FDD2D4E" w14:textId="77777777" w:rsidTr="002F194E">
        <w:tc>
          <w:tcPr>
            <w:tcW w:w="2269" w:type="dxa"/>
            <w:tcBorders>
              <w:top w:val="nil"/>
              <w:bottom w:val="nil"/>
              <w:right w:val="nil"/>
            </w:tcBorders>
          </w:tcPr>
          <w:p w14:paraId="3526FC0D" w14:textId="73C4046A"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single" w:sz="4" w:space="0" w:color="auto"/>
              <w:right w:val="nil"/>
            </w:tcBorders>
          </w:tcPr>
          <w:p w14:paraId="33A03BF1" w14:textId="77777777" w:rsidR="00FA2079" w:rsidRPr="00D712DE" w:rsidRDefault="00FA2079" w:rsidP="004C6016">
            <w:pPr>
              <w:rPr>
                <w:sz w:val="20"/>
                <w:szCs w:val="20"/>
                <w:lang w:val="en-GB"/>
              </w:rPr>
            </w:pPr>
            <w:r w:rsidRPr="00D712DE">
              <w:rPr>
                <w:sz w:val="20"/>
                <w:szCs w:val="20"/>
                <w:lang w:val="en-GB"/>
              </w:rPr>
              <w:t>*22</w:t>
            </w:r>
          </w:p>
        </w:tc>
        <w:tc>
          <w:tcPr>
            <w:tcW w:w="1701" w:type="dxa"/>
            <w:tcBorders>
              <w:top w:val="nil"/>
              <w:left w:val="nil"/>
              <w:bottom w:val="single" w:sz="4" w:space="0" w:color="auto"/>
              <w:right w:val="nil"/>
            </w:tcBorders>
          </w:tcPr>
          <w:p w14:paraId="25284F64" w14:textId="5B7E3799" w:rsidR="00FA2079" w:rsidRPr="00D712DE" w:rsidRDefault="00FA2079" w:rsidP="004C6016">
            <w:pPr>
              <w:tabs>
                <w:tab w:val="decimal" w:pos="1310"/>
              </w:tabs>
              <w:rPr>
                <w:sz w:val="20"/>
                <w:szCs w:val="20"/>
                <w:lang w:val="en-GB"/>
              </w:rPr>
            </w:pPr>
            <w:r>
              <w:rPr>
                <w:sz w:val="20"/>
                <w:szCs w:val="20"/>
                <w:lang w:val="en-GB"/>
              </w:rPr>
              <w:t>7.62</w:t>
            </w:r>
          </w:p>
        </w:tc>
        <w:tc>
          <w:tcPr>
            <w:tcW w:w="1417" w:type="dxa"/>
            <w:tcBorders>
              <w:top w:val="nil"/>
              <w:left w:val="nil"/>
              <w:bottom w:val="single" w:sz="4" w:space="0" w:color="auto"/>
              <w:right w:val="nil"/>
            </w:tcBorders>
          </w:tcPr>
          <w:p w14:paraId="167A63B5" w14:textId="77777777" w:rsidR="00FA2079" w:rsidRPr="00D712DE" w:rsidRDefault="00FA2079" w:rsidP="004C6016">
            <w:pPr>
              <w:tabs>
                <w:tab w:val="decimal" w:pos="1451"/>
              </w:tabs>
              <w:rPr>
                <w:sz w:val="20"/>
                <w:szCs w:val="20"/>
                <w:lang w:val="en-GB"/>
              </w:rPr>
            </w:pPr>
            <w:r w:rsidRPr="00D712DE">
              <w:rPr>
                <w:sz w:val="20"/>
                <w:szCs w:val="20"/>
                <w:lang w:val="en-GB"/>
              </w:rPr>
              <w:t>5.0</w:t>
            </w:r>
          </w:p>
        </w:tc>
        <w:tc>
          <w:tcPr>
            <w:tcW w:w="992" w:type="dxa"/>
            <w:tcBorders>
              <w:top w:val="nil"/>
              <w:left w:val="nil"/>
              <w:bottom w:val="single" w:sz="4" w:space="0" w:color="auto"/>
            </w:tcBorders>
          </w:tcPr>
          <w:p w14:paraId="704FC8F4" w14:textId="5AC87F46" w:rsidR="00FA2079" w:rsidRPr="00D712DE" w:rsidRDefault="002021E2" w:rsidP="002F194E">
            <w:pPr>
              <w:jc w:val="center"/>
              <w:rPr>
                <w:sz w:val="20"/>
                <w:szCs w:val="20"/>
                <w:lang w:val="en-GB"/>
              </w:rPr>
            </w:pPr>
            <w:r w:rsidRPr="002021E2">
              <w:rPr>
                <w:sz w:val="20"/>
                <w:szCs w:val="20"/>
                <w:lang w:val="en-GB"/>
              </w:rPr>
              <w:fldChar w:fldCharType="begin"/>
            </w:r>
            <w:r w:rsidR="00622E02">
              <w:rPr>
                <w:sz w:val="20"/>
                <w:szCs w:val="20"/>
                <w:lang w:val="en-GB"/>
              </w:rPr>
              <w:instrText xml:space="preserve"> ADDIN ZOTERO_ITEM CSL_CITATION {"citationID":"4Nycbg7y","properties":{"formattedCitation":"\\super 5\\nosupersub{}","plainCitation":"5","noteIndex":0},"citationItems":[{"id":108,"uris":["http://zotero.org/users/local/tKhEs3aL/items/JHHSLLLY"],"uri":["http://zotero.org/users/local/tKhEs3aL/items/JHHSLLLY"],"itemData":{"id":108,"type":"article-journal","container-title":"Clinical Pharmacology &amp; Therapeutics","DOI":"10.1002/cpt.690","ISSN":"00099236","issue":"4","journalAbbreviation":"Clin. Pharmacol. Ther.","language":"en","page":"688-700","source":"DOI.org (Crossref)","title":"Worldwide Distribution of Cytochrome P450 Alleles: A Meta-analysis of Population-scale Sequencing Projects","title-short":"Worldwide Distribution of Cytochrome P450 Alleles","volume":"102","author":[{"family":"Zhou","given":"Y"},{"family":"Ingelman-Sundberg","given":"M"},{"family":"Lauschke","given":"Vm"}],"issued":{"date-parts":[["2017",10]]}}}],"schema":"https://github.com/citation-style-language/schema/raw/master/csl-citation.json"} </w:instrText>
            </w:r>
            <w:r w:rsidRPr="002021E2">
              <w:rPr>
                <w:sz w:val="20"/>
                <w:szCs w:val="20"/>
                <w:lang w:val="en-GB"/>
              </w:rPr>
              <w:fldChar w:fldCharType="separate"/>
            </w:r>
            <w:r w:rsidR="00622E02" w:rsidRPr="00622E02">
              <w:rPr>
                <w:rFonts w:ascii="Calibri" w:cs="Times New Roman"/>
                <w:sz w:val="20"/>
                <w:vertAlign w:val="superscript"/>
              </w:rPr>
              <w:t>5</w:t>
            </w:r>
            <w:r w:rsidRPr="002021E2">
              <w:rPr>
                <w:sz w:val="20"/>
                <w:szCs w:val="20"/>
                <w:lang w:val="en-GB"/>
              </w:rPr>
              <w:fldChar w:fldCharType="end"/>
            </w:r>
          </w:p>
        </w:tc>
      </w:tr>
      <w:tr w:rsidR="00FA2079" w:rsidRPr="00D712DE" w14:paraId="45FDE5D6" w14:textId="77777777" w:rsidTr="002F194E">
        <w:tc>
          <w:tcPr>
            <w:tcW w:w="2269" w:type="dxa"/>
            <w:tcBorders>
              <w:top w:val="nil"/>
              <w:bottom w:val="nil"/>
              <w:right w:val="nil"/>
            </w:tcBorders>
          </w:tcPr>
          <w:p w14:paraId="4C1C2B3D" w14:textId="77777777" w:rsidR="00FA2079" w:rsidRDefault="00FA2079" w:rsidP="004C6016">
            <w:pPr>
              <w:rPr>
                <w:sz w:val="20"/>
                <w:szCs w:val="20"/>
                <w:lang w:val="en-GB"/>
              </w:rPr>
            </w:pPr>
          </w:p>
        </w:tc>
        <w:tc>
          <w:tcPr>
            <w:tcW w:w="3402" w:type="dxa"/>
            <w:tcBorders>
              <w:left w:val="nil"/>
              <w:bottom w:val="nil"/>
              <w:right w:val="nil"/>
            </w:tcBorders>
          </w:tcPr>
          <w:p w14:paraId="6FB3A1B8" w14:textId="108050BB"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594FF286" w14:textId="63189638" w:rsidR="00FA2079" w:rsidRDefault="00FA2079" w:rsidP="004C6016">
            <w:pPr>
              <w:tabs>
                <w:tab w:val="decimal" w:pos="1310"/>
              </w:tabs>
              <w:rPr>
                <w:sz w:val="20"/>
                <w:szCs w:val="20"/>
                <w:lang w:val="en-GB"/>
              </w:rPr>
            </w:pPr>
            <w:r>
              <w:rPr>
                <w:sz w:val="20"/>
                <w:szCs w:val="20"/>
                <w:lang w:val="en-GB"/>
              </w:rPr>
              <w:t>0.61</w:t>
            </w:r>
          </w:p>
        </w:tc>
        <w:tc>
          <w:tcPr>
            <w:tcW w:w="1417" w:type="dxa"/>
            <w:tcBorders>
              <w:left w:val="nil"/>
              <w:bottom w:val="nil"/>
              <w:right w:val="nil"/>
            </w:tcBorders>
          </w:tcPr>
          <w:p w14:paraId="6B17E10F" w14:textId="4147C34D" w:rsidR="00FA2079" w:rsidRPr="00D712DE" w:rsidRDefault="00FA2079" w:rsidP="004C6016">
            <w:pPr>
              <w:tabs>
                <w:tab w:val="decimal" w:pos="1451"/>
              </w:tabs>
              <w:rPr>
                <w:sz w:val="20"/>
                <w:szCs w:val="20"/>
                <w:lang w:val="en-GB"/>
              </w:rPr>
            </w:pPr>
            <w:r w:rsidRPr="00D712DE">
              <w:rPr>
                <w:sz w:val="20"/>
                <w:szCs w:val="20"/>
                <w:lang w:val="en-GB"/>
              </w:rPr>
              <w:t>0</w:t>
            </w:r>
          </w:p>
        </w:tc>
        <w:tc>
          <w:tcPr>
            <w:tcW w:w="992" w:type="dxa"/>
            <w:tcBorders>
              <w:left w:val="nil"/>
              <w:bottom w:val="nil"/>
            </w:tcBorders>
          </w:tcPr>
          <w:p w14:paraId="0E21E940" w14:textId="6F7A77D5"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{"citationID":"hjfn9x1G","properties":{"formattedCitation":"\\super 12\\nosupersub{}","plainCitation":"12","noteIndex":0},"citationItems":[{"id":112,"uris":["http://zotero.org/users/local/tKhEs3aL/items/YP7YAS4V"],"uri":["http://zotero.org/users/local/tKhEs3aL/items/YP7YAS4V"],"itemData":{"id":112,"type":"article-journal","container-title":"Pharmacogenetics and Genomics","DOI":"10.1097/FPC.0b013e328351f3c1","ISSN":"1744-6872","journalAbbreviation":"Pharmacogenetics and Genomics","language":"en","page":"1","source":"DOI.org (Crossref)","title":"The new CYP3A4 intron 6 C&gt;T polymorphism (CYP3A4*22) is associated with an increased risk of delayed graft function and worse renal function in cyclosporine-treated kidney transplant patients:","title-short":"The new CYP3A4 intron 6 C&gt;T polymorphism (CYP3A4*22) is associated with an increased risk of delayed graft function and worse renal function in cyclosporine-treated kidney transplant patients","author":[{"family":"Elens","given":"Laure"},{"family":"Bouamar","given":"Rachida"},{"family":"Hesselink","given":"Dennis A."},{"family":"Haufroid","given":"Vincent"},{"family":"Gelder","given":"Teun","non-dropping-particle":"van"},{"family":"Schaik","given":"Ron H.N.","non-dropping-particle":"van"}],"issued":{"date-parts":[["2012",3]]}}}],"schema":"https://github.com/citation-style-language/schema/raw/master/csl-citation.json"}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12</w:t>
            </w:r>
            <w:r w:rsidRPr="00395834">
              <w:rPr>
                <w:sz w:val="20"/>
                <w:szCs w:val="20"/>
                <w:lang w:val="en-GB"/>
              </w:rPr>
              <w:fldChar w:fldCharType="end"/>
            </w:r>
          </w:p>
        </w:tc>
      </w:tr>
      <w:tr w:rsidR="00FA2079" w:rsidRPr="00D712DE" w14:paraId="62FEA8DC" w14:textId="77777777" w:rsidTr="002F194E">
        <w:tc>
          <w:tcPr>
            <w:tcW w:w="2269" w:type="dxa"/>
            <w:tcBorders>
              <w:top w:val="nil"/>
              <w:bottom w:val="nil"/>
              <w:right w:val="nil"/>
            </w:tcBorders>
          </w:tcPr>
          <w:p w14:paraId="7ADC98E6" w14:textId="77777777" w:rsidR="00FA2079" w:rsidRDefault="00FA2079" w:rsidP="004C6016">
            <w:pPr>
              <w:rPr>
                <w:sz w:val="20"/>
                <w:szCs w:val="20"/>
                <w:lang w:val="en-GB"/>
              </w:rPr>
            </w:pPr>
          </w:p>
        </w:tc>
        <w:tc>
          <w:tcPr>
            <w:tcW w:w="3402" w:type="dxa"/>
            <w:tcBorders>
              <w:top w:val="nil"/>
              <w:left w:val="nil"/>
              <w:bottom w:val="nil"/>
              <w:right w:val="nil"/>
            </w:tcBorders>
          </w:tcPr>
          <w:p w14:paraId="7BE2B6CC" w14:textId="6340DD6B"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438BAB11" w14:textId="2FA763C8" w:rsidR="00FA2079" w:rsidRDefault="00FA2079" w:rsidP="004C6016">
            <w:pPr>
              <w:tabs>
                <w:tab w:val="decimal" w:pos="1310"/>
              </w:tabs>
              <w:rPr>
                <w:sz w:val="20"/>
                <w:szCs w:val="20"/>
                <w:lang w:val="en-GB"/>
              </w:rPr>
            </w:pPr>
            <w:r>
              <w:rPr>
                <w:sz w:val="20"/>
                <w:szCs w:val="20"/>
                <w:lang w:val="en-GB"/>
              </w:rPr>
              <w:t>14.02</w:t>
            </w:r>
          </w:p>
        </w:tc>
        <w:tc>
          <w:tcPr>
            <w:tcW w:w="1417" w:type="dxa"/>
            <w:tcBorders>
              <w:top w:val="nil"/>
              <w:left w:val="nil"/>
              <w:bottom w:val="nil"/>
              <w:right w:val="nil"/>
            </w:tcBorders>
          </w:tcPr>
          <w:p w14:paraId="602E87DC" w14:textId="43ABC620" w:rsidR="00FA2079" w:rsidRPr="00D712DE" w:rsidRDefault="00FA2079" w:rsidP="004C6016">
            <w:pPr>
              <w:tabs>
                <w:tab w:val="decimal" w:pos="1451"/>
              </w:tabs>
              <w:rPr>
                <w:sz w:val="20"/>
                <w:szCs w:val="20"/>
                <w:lang w:val="en-GB"/>
              </w:rPr>
            </w:pPr>
            <w:r w:rsidRPr="00D712DE">
              <w:rPr>
                <w:sz w:val="20"/>
                <w:szCs w:val="20"/>
                <w:lang w:val="en-GB"/>
              </w:rPr>
              <w:t>6.40</w:t>
            </w:r>
          </w:p>
        </w:tc>
        <w:tc>
          <w:tcPr>
            <w:tcW w:w="992" w:type="dxa"/>
            <w:tcBorders>
              <w:top w:val="nil"/>
              <w:left w:val="nil"/>
              <w:bottom w:val="nil"/>
            </w:tcBorders>
          </w:tcPr>
          <w:p w14:paraId="741EF735" w14:textId="1E528C24"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{"citationID":"y5zuaG9L","properties":{"formattedCitation":"\\super 12\\nosupersub{}","plainCitation":"12","noteIndex":0},"citationItems":[{"id":112,"uris":["http://zotero.org/users/local/tKhEs3aL/items/YP7YAS4V"],"uri":["http://zotero.org/users/local/tKhEs3aL/items/YP7YAS4V"],"itemData":{"id":112,"type":"article-journal","container-title":"Pharmacogenetics and Genomics","DOI":"10.1097/FPC.0b013e328351f3c1","ISSN":"1744-6872","journalAbbreviation":"Pharmacogenetics and Genomics","language":"en","page":"1","source":"DOI.org (Crossref)","title":"The new CYP3A4 intron 6 C&gt;T polymorphism (CYP3A4*22) is associated with an increased risk of delayed graft function and worse renal function in cyclosporine-treated kidney transplant patients:","title-short":"The new CYP3A4 intron 6 C&gt;T polymorphism (CYP3A4*22) is associated with an increased risk of delayed graft function and worse renal function in cyclosporine-treated kidney transplant patients","author":[{"family":"Elens","given":"Laure"},{"family":"Bouamar","given":"Rachida"},{"family":"Hesselink","given":"Dennis A."},{"family":"Haufroid","given":"Vincent"},{"family":"Gelder","given":"Teun","non-dropping-particle":"van"},{"family":"Schaik","given":"Ron H.N.","non-dropping-particle":"van"}],"issued":{"date-parts":[["2012",3]]}}}],"schema":"https://github.com/citation-style-language/schema/raw/master/csl-citation.json"}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12</w:t>
            </w:r>
            <w:r w:rsidRPr="00395834">
              <w:rPr>
                <w:sz w:val="20"/>
                <w:szCs w:val="20"/>
                <w:lang w:val="en-GB"/>
              </w:rPr>
              <w:fldChar w:fldCharType="end"/>
            </w:r>
          </w:p>
        </w:tc>
      </w:tr>
      <w:tr w:rsidR="00FA2079" w:rsidRPr="00D712DE" w14:paraId="4CC1F213" w14:textId="77777777" w:rsidTr="002F194E">
        <w:tc>
          <w:tcPr>
            <w:tcW w:w="2269" w:type="dxa"/>
            <w:tcBorders>
              <w:top w:val="nil"/>
              <w:bottom w:val="single" w:sz="4" w:space="0" w:color="auto"/>
              <w:right w:val="nil"/>
            </w:tcBorders>
          </w:tcPr>
          <w:p w14:paraId="010C1964"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4836CBEC" w14:textId="76DD8205" w:rsidR="00FA2079" w:rsidRPr="00D712DE" w:rsidRDefault="00FA2079" w:rsidP="004C6016">
            <w:pPr>
              <w:rPr>
                <w:sz w:val="20"/>
                <w:szCs w:val="20"/>
                <w:lang w:val="en-GB"/>
              </w:rPr>
            </w:pPr>
            <w:r w:rsidRPr="00D712DE">
              <w:rPr>
                <w:sz w:val="20"/>
                <w:szCs w:val="20"/>
                <w:lang w:val="en-GB"/>
              </w:rPr>
              <w:t>N</w:t>
            </w:r>
            <w:r>
              <w:rPr>
                <w:sz w:val="20"/>
                <w:szCs w:val="20"/>
                <w:lang w:val="en-GB"/>
              </w:rPr>
              <w:t>ormal Metaboliser</w:t>
            </w:r>
          </w:p>
        </w:tc>
        <w:tc>
          <w:tcPr>
            <w:tcW w:w="1701" w:type="dxa"/>
            <w:tcBorders>
              <w:top w:val="nil"/>
              <w:left w:val="nil"/>
              <w:bottom w:val="single" w:sz="4" w:space="0" w:color="auto"/>
              <w:right w:val="nil"/>
            </w:tcBorders>
          </w:tcPr>
          <w:p w14:paraId="7939F838" w14:textId="513649F5" w:rsidR="00FA2079" w:rsidRDefault="00FA2079" w:rsidP="004C6016">
            <w:pPr>
              <w:tabs>
                <w:tab w:val="decimal" w:pos="1310"/>
              </w:tabs>
              <w:rPr>
                <w:sz w:val="20"/>
                <w:szCs w:val="20"/>
                <w:lang w:val="en-GB"/>
              </w:rPr>
            </w:pPr>
            <w:r>
              <w:rPr>
                <w:sz w:val="20"/>
                <w:szCs w:val="20"/>
                <w:lang w:val="en-GB"/>
              </w:rPr>
              <w:t>85.37</w:t>
            </w:r>
          </w:p>
        </w:tc>
        <w:tc>
          <w:tcPr>
            <w:tcW w:w="1417" w:type="dxa"/>
            <w:tcBorders>
              <w:top w:val="nil"/>
              <w:left w:val="nil"/>
              <w:bottom w:val="single" w:sz="4" w:space="0" w:color="auto"/>
              <w:right w:val="nil"/>
            </w:tcBorders>
          </w:tcPr>
          <w:p w14:paraId="3FF47FB2" w14:textId="2AC00CC7" w:rsidR="00FA2079" w:rsidRPr="00D712DE" w:rsidRDefault="00FA2079" w:rsidP="004C6016">
            <w:pPr>
              <w:tabs>
                <w:tab w:val="decimal" w:pos="1451"/>
              </w:tabs>
              <w:rPr>
                <w:sz w:val="20"/>
                <w:szCs w:val="20"/>
                <w:lang w:val="en-GB"/>
              </w:rPr>
            </w:pPr>
            <w:r w:rsidRPr="00D712DE">
              <w:rPr>
                <w:sz w:val="20"/>
                <w:szCs w:val="20"/>
                <w:lang w:val="en-GB"/>
              </w:rPr>
              <w:t>93.60</w:t>
            </w:r>
          </w:p>
        </w:tc>
        <w:tc>
          <w:tcPr>
            <w:tcW w:w="992" w:type="dxa"/>
            <w:tcBorders>
              <w:top w:val="nil"/>
              <w:left w:val="nil"/>
              <w:bottom w:val="single" w:sz="4" w:space="0" w:color="auto"/>
            </w:tcBorders>
          </w:tcPr>
          <w:p w14:paraId="21D3932D" w14:textId="283ED0EA"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{"citationID":"vfuI27lY","properties":{"formattedCitation":"\\super 12\\nosupersub{}","plainCitation":"12","noteIndex":0},"citationItems":[{"id":112,"uris":["http://zotero.org/users/local/tKhEs3aL/items/YP7YAS4V"],"uri":["http://zotero.org/users/local/tKhEs3aL/items/YP7YAS4V"],"itemData":{"id":112,"type":"article-journal","container-title":"Pharmacogenetics and Genomics","DOI":"10.1097/FPC.0b013e328351f3c1","ISSN":"1744-6872","journalAbbreviation":"Pharmacogenetics and Genomics","language":"en","page":"1","source":"DOI.org (Crossref)","title":"The new CYP3A4 intron 6 C&gt;T polymorphism (CYP3A4*22) is associated with an increased risk of delayed graft function and worse renal function in cyclosporine-treated kidney transplant patients:","title-short":"The new CYP3A4 intron 6 C&gt;T polymorphism (CYP3A4*22) is associated with an increased risk of delayed graft function and worse renal function in cyclosporine-treated kidney transplant patients","author":[{"family":"Elens","given":"Laure"},{"family":"Bouamar","given":"Rachida"},{"family":"Hesselink","given":"Dennis A."},{"family":"Haufroid","given":"Vincent"},{"family":"Gelder","given":"Teun","non-dropping-particle":"van"},{"family":"Schaik","given":"Ron H.N.","non-dropping-particle":"van"}],"issued":{"date-parts":[["2012",3]]}}}],"schema":"https://github.com/citation-style-language/schema/raw/master/csl-citation.json"}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12</w:t>
            </w:r>
            <w:r w:rsidRPr="00395834">
              <w:rPr>
                <w:sz w:val="20"/>
                <w:szCs w:val="20"/>
                <w:lang w:val="en-GB"/>
              </w:rPr>
              <w:fldChar w:fldCharType="end"/>
            </w:r>
          </w:p>
        </w:tc>
      </w:tr>
      <w:tr w:rsidR="00045285" w:rsidRPr="00D712DE" w14:paraId="0CBFC076" w14:textId="77777777" w:rsidTr="002F194E">
        <w:tc>
          <w:tcPr>
            <w:tcW w:w="2269" w:type="dxa"/>
            <w:tcBorders>
              <w:bottom w:val="nil"/>
              <w:right w:val="nil"/>
            </w:tcBorders>
          </w:tcPr>
          <w:p w14:paraId="231FDC22" w14:textId="77777777" w:rsidR="00FA2079" w:rsidRPr="00194E48" w:rsidRDefault="00FA2079" w:rsidP="004C6016">
            <w:pPr>
              <w:rPr>
                <w:b/>
                <w:i/>
                <w:sz w:val="20"/>
                <w:szCs w:val="20"/>
                <w:lang w:val="en-GB"/>
              </w:rPr>
            </w:pPr>
            <w:r w:rsidRPr="00194E48">
              <w:rPr>
                <w:b/>
                <w:i/>
                <w:sz w:val="20"/>
                <w:szCs w:val="20"/>
                <w:lang w:val="en-GB"/>
              </w:rPr>
              <w:t>CYP3A5</w:t>
            </w:r>
          </w:p>
        </w:tc>
        <w:tc>
          <w:tcPr>
            <w:tcW w:w="3402" w:type="dxa"/>
            <w:tcBorders>
              <w:left w:val="nil"/>
              <w:bottom w:val="nil"/>
              <w:right w:val="nil"/>
            </w:tcBorders>
          </w:tcPr>
          <w:p w14:paraId="184CD32E" w14:textId="77777777"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564E427C" w14:textId="5773D736" w:rsidR="00FA2079" w:rsidRPr="00D712DE" w:rsidRDefault="00FA2079" w:rsidP="004C6016">
            <w:pPr>
              <w:tabs>
                <w:tab w:val="decimal" w:pos="1310"/>
              </w:tabs>
              <w:rPr>
                <w:sz w:val="20"/>
                <w:szCs w:val="20"/>
                <w:lang w:val="en-GB"/>
              </w:rPr>
            </w:pPr>
            <w:r>
              <w:rPr>
                <w:sz w:val="20"/>
                <w:szCs w:val="20"/>
                <w:lang w:val="en-GB"/>
              </w:rPr>
              <w:t>8.54</w:t>
            </w:r>
          </w:p>
        </w:tc>
        <w:tc>
          <w:tcPr>
            <w:tcW w:w="1417" w:type="dxa"/>
            <w:tcBorders>
              <w:left w:val="nil"/>
              <w:bottom w:val="nil"/>
              <w:right w:val="nil"/>
            </w:tcBorders>
          </w:tcPr>
          <w:p w14:paraId="1359606C" w14:textId="77777777" w:rsidR="00FA2079" w:rsidRPr="00D712DE" w:rsidRDefault="00FA2079" w:rsidP="004C6016">
            <w:pPr>
              <w:tabs>
                <w:tab w:val="decimal" w:pos="1451"/>
              </w:tabs>
              <w:rPr>
                <w:sz w:val="20"/>
                <w:szCs w:val="20"/>
                <w:lang w:val="en-GB"/>
              </w:rPr>
            </w:pPr>
            <w:r w:rsidRPr="00D712DE">
              <w:rPr>
                <w:sz w:val="20"/>
                <w:szCs w:val="20"/>
                <w:lang w:val="en-GB"/>
              </w:rPr>
              <w:t>-</w:t>
            </w:r>
          </w:p>
        </w:tc>
        <w:tc>
          <w:tcPr>
            <w:tcW w:w="992" w:type="dxa"/>
            <w:tcBorders>
              <w:left w:val="nil"/>
              <w:bottom w:val="nil"/>
            </w:tcBorders>
          </w:tcPr>
          <w:p w14:paraId="66D4CCC0" w14:textId="55C335FA" w:rsidR="00FA2079" w:rsidRPr="00D712DE" w:rsidRDefault="00FA2079" w:rsidP="002F194E">
            <w:pPr>
              <w:jc w:val="center"/>
              <w:rPr>
                <w:sz w:val="20"/>
                <w:szCs w:val="20"/>
                <w:lang w:val="en-GB"/>
              </w:rPr>
            </w:pPr>
          </w:p>
        </w:tc>
      </w:tr>
      <w:tr w:rsidR="00FA2079" w:rsidRPr="00D712DE" w14:paraId="76766284" w14:textId="77777777" w:rsidTr="002F194E">
        <w:tc>
          <w:tcPr>
            <w:tcW w:w="2269" w:type="dxa"/>
            <w:tcBorders>
              <w:top w:val="nil"/>
              <w:bottom w:val="nil"/>
              <w:right w:val="nil"/>
            </w:tcBorders>
          </w:tcPr>
          <w:p w14:paraId="1A0911CC" w14:textId="1DD96401"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nil"/>
              <w:right w:val="nil"/>
            </w:tcBorders>
          </w:tcPr>
          <w:p w14:paraId="68FC7F3F" w14:textId="77777777" w:rsidR="00FA2079" w:rsidRPr="00D712DE" w:rsidRDefault="00FA2079" w:rsidP="004C6016">
            <w:pPr>
              <w:rPr>
                <w:sz w:val="20"/>
                <w:szCs w:val="20"/>
                <w:lang w:val="en-GB"/>
              </w:rPr>
            </w:pPr>
            <w:r w:rsidRPr="00D712DE">
              <w:rPr>
                <w:sz w:val="20"/>
                <w:szCs w:val="20"/>
                <w:lang w:val="en-GB"/>
              </w:rPr>
              <w:t>*3</w:t>
            </w:r>
          </w:p>
        </w:tc>
        <w:tc>
          <w:tcPr>
            <w:tcW w:w="1701" w:type="dxa"/>
            <w:tcBorders>
              <w:top w:val="nil"/>
              <w:left w:val="nil"/>
              <w:bottom w:val="nil"/>
              <w:right w:val="nil"/>
            </w:tcBorders>
          </w:tcPr>
          <w:p w14:paraId="39AA804F" w14:textId="2822DFAD" w:rsidR="00FA2079" w:rsidRPr="00D712DE" w:rsidRDefault="00FA2079" w:rsidP="004C6016">
            <w:pPr>
              <w:tabs>
                <w:tab w:val="decimal" w:pos="1310"/>
              </w:tabs>
              <w:rPr>
                <w:sz w:val="20"/>
                <w:szCs w:val="20"/>
                <w:lang w:val="en-GB"/>
              </w:rPr>
            </w:pPr>
            <w:r>
              <w:rPr>
                <w:sz w:val="20"/>
                <w:szCs w:val="20"/>
                <w:lang w:val="en-GB"/>
              </w:rPr>
              <w:t>91.46</w:t>
            </w:r>
          </w:p>
        </w:tc>
        <w:tc>
          <w:tcPr>
            <w:tcW w:w="1417" w:type="dxa"/>
            <w:tcBorders>
              <w:top w:val="nil"/>
              <w:left w:val="nil"/>
              <w:bottom w:val="nil"/>
              <w:right w:val="nil"/>
            </w:tcBorders>
          </w:tcPr>
          <w:p w14:paraId="5D092A2B" w14:textId="77777777" w:rsidR="00FA2079" w:rsidRPr="00D712DE" w:rsidRDefault="00FA2079" w:rsidP="004C6016">
            <w:pPr>
              <w:tabs>
                <w:tab w:val="decimal" w:pos="1451"/>
              </w:tabs>
              <w:rPr>
                <w:sz w:val="20"/>
                <w:szCs w:val="20"/>
                <w:lang w:val="en-GB"/>
              </w:rPr>
            </w:pPr>
            <w:r w:rsidRPr="00D712DE">
              <w:rPr>
                <w:sz w:val="20"/>
                <w:szCs w:val="20"/>
                <w:lang w:val="en-GB"/>
              </w:rPr>
              <w:t>91.7</w:t>
            </w:r>
          </w:p>
        </w:tc>
        <w:tc>
          <w:tcPr>
            <w:tcW w:w="992" w:type="dxa"/>
            <w:tcBorders>
              <w:top w:val="nil"/>
              <w:left w:val="nil"/>
              <w:bottom w:val="nil"/>
            </w:tcBorders>
          </w:tcPr>
          <w:p w14:paraId="43A39ACC" w14:textId="3D501232"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{"citationID":"LA3NGxh1","properties":{"formattedCitation":"\\super 13\\nosupersub{}","plainCitation":"13","noteIndex":0},"citationItems":[{"id":113,"uris":["http://zotero.org/users/local/tKhEs3aL/items/V7EBPDM7"],"uri":["http://zotero.org/users/local/tKhEs3aL/items/V7EBPDM7"],"itemData":{"id":113,"type":"article-journal","abstract":"BACKGROUND: Enzymes of the cytochrome P450 3A (CYP3A) family are responsible for the metabolism of &gt;50% of currently prescribed drugs. CYP3A5 is expressed in a limited number of individuals. The absence of CYP3A5 expression in approximately 70% of Caucasians was recently correlated to a genetic polymorphism (CYP3A5*3). Because CYP3A5 may represent up to 50% of total CYP3A protein in individuals polymorphically expressing CYP3A5, it may have a major role in variation of CYP3A-mediated drug metabolism. Using sequencing, have been identified (Hustert et al. Pharmacogenetics 2001;11:773-9; Kuehl et al. Nat Genet 2001;27:383-91) variant alleles *2 through *7 for CYP3A5. Detection of CYP3A5 variant alleles, and knowledge about their allelic frequency in specific ethnic groups, is important to establish the clinical relevance of screening for these polymorphisms to optimize pharmacotherapy.\nMETHODS: In a group of 500 healthy Dutch Caucasian blood donors, we determined the allelic frequency of the CYP3A5*2, *3, *4, *5, *6, and *7 alleles by use of newly developed PCR-restriction fragment length polymorphism assays.\nRESULTS: The frequency of the defective CYP3A5*3 allele in the Dutch Caucasian population was 91%, followed by the CYP3A5*2 (1%) and CYP3A5*6 (0.1%) alleles. The CYP3A5*4, *5, and *7 alleles were not detected.\nCONCLUSIONS: On the basis of its allelic frequency, screening for the CYP3A5*3 allele in the Caucasian population is extremely relevant. In addition, screening for the CYP3A5*2 allele may be taken into consideration in individuals heterozygous for the CYP3A5*3 allele. The CYP3A5*4, *5, *6, and *7 alleles have low allelic frequencies that do not support initial screening.","container-title":"Clinical Chemistry","ISSN":"0009-9147","issue":"10","journalAbbreviation":"Clin. Chem.","language":"eng","note":"PMID: 12324482","page":"1668-1671","source":"PubMed","title":"CYP3A5 variant allele frequencies in Dutch Caucasians","volume":"48","author":[{"family":"Schaik","given":"Ron H. N.","non-dropping-particle":"van"},{"family":"Heiden","given":"Ilse P.","non-dropping-particle":"van der"},{"family":"Anker","given":"John N.","non-dropping-particle":"van den"},{"family":"Lindemans","given":"Jan"}],"issued":{"date-parts":[["2002",10]]}}}],"schema":"https://github.com/citation-style-language/schema/raw/master/csl-citation.json"}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13</w:t>
            </w:r>
            <w:r w:rsidRPr="00395834">
              <w:rPr>
                <w:sz w:val="20"/>
                <w:szCs w:val="20"/>
                <w:lang w:val="en-GB"/>
              </w:rPr>
              <w:fldChar w:fldCharType="end"/>
            </w:r>
          </w:p>
        </w:tc>
      </w:tr>
      <w:tr w:rsidR="00FA2079" w:rsidRPr="00D712DE" w14:paraId="5E3D9A6F" w14:textId="77777777" w:rsidTr="002F194E">
        <w:tc>
          <w:tcPr>
            <w:tcW w:w="2269" w:type="dxa"/>
            <w:tcBorders>
              <w:top w:val="nil"/>
              <w:bottom w:val="nil"/>
              <w:right w:val="nil"/>
            </w:tcBorders>
          </w:tcPr>
          <w:p w14:paraId="0462AE50"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58C5F6CC" w14:textId="34BF8D3E" w:rsidR="00FA2079" w:rsidRPr="00D712DE" w:rsidRDefault="00FA2079" w:rsidP="004C6016">
            <w:pPr>
              <w:rPr>
                <w:sz w:val="20"/>
                <w:szCs w:val="20"/>
                <w:lang w:val="en-GB"/>
              </w:rPr>
            </w:pPr>
            <w:r>
              <w:rPr>
                <w:sz w:val="20"/>
                <w:szCs w:val="20"/>
                <w:lang w:val="en-GB"/>
              </w:rPr>
              <w:t>*6</w:t>
            </w:r>
          </w:p>
        </w:tc>
        <w:tc>
          <w:tcPr>
            <w:tcW w:w="1701" w:type="dxa"/>
            <w:tcBorders>
              <w:top w:val="nil"/>
              <w:left w:val="nil"/>
              <w:bottom w:val="single" w:sz="4" w:space="0" w:color="auto"/>
              <w:right w:val="nil"/>
            </w:tcBorders>
          </w:tcPr>
          <w:p w14:paraId="3D99D1BE" w14:textId="339A4131"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single" w:sz="4" w:space="0" w:color="auto"/>
              <w:right w:val="nil"/>
            </w:tcBorders>
          </w:tcPr>
          <w:p w14:paraId="51103380" w14:textId="64BDE07D" w:rsidR="00FA2079" w:rsidRPr="00D712DE" w:rsidRDefault="00395834" w:rsidP="004C6016">
            <w:pPr>
              <w:tabs>
                <w:tab w:val="decimal" w:pos="1451"/>
              </w:tabs>
              <w:rPr>
                <w:sz w:val="20"/>
                <w:szCs w:val="20"/>
                <w:lang w:val="en-GB"/>
              </w:rPr>
            </w:pPr>
            <w:r>
              <w:rPr>
                <w:sz w:val="20"/>
                <w:szCs w:val="20"/>
                <w:lang w:val="en-GB"/>
              </w:rPr>
              <w:t>-</w:t>
            </w:r>
          </w:p>
        </w:tc>
        <w:tc>
          <w:tcPr>
            <w:tcW w:w="992" w:type="dxa"/>
            <w:tcBorders>
              <w:top w:val="nil"/>
              <w:left w:val="nil"/>
              <w:bottom w:val="single" w:sz="4" w:space="0" w:color="auto"/>
            </w:tcBorders>
          </w:tcPr>
          <w:p w14:paraId="7594884B" w14:textId="07495B03" w:rsidR="00FA2079" w:rsidRPr="00395834" w:rsidRDefault="00FA2079" w:rsidP="002F194E">
            <w:pPr>
              <w:jc w:val="center"/>
              <w:rPr>
                <w:sz w:val="20"/>
                <w:szCs w:val="20"/>
                <w:lang w:val="en-GB"/>
              </w:rPr>
            </w:pPr>
          </w:p>
        </w:tc>
      </w:tr>
      <w:tr w:rsidR="00FA2079" w:rsidRPr="00D712DE" w14:paraId="74C7B22C" w14:textId="77777777" w:rsidTr="002F194E">
        <w:tc>
          <w:tcPr>
            <w:tcW w:w="2269" w:type="dxa"/>
            <w:tcBorders>
              <w:top w:val="nil"/>
              <w:bottom w:val="nil"/>
              <w:right w:val="nil"/>
            </w:tcBorders>
          </w:tcPr>
          <w:p w14:paraId="4639375E" w14:textId="77777777" w:rsidR="00FA2079" w:rsidRPr="00D712DE" w:rsidRDefault="00FA2079" w:rsidP="004C6016">
            <w:pPr>
              <w:rPr>
                <w:i/>
                <w:sz w:val="20"/>
                <w:szCs w:val="20"/>
                <w:lang w:val="en-GB"/>
              </w:rPr>
            </w:pPr>
          </w:p>
        </w:tc>
        <w:tc>
          <w:tcPr>
            <w:tcW w:w="3402" w:type="dxa"/>
            <w:tcBorders>
              <w:left w:val="nil"/>
              <w:bottom w:val="nil"/>
              <w:right w:val="nil"/>
            </w:tcBorders>
          </w:tcPr>
          <w:p w14:paraId="1C0DFD0C" w14:textId="154718FE" w:rsidR="00FA2079" w:rsidRDefault="00FA2079" w:rsidP="004C6016">
            <w:pPr>
              <w:rPr>
                <w:sz w:val="20"/>
                <w:szCs w:val="20"/>
                <w:lang w:val="en-GB"/>
              </w:rPr>
            </w:pPr>
            <w:r>
              <w:rPr>
                <w:sz w:val="20"/>
                <w:szCs w:val="20"/>
                <w:lang w:val="en-GB"/>
              </w:rPr>
              <w:t>N</w:t>
            </w:r>
            <w:r w:rsidRPr="00D712DE">
              <w:rPr>
                <w:sz w:val="20"/>
                <w:szCs w:val="20"/>
                <w:lang w:val="en-GB"/>
              </w:rPr>
              <w:t>on-expressor</w:t>
            </w:r>
          </w:p>
        </w:tc>
        <w:tc>
          <w:tcPr>
            <w:tcW w:w="1701" w:type="dxa"/>
            <w:tcBorders>
              <w:left w:val="nil"/>
              <w:bottom w:val="nil"/>
              <w:right w:val="nil"/>
            </w:tcBorders>
          </w:tcPr>
          <w:p w14:paraId="5FB17E6A" w14:textId="63967574" w:rsidR="00FA2079" w:rsidRDefault="00FA2079" w:rsidP="004C6016">
            <w:pPr>
              <w:tabs>
                <w:tab w:val="decimal" w:pos="1310"/>
              </w:tabs>
              <w:rPr>
                <w:sz w:val="20"/>
                <w:szCs w:val="20"/>
                <w:lang w:val="en-GB"/>
              </w:rPr>
            </w:pPr>
            <w:r>
              <w:rPr>
                <w:sz w:val="20"/>
                <w:szCs w:val="20"/>
                <w:lang w:val="en-GB"/>
              </w:rPr>
              <w:t>84.15</w:t>
            </w:r>
          </w:p>
        </w:tc>
        <w:tc>
          <w:tcPr>
            <w:tcW w:w="1417" w:type="dxa"/>
            <w:tcBorders>
              <w:left w:val="nil"/>
              <w:bottom w:val="nil"/>
              <w:right w:val="nil"/>
            </w:tcBorders>
          </w:tcPr>
          <w:p w14:paraId="374B862B" w14:textId="1E24D14A" w:rsidR="00FA2079" w:rsidRPr="00D712DE" w:rsidRDefault="00FA2079" w:rsidP="004C6016">
            <w:pPr>
              <w:tabs>
                <w:tab w:val="decimal" w:pos="1451"/>
              </w:tabs>
              <w:rPr>
                <w:sz w:val="20"/>
                <w:szCs w:val="20"/>
                <w:lang w:val="en-GB"/>
              </w:rPr>
            </w:pPr>
            <w:r w:rsidRPr="00D712DE">
              <w:rPr>
                <w:sz w:val="20"/>
                <w:szCs w:val="20"/>
                <w:lang w:val="en-GB"/>
              </w:rPr>
              <w:t>81.4</w:t>
            </w:r>
          </w:p>
        </w:tc>
        <w:tc>
          <w:tcPr>
            <w:tcW w:w="992" w:type="dxa"/>
            <w:tcBorders>
              <w:top w:val="single" w:sz="4" w:space="0" w:color="auto"/>
              <w:left w:val="nil"/>
              <w:bottom w:val="nil"/>
            </w:tcBorders>
          </w:tcPr>
          <w:p w14:paraId="6766FB68" w14:textId="13131B40"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{"citationID":"lin7jA5f","properties":{"formattedCitation":"\\super 13\\nosupersub{}","plainCitation":"13","noteIndex":0},"citationItems":[{"id":113,"uris":["http://zotero.org/users/local/tKhEs3aL/items/V7EBPDM7"],"uri":["http://zotero.org/users/local/tKhEs3aL/items/V7EBPDM7"],"itemData":{"id":113,"type":"article-journal","abstract":"BACKGROUND: Enzymes of the cytochrome P450 3A (CYP3A) family are responsible for the metabolism of &gt;50% of currently prescribed drugs. CYP3A5 is expressed in a limited number of individuals. The absence of CYP3A5 expression in approximately 70% of Caucasians was recently correlated to a genetic polymorphism (CYP3A5*3). Because CYP3A5 may represent up to 50% of total CYP3A protein in individuals polymorphically expressing CYP3A5, it may have a major role in variation of CYP3A-mediated drug metabolism. Using sequencing, have been identified (Hustert et al. Pharmacogenetics 2001;11:773-9; Kuehl et al. Nat Genet 2001;27:383-91) variant alleles *2 through *7 for CYP3A5. Detection of CYP3A5 variant alleles, and knowledge about their allelic frequency in specific ethnic groups, is important to establish the clinical relevance of screening for these polymorphisms to optimize pharmacotherapy.\nMETHODS: In a group of 500 healthy Dutch Caucasian blood donors, we determined the allelic frequency of the CYP3A5*2, *3, *4, *5, *6, and *7 alleles by use of newly developed PCR-restriction fragment length polymorphism assays.\nRESULTS: The frequency of the defective CYP3A5*3 allele in the Dutch Caucasian population was 91%, followed by the CYP3A5*2 (1%) and CYP3A5*6 (0.1%) alleles. The CYP3A5*4, *5, and *7 alleles were not detected.\nCONCLUSIONS: On the basis of its allelic frequency, screening for the CYP3A5*3 allele in the Caucasian population is extremely relevant. In addition, screening for the CYP3A5*2 allele may be taken into consideration in individuals heterozygous for the CYP3A5*3 allele. The CYP3A5*4, *5, *6, and *7 alleles have low allelic frequencies that do not support initial screening.","container-title":"Clinical Chemistry","ISSN":"0009-9147","issue":"10","journalAbbreviation":"Clin. Chem.","language":"eng","note":"PMID: 12324482","page":"1668-1671","source":"PubMed","title":"CYP3A5 variant allele frequencies in Dutch Caucasians","volume":"48","author":[{"family":"Schaik","given":"Ron H. N.","non-dropping-particle":"van"},{"family":"Heiden","given":"Ilse P.","non-dropping-particle":"van der"},{"family":"Anker","given":"John N.","non-dropping-particle":"van den"},{"family":"Lindemans","given":"Jan"}],"issued":{"date-parts":[["2002",10]]}}}],"schema":"https://github.com/citation-style-language/schema/raw/master/csl-citation.json"}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13</w:t>
            </w:r>
            <w:r w:rsidRPr="00395834">
              <w:rPr>
                <w:sz w:val="20"/>
                <w:szCs w:val="20"/>
                <w:lang w:val="en-GB"/>
              </w:rPr>
              <w:fldChar w:fldCharType="end"/>
            </w:r>
          </w:p>
        </w:tc>
      </w:tr>
      <w:tr w:rsidR="00FA2079" w:rsidRPr="00D712DE" w14:paraId="7A9E198B" w14:textId="77777777" w:rsidTr="002F194E">
        <w:tc>
          <w:tcPr>
            <w:tcW w:w="2269" w:type="dxa"/>
            <w:tcBorders>
              <w:top w:val="nil"/>
              <w:bottom w:val="nil"/>
              <w:right w:val="nil"/>
            </w:tcBorders>
          </w:tcPr>
          <w:p w14:paraId="54212AE5"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17778203" w14:textId="43015551" w:rsidR="00FA2079" w:rsidRDefault="00FA2079" w:rsidP="004C6016">
            <w:pPr>
              <w:rPr>
                <w:sz w:val="20"/>
                <w:szCs w:val="20"/>
                <w:lang w:val="en-GB"/>
              </w:rPr>
            </w:pPr>
            <w:r>
              <w:rPr>
                <w:sz w:val="20"/>
                <w:szCs w:val="20"/>
                <w:lang w:val="en-GB"/>
              </w:rPr>
              <w:t>H</w:t>
            </w:r>
            <w:r w:rsidRPr="00D712DE">
              <w:rPr>
                <w:sz w:val="20"/>
                <w:szCs w:val="20"/>
                <w:lang w:val="en-GB"/>
              </w:rPr>
              <w:t>eterozygous expressor</w:t>
            </w:r>
          </w:p>
        </w:tc>
        <w:tc>
          <w:tcPr>
            <w:tcW w:w="1701" w:type="dxa"/>
            <w:tcBorders>
              <w:top w:val="nil"/>
              <w:left w:val="nil"/>
              <w:bottom w:val="nil"/>
              <w:right w:val="nil"/>
            </w:tcBorders>
          </w:tcPr>
          <w:p w14:paraId="5EC3795E" w14:textId="2532EB74" w:rsidR="00FA2079" w:rsidRDefault="00FA2079" w:rsidP="004C6016">
            <w:pPr>
              <w:tabs>
                <w:tab w:val="decimal" w:pos="1310"/>
              </w:tabs>
              <w:rPr>
                <w:sz w:val="20"/>
                <w:szCs w:val="20"/>
                <w:lang w:val="en-GB"/>
              </w:rPr>
            </w:pPr>
            <w:r>
              <w:rPr>
                <w:sz w:val="20"/>
                <w:szCs w:val="20"/>
                <w:lang w:val="en-GB"/>
              </w:rPr>
              <w:t>14.63</w:t>
            </w:r>
          </w:p>
        </w:tc>
        <w:tc>
          <w:tcPr>
            <w:tcW w:w="1417" w:type="dxa"/>
            <w:tcBorders>
              <w:top w:val="nil"/>
              <w:left w:val="nil"/>
              <w:bottom w:val="nil"/>
              <w:right w:val="nil"/>
            </w:tcBorders>
          </w:tcPr>
          <w:p w14:paraId="0C13E18B" w14:textId="2D7F919D" w:rsidR="00FA2079" w:rsidRPr="00D712DE" w:rsidRDefault="00FA2079" w:rsidP="004C6016">
            <w:pPr>
              <w:tabs>
                <w:tab w:val="decimal" w:pos="1451"/>
              </w:tabs>
              <w:rPr>
                <w:sz w:val="20"/>
                <w:szCs w:val="20"/>
                <w:lang w:val="en-GB"/>
              </w:rPr>
            </w:pPr>
            <w:r w:rsidRPr="00D712DE">
              <w:rPr>
                <w:sz w:val="20"/>
                <w:szCs w:val="20"/>
                <w:lang w:val="en-GB"/>
              </w:rPr>
              <w:t>18.4</w:t>
            </w:r>
          </w:p>
        </w:tc>
        <w:tc>
          <w:tcPr>
            <w:tcW w:w="992" w:type="dxa"/>
            <w:tcBorders>
              <w:top w:val="nil"/>
              <w:left w:val="nil"/>
              <w:bottom w:val="nil"/>
            </w:tcBorders>
          </w:tcPr>
          <w:p w14:paraId="71C05587" w14:textId="7102892F"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{"citationID":"Di5CT0xt","properties":{"formattedCitation":"\\super 13\\nosupersub{}","plainCitation":"13","noteIndex":0},"citationItems":[{"id":113,"uris":["http://zotero.org/users/local/tKhEs3aL/items/V7EBPDM7"],"uri":["http://zotero.org/users/local/tKhEs3aL/items/V7EBPDM7"],"itemData":{"id":113,"type":"article-journal","abstract":"BACKGROUND: Enzymes of the cytochrome P450 3A (CYP3A) family are responsible for the metabolism of &gt;50% of currently prescribed drugs. CYP3A5 is expressed in a limited number of individuals. The absence of CYP3A5 expression in approximately 70% of Caucasians was recently correlated to a genetic polymorphism (CYP3A5*3). Because CYP3A5 may represent up to 50% of total CYP3A protein in individuals polymorphically expressing CYP3A5, it may have a major role in variation of CYP3A-mediated drug metabolism. Using sequencing, have been identified (Hustert et al. Pharmacogenetics 2001;11:773-9; Kuehl et al. Nat Genet 2001;27:383-91) variant alleles *2 through *7 for CYP3A5. Detection of CYP3A5 variant alleles, and knowledge about their allelic frequency in specific ethnic groups, is important to establish the clinical relevance of screening for these polymorphisms to optimize pharmacotherapy.\nMETHODS: In a group of 500 healthy Dutch Caucasian blood donors, we determined the allelic frequency of the CYP3A5*2, *3, *4, *5, *6, and *7 alleles by use of newly developed PCR-restriction fragment length polymorphism assays.\nRESULTS: The frequency of the defective CYP3A5*3 allele in the Dutch Caucasian population was 91%, followed by the CYP3A5*2 (1%) and CYP3A5*6 (0.1%) alleles. The CYP3A5*4, *5, and *7 alleles were not detected.\nCONCLUSIONS: On the basis of its allelic frequency, screening for the CYP3A5*3 allele in the Caucasian population is extremely relevant. In addition, screening for the CYP3A5*2 allele may be taken into consideration in individuals heterozygous for the CYP3A5*3 allele. The CYP3A5*4, *5, *6, and *7 alleles have low allelic frequencies that do not support initial screening.","container-title":"Clinical Chemistry","ISSN":"0009-9147","issue":"10","journalAbbreviation":"Clin. Chem.","language":"eng","note":"PMID: 12324482","page":"1668-1671","source":"PubMed","title":"CYP3A5 variant allele frequencies in Dutch Caucasians","volume":"48","author":[{"family":"Schaik","given":"Ron H. N.","non-dropping-particle":"van"},{"family":"Heiden","given":"Ilse P.","non-dropping-particle":"van der"},{"family":"Anker","given":"John N.","non-dropping-particle":"van den"},{"family":"Lindemans","given":"Jan"}],"issued":{"date-parts":[["2002",10]]}}}],"schema":"https://github.com/citation-style-language/schema/raw/master/csl-citation.json"}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13</w:t>
            </w:r>
            <w:r w:rsidRPr="00395834">
              <w:rPr>
                <w:sz w:val="20"/>
                <w:szCs w:val="20"/>
                <w:lang w:val="en-GB"/>
              </w:rPr>
              <w:fldChar w:fldCharType="end"/>
            </w:r>
          </w:p>
        </w:tc>
      </w:tr>
      <w:tr w:rsidR="00FA2079" w:rsidRPr="00D712DE" w14:paraId="69F3C2AB" w14:textId="77777777" w:rsidTr="002F194E">
        <w:tc>
          <w:tcPr>
            <w:tcW w:w="2269" w:type="dxa"/>
            <w:tcBorders>
              <w:top w:val="nil"/>
              <w:bottom w:val="single" w:sz="4" w:space="0" w:color="auto"/>
              <w:right w:val="nil"/>
            </w:tcBorders>
          </w:tcPr>
          <w:p w14:paraId="21273D35"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7963D345" w14:textId="7453D69D" w:rsidR="00FA2079" w:rsidRDefault="00FA2079" w:rsidP="004C6016">
            <w:pPr>
              <w:rPr>
                <w:sz w:val="20"/>
                <w:szCs w:val="20"/>
                <w:lang w:val="en-GB"/>
              </w:rPr>
            </w:pPr>
            <w:r>
              <w:rPr>
                <w:sz w:val="20"/>
                <w:szCs w:val="20"/>
                <w:lang w:val="en-GB"/>
              </w:rPr>
              <w:t>H</w:t>
            </w:r>
            <w:r w:rsidRPr="00D712DE">
              <w:rPr>
                <w:sz w:val="20"/>
                <w:szCs w:val="20"/>
                <w:lang w:val="en-GB"/>
              </w:rPr>
              <w:t>omozygous expressor</w:t>
            </w:r>
          </w:p>
        </w:tc>
        <w:tc>
          <w:tcPr>
            <w:tcW w:w="1701" w:type="dxa"/>
            <w:tcBorders>
              <w:top w:val="nil"/>
              <w:left w:val="nil"/>
              <w:bottom w:val="single" w:sz="4" w:space="0" w:color="auto"/>
              <w:right w:val="nil"/>
            </w:tcBorders>
          </w:tcPr>
          <w:p w14:paraId="05AD070A" w14:textId="4F5D3128" w:rsidR="00FA2079" w:rsidRDefault="00FA2079" w:rsidP="004C6016">
            <w:pPr>
              <w:tabs>
                <w:tab w:val="decimal" w:pos="1310"/>
              </w:tabs>
              <w:rPr>
                <w:sz w:val="20"/>
                <w:szCs w:val="20"/>
                <w:lang w:val="en-GB"/>
              </w:rPr>
            </w:pPr>
            <w:r>
              <w:rPr>
                <w:sz w:val="20"/>
                <w:szCs w:val="20"/>
                <w:lang w:val="en-GB"/>
              </w:rPr>
              <w:t>1.22</w:t>
            </w:r>
          </w:p>
        </w:tc>
        <w:tc>
          <w:tcPr>
            <w:tcW w:w="1417" w:type="dxa"/>
            <w:tcBorders>
              <w:top w:val="nil"/>
              <w:left w:val="nil"/>
              <w:bottom w:val="single" w:sz="4" w:space="0" w:color="auto"/>
              <w:right w:val="nil"/>
            </w:tcBorders>
          </w:tcPr>
          <w:p w14:paraId="59F3BF9B" w14:textId="4533A991" w:rsidR="00FA2079" w:rsidRPr="00D712DE" w:rsidRDefault="00FA2079" w:rsidP="004C6016">
            <w:pPr>
              <w:tabs>
                <w:tab w:val="decimal" w:pos="1451"/>
              </w:tabs>
              <w:rPr>
                <w:sz w:val="20"/>
                <w:szCs w:val="20"/>
                <w:lang w:val="en-GB"/>
              </w:rPr>
            </w:pPr>
            <w:r w:rsidRPr="00D712DE">
              <w:rPr>
                <w:sz w:val="20"/>
                <w:szCs w:val="20"/>
                <w:lang w:val="en-GB"/>
              </w:rPr>
              <w:t>0.2</w:t>
            </w:r>
          </w:p>
        </w:tc>
        <w:tc>
          <w:tcPr>
            <w:tcW w:w="992" w:type="dxa"/>
            <w:tcBorders>
              <w:top w:val="nil"/>
              <w:left w:val="nil"/>
              <w:bottom w:val="single" w:sz="4" w:space="0" w:color="auto"/>
            </w:tcBorders>
          </w:tcPr>
          <w:p w14:paraId="770A8741" w14:textId="7E1DC872" w:rsidR="00FA2079" w:rsidRPr="00395834" w:rsidRDefault="002021E2"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{"citationID":"z9dldAFg","properties":{"formattedCitation":"\\super 13\\nosupersub{}","plainCitation":"13","noteIndex":0},"citationItems":[{"id":113,"uris":["http://zotero.org/users/local/tKhEs3aL/items/V7EBPDM7"],"uri":["http://zotero.org/users/local/tKhEs3aL/items/V7EBPDM7"],"itemData":{"id":113,"type":"article-journal","abstract":"BACKGROUND: Enzymes of the cytochrome P450 3A (CYP3A) family are responsible for the metabolism of &gt;50% of currently prescribed drugs. CYP3A5 is expressed in a limited number of individuals. The absence of CYP3A5 expression in approximately 70% of Caucasians was recently correlated to a genetic polymorphism (CYP3A5*3). Because CYP3A5 may represent up to 50% of total CYP3A protein in individuals polymorphically expressing CYP3A5, it may have a major role in variation of CYP3A-mediated drug metabolism. Using sequencing, have been identified (Hustert et al. Pharmacogenetics 2001;11:773-9; Kuehl et al. Nat Genet 2001;27:383-91) variant alleles *2 through *7 for CYP3A5. Detection of CYP3A5 variant alleles, and knowledge about their allelic frequency in specific ethnic groups, is important to establish the clinical relevance of screening for these polymorphisms to optimize pharmacotherapy.\nMETHODS: In a group of 500 healthy Dutch Caucasian blood donors, we determined the allelic frequency of the CYP3A5*2, *3, *4, *5, *6, and *7 alleles by use of newly developed PCR-restriction fragment length polymorphism assays.\nRESULTS: The frequency of the defective CYP3A5*3 allele in the Dutch Caucasian population was 91%, followed by the CYP3A5*2 (1%) and CYP3A5*6 (0.1%) alleles. The CYP3A5*4, *5, and *7 alleles were not detected.\nCONCLUSIONS: On the basis of its allelic frequency, screening for the CYP3A5*3 allele in the Caucasian population is extremely relevant. In addition, screening for the CYP3A5*2 allele may be taken into consideration in individuals heterozygous for the CYP3A5*3 allele. The CYP3A5*4, *5, *6, and *7 alleles have low allelic frequencies that do not support initial screening.","container-title":"Clinical Chemistry","ISSN":"0009-9147","issue":"10","journalAbbreviation":"Clin. Chem.","language":"eng","note":"PMID: 12324482","page":"1668-1671","source":"PubMed","title":"CYP3A5 variant allele frequencies in Dutch Caucasians","volume":"48","author":[{"family":"Schaik","given":"Ron H. N.","non-dropping-particle":"van"},{"family":"Heiden","given":"Ilse P.","non-dropping-particle":"van der"},{"family":"Anker","given":"John N.","non-dropping-particle":"van den"},{"family":"Lindemans","given":"Jan"}],"issued":{"date-parts":[["2002",10]]}}}],"schema":"https://github.com/citation-style-language/schema/raw/master/csl-citation.json"}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13</w:t>
            </w:r>
            <w:r w:rsidRPr="00395834">
              <w:rPr>
                <w:sz w:val="20"/>
                <w:szCs w:val="20"/>
                <w:lang w:val="en-GB"/>
              </w:rPr>
              <w:fldChar w:fldCharType="end"/>
            </w:r>
          </w:p>
        </w:tc>
      </w:tr>
      <w:tr w:rsidR="00FA2079" w:rsidRPr="00D712DE" w14:paraId="136D7FC1" w14:textId="77777777" w:rsidTr="002F194E">
        <w:tc>
          <w:tcPr>
            <w:tcW w:w="2269" w:type="dxa"/>
            <w:tcBorders>
              <w:bottom w:val="nil"/>
              <w:right w:val="nil"/>
            </w:tcBorders>
          </w:tcPr>
          <w:p w14:paraId="3F126AFB" w14:textId="19A1B136" w:rsidR="00FA2079" w:rsidRPr="00194E48" w:rsidRDefault="00FA2079" w:rsidP="004C6016">
            <w:pPr>
              <w:rPr>
                <w:b/>
                <w:i/>
                <w:sz w:val="20"/>
                <w:szCs w:val="20"/>
                <w:lang w:val="en-GB"/>
              </w:rPr>
            </w:pPr>
            <w:r w:rsidRPr="00194E48">
              <w:rPr>
                <w:b/>
                <w:i/>
                <w:sz w:val="20"/>
                <w:szCs w:val="20"/>
                <w:lang w:val="en-GB"/>
              </w:rPr>
              <w:t xml:space="preserve">Factor V </w:t>
            </w:r>
          </w:p>
        </w:tc>
        <w:tc>
          <w:tcPr>
            <w:tcW w:w="3402" w:type="dxa"/>
            <w:tcBorders>
              <w:left w:val="nil"/>
              <w:bottom w:val="nil"/>
              <w:right w:val="nil"/>
            </w:tcBorders>
          </w:tcPr>
          <w:p w14:paraId="409EEAA3" w14:textId="6780E2E4" w:rsidR="00FA2079" w:rsidRPr="00D712DE" w:rsidRDefault="00FA2079" w:rsidP="004C6016">
            <w:pPr>
              <w:rPr>
                <w:sz w:val="20"/>
                <w:szCs w:val="20"/>
                <w:lang w:val="en-GB"/>
              </w:rPr>
            </w:pPr>
            <w:r w:rsidRPr="00D712DE">
              <w:rPr>
                <w:sz w:val="20"/>
                <w:szCs w:val="20"/>
                <w:lang w:val="en-GB"/>
              </w:rPr>
              <w:t>Wildtype</w:t>
            </w:r>
            <w:r>
              <w:rPr>
                <w:sz w:val="20"/>
                <w:szCs w:val="20"/>
                <w:lang w:val="en-GB"/>
              </w:rPr>
              <w:t xml:space="preserve"> allele</w:t>
            </w:r>
          </w:p>
        </w:tc>
        <w:tc>
          <w:tcPr>
            <w:tcW w:w="1701" w:type="dxa"/>
            <w:tcBorders>
              <w:left w:val="nil"/>
              <w:bottom w:val="nil"/>
              <w:right w:val="nil"/>
            </w:tcBorders>
          </w:tcPr>
          <w:p w14:paraId="2B9C45AF" w14:textId="589A652A" w:rsidR="00FA2079" w:rsidRPr="00D712DE" w:rsidRDefault="00FA2079" w:rsidP="004C6016">
            <w:pPr>
              <w:tabs>
                <w:tab w:val="decimal" w:pos="1310"/>
              </w:tabs>
              <w:rPr>
                <w:sz w:val="20"/>
                <w:szCs w:val="20"/>
                <w:lang w:val="en-GB"/>
              </w:rPr>
            </w:pPr>
            <w:r>
              <w:rPr>
                <w:sz w:val="20"/>
                <w:szCs w:val="20"/>
                <w:lang w:val="en-GB"/>
              </w:rPr>
              <w:t>94.82</w:t>
            </w:r>
          </w:p>
        </w:tc>
        <w:tc>
          <w:tcPr>
            <w:tcW w:w="1417" w:type="dxa"/>
            <w:tcBorders>
              <w:left w:val="nil"/>
              <w:bottom w:val="nil"/>
              <w:right w:val="nil"/>
            </w:tcBorders>
          </w:tcPr>
          <w:p w14:paraId="252A1594" w14:textId="77777777" w:rsidR="00FA2079" w:rsidRPr="00D712DE" w:rsidRDefault="00FA2079" w:rsidP="004C6016">
            <w:pPr>
              <w:tabs>
                <w:tab w:val="decimal" w:pos="1451"/>
              </w:tabs>
              <w:rPr>
                <w:sz w:val="20"/>
                <w:szCs w:val="20"/>
                <w:lang w:val="en-GB"/>
              </w:rPr>
            </w:pPr>
            <w:r w:rsidRPr="00D712DE">
              <w:rPr>
                <w:sz w:val="20"/>
                <w:szCs w:val="20"/>
                <w:lang w:val="en-GB"/>
              </w:rPr>
              <w:t>95.6</w:t>
            </w:r>
          </w:p>
        </w:tc>
        <w:tc>
          <w:tcPr>
            <w:tcW w:w="992" w:type="dxa"/>
            <w:tcBorders>
              <w:left w:val="nil"/>
              <w:bottom w:val="nil"/>
            </w:tcBorders>
          </w:tcPr>
          <w:p w14:paraId="5A8AA1C9" w14:textId="008947A3" w:rsidR="00FA2079" w:rsidRPr="00395834" w:rsidRDefault="00395834"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{"citationID":"oZv3KMln","properties":{"formattedCitation":"\\super 14\\nosupersub{}","plainCitation":"14","noteIndex":0},"citationItems":[{"id":117,"uris":["http://zotero.org/users/local/tKhEs3aL/items/YDHN5V6V"],"uri":["http://zotero.org/users/local/tKhEs3aL/items/YDHN5V6V"],"itemData":{"id":117,"type":"article-journal","container-title":"The Lancet","DOI":"10.1016/S0140-6736(95)91803-5","ISSN":"01406736","issue":"8983","journalAbbreviation":"The Lancet","language":"en","page":"1133-1134","source":"DOI.org (Crossref)","title":"World distribution of factor V Leiden","volume":"346","author":[{"family":"Rees","given":"D.C."},{"family":"Cox","given":"M."},{"family":"Clegg","given":"J.B."}],"issued":{"date-parts":[["1995",10]]}}}],"schema":"https://github.com/citation-style-language/schema/raw/master/csl-citation.json"}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14</w:t>
            </w:r>
            <w:r w:rsidRPr="00395834">
              <w:rPr>
                <w:sz w:val="20"/>
                <w:szCs w:val="20"/>
                <w:lang w:val="en-GB"/>
              </w:rPr>
              <w:fldChar w:fldCharType="end"/>
            </w:r>
          </w:p>
        </w:tc>
      </w:tr>
      <w:tr w:rsidR="00FA2079" w:rsidRPr="00D712DE" w14:paraId="74D81935" w14:textId="77777777" w:rsidTr="002F194E">
        <w:tc>
          <w:tcPr>
            <w:tcW w:w="2269" w:type="dxa"/>
            <w:tcBorders>
              <w:top w:val="nil"/>
              <w:bottom w:val="nil"/>
              <w:right w:val="nil"/>
            </w:tcBorders>
          </w:tcPr>
          <w:p w14:paraId="6ACAB985" w14:textId="5A6FC12A"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single" w:sz="4" w:space="0" w:color="auto"/>
              <w:right w:val="nil"/>
            </w:tcBorders>
          </w:tcPr>
          <w:p w14:paraId="7E3C1C2C" w14:textId="38E73B66" w:rsidR="00FA2079" w:rsidRPr="00D712DE" w:rsidRDefault="00FA2079" w:rsidP="004C6016">
            <w:pPr>
              <w:rPr>
                <w:sz w:val="20"/>
                <w:szCs w:val="20"/>
                <w:lang w:val="en-GB"/>
              </w:rPr>
            </w:pPr>
            <w:r w:rsidRPr="00D712DE">
              <w:rPr>
                <w:sz w:val="20"/>
                <w:szCs w:val="20"/>
                <w:lang w:val="en-GB"/>
              </w:rPr>
              <w:t>Leiden mutation</w:t>
            </w:r>
          </w:p>
        </w:tc>
        <w:tc>
          <w:tcPr>
            <w:tcW w:w="1701" w:type="dxa"/>
            <w:tcBorders>
              <w:top w:val="nil"/>
              <w:left w:val="nil"/>
              <w:bottom w:val="single" w:sz="4" w:space="0" w:color="auto"/>
              <w:right w:val="nil"/>
            </w:tcBorders>
          </w:tcPr>
          <w:p w14:paraId="6311C3BC" w14:textId="3518E30B" w:rsidR="00FA2079" w:rsidRPr="00D712DE" w:rsidRDefault="00FA2079" w:rsidP="004C6016">
            <w:pPr>
              <w:tabs>
                <w:tab w:val="decimal" w:pos="1310"/>
              </w:tabs>
              <w:rPr>
                <w:sz w:val="20"/>
                <w:szCs w:val="20"/>
                <w:lang w:val="en-GB"/>
              </w:rPr>
            </w:pPr>
            <w:r>
              <w:rPr>
                <w:sz w:val="20"/>
                <w:szCs w:val="20"/>
                <w:lang w:val="en-GB"/>
              </w:rPr>
              <w:t>5.18</w:t>
            </w:r>
          </w:p>
        </w:tc>
        <w:tc>
          <w:tcPr>
            <w:tcW w:w="1417" w:type="dxa"/>
            <w:tcBorders>
              <w:top w:val="nil"/>
              <w:left w:val="nil"/>
              <w:bottom w:val="single" w:sz="4" w:space="0" w:color="auto"/>
              <w:right w:val="nil"/>
            </w:tcBorders>
          </w:tcPr>
          <w:p w14:paraId="3B8EF7F6" w14:textId="77777777" w:rsidR="00FA2079" w:rsidRPr="00D712DE" w:rsidRDefault="00FA2079" w:rsidP="004C6016">
            <w:pPr>
              <w:tabs>
                <w:tab w:val="decimal" w:pos="1451"/>
              </w:tabs>
              <w:rPr>
                <w:sz w:val="20"/>
                <w:szCs w:val="20"/>
                <w:lang w:val="en-GB"/>
              </w:rPr>
            </w:pPr>
            <w:r w:rsidRPr="00D712DE">
              <w:rPr>
                <w:sz w:val="20"/>
                <w:szCs w:val="20"/>
                <w:lang w:val="en-GB"/>
              </w:rPr>
              <w:t>4.4</w:t>
            </w:r>
          </w:p>
        </w:tc>
        <w:tc>
          <w:tcPr>
            <w:tcW w:w="992" w:type="dxa"/>
            <w:tcBorders>
              <w:top w:val="nil"/>
              <w:left w:val="nil"/>
              <w:bottom w:val="single" w:sz="4" w:space="0" w:color="auto"/>
            </w:tcBorders>
          </w:tcPr>
          <w:p w14:paraId="76CB6B16" w14:textId="30BEE86B" w:rsidR="00FA2079" w:rsidRPr="00D712DE" w:rsidRDefault="00395834"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{"citationID":"j2s0NtUa","properties":{"formattedCitation":"\\super 14\\nosupersub{}","plainCitation":"14","noteIndex":0},"citationItems":[{"id":117,"uris":["http://zotero.org/users/local/tKhEs3aL/items/YDHN5V6V"],"uri":["http://zotero.org/users/local/tKhEs3aL/items/YDHN5V6V"],"itemData":{"id":117,"type":"article-journal","container-title":"The Lancet","DOI":"10.1016/S0140-6736(95)91803-5","ISSN":"01406736","issue":"8983","journalAbbreviation":"The Lancet","language":"en","page":"1133-1134","source":"DOI.org (Crossref)","title":"World distribution of factor V Leiden","volume":"346","author":[{"family":"Rees","given":"D.C."},{"family":"Cox","given":"M."},{"family":"Clegg","given":"J.B."}],"issued":{"date-parts":[["1995",10]]}}}],"schema":"https://github.com/citation-style-language/schema/raw/master/csl-citation.json"}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14</w:t>
            </w:r>
            <w:r w:rsidRPr="00395834">
              <w:rPr>
                <w:sz w:val="20"/>
                <w:szCs w:val="20"/>
                <w:lang w:val="en-GB"/>
              </w:rPr>
              <w:fldChar w:fldCharType="end"/>
            </w:r>
          </w:p>
        </w:tc>
      </w:tr>
      <w:tr w:rsidR="00FA2079" w:rsidRPr="00D712DE" w14:paraId="272618EC" w14:textId="77777777" w:rsidTr="002F194E">
        <w:tc>
          <w:tcPr>
            <w:tcW w:w="2269" w:type="dxa"/>
            <w:tcBorders>
              <w:top w:val="nil"/>
              <w:bottom w:val="nil"/>
              <w:right w:val="nil"/>
            </w:tcBorders>
          </w:tcPr>
          <w:p w14:paraId="0923B304" w14:textId="77777777" w:rsidR="00FA2079" w:rsidRDefault="00FA2079" w:rsidP="004C6016">
            <w:pPr>
              <w:rPr>
                <w:sz w:val="20"/>
                <w:szCs w:val="20"/>
                <w:lang w:val="en-GB"/>
              </w:rPr>
            </w:pPr>
          </w:p>
        </w:tc>
        <w:tc>
          <w:tcPr>
            <w:tcW w:w="3402" w:type="dxa"/>
            <w:tcBorders>
              <w:left w:val="nil"/>
              <w:bottom w:val="nil"/>
              <w:right w:val="nil"/>
            </w:tcBorders>
          </w:tcPr>
          <w:p w14:paraId="39975667" w14:textId="15826456" w:rsidR="00FA2079" w:rsidRPr="00D712DE" w:rsidRDefault="00FA2079" w:rsidP="004C6016">
            <w:pPr>
              <w:rPr>
                <w:sz w:val="20"/>
                <w:szCs w:val="20"/>
                <w:lang w:val="en-GB"/>
              </w:rPr>
            </w:pPr>
            <w:r>
              <w:rPr>
                <w:sz w:val="20"/>
                <w:szCs w:val="20"/>
                <w:lang w:val="en-GB"/>
              </w:rPr>
              <w:t>Homozygous wildtype</w:t>
            </w:r>
          </w:p>
        </w:tc>
        <w:tc>
          <w:tcPr>
            <w:tcW w:w="1701" w:type="dxa"/>
            <w:tcBorders>
              <w:left w:val="nil"/>
              <w:bottom w:val="nil"/>
              <w:right w:val="nil"/>
            </w:tcBorders>
          </w:tcPr>
          <w:p w14:paraId="7DDA7EDD" w14:textId="6D1CE846" w:rsidR="00FA2079" w:rsidRDefault="00FA2079" w:rsidP="004C6016">
            <w:pPr>
              <w:tabs>
                <w:tab w:val="decimal" w:pos="1310"/>
              </w:tabs>
              <w:rPr>
                <w:sz w:val="20"/>
                <w:szCs w:val="20"/>
                <w:lang w:val="en-GB"/>
              </w:rPr>
            </w:pPr>
            <w:r>
              <w:rPr>
                <w:sz w:val="20"/>
                <w:szCs w:val="20"/>
                <w:lang w:val="en-GB"/>
              </w:rPr>
              <w:t>89.63</w:t>
            </w:r>
          </w:p>
        </w:tc>
        <w:tc>
          <w:tcPr>
            <w:tcW w:w="1417" w:type="dxa"/>
            <w:tcBorders>
              <w:left w:val="nil"/>
              <w:bottom w:val="nil"/>
              <w:right w:val="nil"/>
            </w:tcBorders>
          </w:tcPr>
          <w:p w14:paraId="4241CF22" w14:textId="0907B573" w:rsidR="00FA2079" w:rsidRPr="00D712DE" w:rsidRDefault="00FA2079" w:rsidP="004C6016">
            <w:pPr>
              <w:tabs>
                <w:tab w:val="decimal" w:pos="1451"/>
              </w:tabs>
              <w:rPr>
                <w:sz w:val="20"/>
                <w:szCs w:val="20"/>
                <w:lang w:val="en-GB"/>
              </w:rPr>
            </w:pPr>
            <w:r w:rsidRPr="00D712DE">
              <w:rPr>
                <w:sz w:val="20"/>
                <w:szCs w:val="20"/>
                <w:lang w:val="en-GB"/>
              </w:rPr>
              <w:t>97.05</w:t>
            </w:r>
          </w:p>
        </w:tc>
        <w:tc>
          <w:tcPr>
            <w:tcW w:w="992" w:type="dxa"/>
            <w:tcBorders>
              <w:left w:val="nil"/>
              <w:bottom w:val="nil"/>
            </w:tcBorders>
          </w:tcPr>
          <w:p w14:paraId="71B42616" w14:textId="0AE9EE6E" w:rsidR="00FA2079" w:rsidRPr="00395834" w:rsidRDefault="00395834"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{"citationID":"FMkKH66s","properties":{"formattedCitation":"\\super 15\\nosupersub{}","plainCitation":"15","noteIndex":0},"citationItems":[{"id":118,"uris":["http://zotero.org/users/local/tKhEs3aL/items/QPY4P8LU"],"uri":["http://zotero.org/users/local/tKhEs3aL/items/QPY4P8LU"],"itemData":{"id":118,"type":"article-journal","abstract":"Resistance to activated protein C (APC) is a common inherited risk factor for venous thrombosis, which is associated with a mutation in coagulation factor V (factor V Leiden). We investigated the risk of venous thrombosis in individuals homozygous for this abnormality. We determined the factor V Leiden genotype in 471 consecutive patients aged less than 70 years with a first objectively confirmed deep-vein thrombosis and in 474 healthy controls. We found 85 heterozygous and seven homozygous individuals among the cases with thrombosis and 14 heterozygous individuals among the control subjects. The expected number of homozygous individuals among the controls was calculated from Hardy-Weinberg equilibrium and estimated at 0.107 (allele frequency, 1.5%). Whereas the relative risk was increased sevenfold for heterozygous individuals, it was increased 80-fold for homozygous individuals. These patients experienced their thrombosis at a much younger age (31 v 44 years). The homozygous individuals were predominantly women, most likely due to the effect of oral contraceptives. Because of the increased risk of thrombosis with age, the absolute risk becomes most pronounced in older patients, both for heterozygous and homozygous individuals. For the homozygous individuals, the absolute risk may become several percentage points per year. This implies that most individuals homozygous for factor V Leiden will experience at least one thrombotic event in their lifetime.","container-title":"Blood","ISSN":"0006-4971","issue":"6","journalAbbreviation":"Blood","language":"eng","note":"PMID: 7888671","page":"1504-1508","source":"PubMed","title":"High risk of thrombosis in patients homozygous for factor V Leiden (activated protein C resistance)","volume":"85","author":[{"family":"Rosendaal","given":"F. R."},{"family":"Koster","given":"T."},{"family":"Vandenbroucke","given":"J. P."},{"family":"Reitsma","given":"P. H."}],"issued":{"date-parts":[["1995",3,15]]}}}],"schema":"https://github.com/citation-style-language/schema/raw/master/csl-citation.json"}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15</w:t>
            </w:r>
            <w:r w:rsidRPr="00395834">
              <w:rPr>
                <w:sz w:val="20"/>
                <w:szCs w:val="20"/>
                <w:lang w:val="en-GB"/>
              </w:rPr>
              <w:fldChar w:fldCharType="end"/>
            </w:r>
          </w:p>
        </w:tc>
      </w:tr>
      <w:tr w:rsidR="00FA2079" w:rsidRPr="00D712DE" w14:paraId="493EF5DC" w14:textId="77777777" w:rsidTr="002F194E">
        <w:tc>
          <w:tcPr>
            <w:tcW w:w="2269" w:type="dxa"/>
            <w:tcBorders>
              <w:top w:val="nil"/>
              <w:bottom w:val="nil"/>
              <w:right w:val="nil"/>
            </w:tcBorders>
          </w:tcPr>
          <w:p w14:paraId="7C3881BF" w14:textId="77777777" w:rsidR="00FA2079" w:rsidRDefault="00FA2079" w:rsidP="004C6016">
            <w:pPr>
              <w:rPr>
                <w:sz w:val="20"/>
                <w:szCs w:val="20"/>
                <w:lang w:val="en-GB"/>
              </w:rPr>
            </w:pPr>
          </w:p>
        </w:tc>
        <w:tc>
          <w:tcPr>
            <w:tcW w:w="3402" w:type="dxa"/>
            <w:tcBorders>
              <w:top w:val="nil"/>
              <w:left w:val="nil"/>
              <w:bottom w:val="nil"/>
              <w:right w:val="nil"/>
            </w:tcBorders>
          </w:tcPr>
          <w:p w14:paraId="1ED66BA8" w14:textId="3C4EDA8F" w:rsidR="00FA2079" w:rsidRPr="00FA2079" w:rsidRDefault="00FA2079" w:rsidP="004C6016">
            <w:pPr>
              <w:rPr>
                <w:sz w:val="20"/>
                <w:szCs w:val="20"/>
              </w:rPr>
            </w:pPr>
            <w:r w:rsidRPr="00FA2079">
              <w:rPr>
                <w:sz w:val="20"/>
                <w:szCs w:val="20"/>
              </w:rPr>
              <w:t>Heterozygous Leiden mutation</w:t>
            </w:r>
          </w:p>
        </w:tc>
        <w:tc>
          <w:tcPr>
            <w:tcW w:w="1701" w:type="dxa"/>
            <w:tcBorders>
              <w:top w:val="nil"/>
              <w:left w:val="nil"/>
              <w:bottom w:val="nil"/>
              <w:right w:val="nil"/>
            </w:tcBorders>
          </w:tcPr>
          <w:p w14:paraId="22ECDBD5" w14:textId="382365DC" w:rsidR="00FA2079" w:rsidRDefault="00FA2079" w:rsidP="004C6016">
            <w:pPr>
              <w:tabs>
                <w:tab w:val="decimal" w:pos="1310"/>
              </w:tabs>
              <w:rPr>
                <w:sz w:val="20"/>
                <w:szCs w:val="20"/>
                <w:lang w:val="en-GB"/>
              </w:rPr>
            </w:pPr>
            <w:r>
              <w:rPr>
                <w:sz w:val="20"/>
                <w:szCs w:val="20"/>
                <w:lang w:val="en-GB"/>
              </w:rPr>
              <w:t>10.37</w:t>
            </w:r>
          </w:p>
        </w:tc>
        <w:tc>
          <w:tcPr>
            <w:tcW w:w="1417" w:type="dxa"/>
            <w:tcBorders>
              <w:top w:val="nil"/>
              <w:left w:val="nil"/>
              <w:bottom w:val="nil"/>
              <w:right w:val="nil"/>
            </w:tcBorders>
          </w:tcPr>
          <w:p w14:paraId="73BA3F03" w14:textId="41076E75" w:rsidR="00FA2079" w:rsidRPr="00D712DE" w:rsidRDefault="00FA2079" w:rsidP="004C6016">
            <w:pPr>
              <w:tabs>
                <w:tab w:val="decimal" w:pos="1451"/>
              </w:tabs>
              <w:rPr>
                <w:sz w:val="20"/>
                <w:szCs w:val="20"/>
                <w:lang w:val="en-GB"/>
              </w:rPr>
            </w:pPr>
            <w:r w:rsidRPr="00D712DE">
              <w:rPr>
                <w:sz w:val="20"/>
                <w:szCs w:val="20"/>
                <w:lang w:val="en-GB"/>
              </w:rPr>
              <w:t>2.9</w:t>
            </w:r>
          </w:p>
        </w:tc>
        <w:tc>
          <w:tcPr>
            <w:tcW w:w="992" w:type="dxa"/>
            <w:tcBorders>
              <w:top w:val="nil"/>
              <w:left w:val="nil"/>
              <w:bottom w:val="nil"/>
            </w:tcBorders>
          </w:tcPr>
          <w:p w14:paraId="4B103E9D" w14:textId="08D5688E" w:rsidR="00FA2079" w:rsidRPr="00D712DE" w:rsidRDefault="00395834"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{"citationID":"90g11s4B","properties":{"formattedCitation":"\\super 15\\nosupersub{}","plainCitation":"15","noteIndex":0},"citationItems":[{"id":118,"uris":["http://zotero.org/users/local/tKhEs3aL/items/QPY4P8LU"],"uri":["http://zotero.org/users/local/tKhEs3aL/items/QPY4P8LU"],"itemData":{"id":118,"type":"article-journal","abstract":"Resistance to activated protein C (APC) is a common inherited risk factor for venous thrombosis, which is associated with a mutation in coagulation factor V (factor V Leiden). We investigated the risk of venous thrombosis in individuals homozygous for this abnormality. We determined the factor V Leiden genotype in 471 consecutive patients aged less than 70 years with a first objectively confirmed deep-vein thrombosis and in 474 healthy controls. We found 85 heterozygous and seven homozygous individuals among the cases with thrombosis and 14 heterozygous individuals among the control subjects. The expected number of homozygous individuals among the controls was calculated from Hardy-Weinberg equilibrium and estimated at 0.107 (allele frequency, 1.5%). Whereas the relative risk was increased sevenfold for heterozygous individuals, it was increased 80-fold for homozygous individuals. These patients experienced their thrombosis at a much younger age (31 v 44 years). The homozygous individuals were predominantly women, most likely due to the effect of oral contraceptives. Because of the increased risk of thrombosis with age, the absolute risk becomes most pronounced in older patients, both for heterozygous and homozygous individuals. For the homozygous individuals, the absolute risk may become several percentage points per year. This implies that most individuals homozygous for factor V Leiden will experience at least one thrombotic event in their lifetime.","container-title":"Blood","ISSN":"0006-4971","issue":"6","journalAbbreviation":"Blood","language":"eng","note":"PMID: 7888671","page":"1504-1508","source":"PubMed","title":"High risk of thrombosis in patients homozygous for factor V Leiden (activated protein C resistance)","volume":"85","author":[{"family":"Rosendaal","given":"F. R."},{"family":"Koster","given":"T."},{"family":"Vandenbroucke","given":"J. P."},{"family":"Reitsma","given":"P. H."}],"issued":{"date-parts":[["1995",3,15]]}}}],"schema":"https://github.com/citation-style-language/schema/raw/master/csl-citation.json"}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15</w:t>
            </w:r>
            <w:r w:rsidRPr="00395834">
              <w:rPr>
                <w:sz w:val="20"/>
                <w:szCs w:val="20"/>
                <w:lang w:val="en-GB"/>
              </w:rPr>
              <w:fldChar w:fldCharType="end"/>
            </w:r>
          </w:p>
        </w:tc>
      </w:tr>
      <w:tr w:rsidR="00FA2079" w:rsidRPr="00D712DE" w14:paraId="3F9283C4" w14:textId="77777777" w:rsidTr="002F194E">
        <w:tc>
          <w:tcPr>
            <w:tcW w:w="2269" w:type="dxa"/>
            <w:tcBorders>
              <w:top w:val="nil"/>
              <w:bottom w:val="single" w:sz="4" w:space="0" w:color="auto"/>
              <w:right w:val="nil"/>
            </w:tcBorders>
          </w:tcPr>
          <w:p w14:paraId="4922E2E4"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5A6731D9" w14:textId="1237169D" w:rsidR="00FA2079" w:rsidRPr="00D712DE" w:rsidRDefault="00FA2079" w:rsidP="004C6016">
            <w:pPr>
              <w:rPr>
                <w:sz w:val="20"/>
                <w:szCs w:val="20"/>
                <w:lang w:val="en-GB"/>
              </w:rPr>
            </w:pPr>
            <w:r>
              <w:rPr>
                <w:sz w:val="20"/>
                <w:szCs w:val="20"/>
                <w:lang w:val="en-GB"/>
              </w:rPr>
              <w:t>H</w:t>
            </w:r>
            <w:r w:rsidRPr="00D712DE">
              <w:rPr>
                <w:sz w:val="20"/>
                <w:szCs w:val="20"/>
                <w:lang w:val="en-GB"/>
              </w:rPr>
              <w:t>omozygous</w:t>
            </w:r>
            <w:r>
              <w:rPr>
                <w:sz w:val="20"/>
                <w:szCs w:val="20"/>
                <w:lang w:val="en-GB"/>
              </w:rPr>
              <w:t xml:space="preserve"> Leiden mutation</w:t>
            </w:r>
          </w:p>
        </w:tc>
        <w:tc>
          <w:tcPr>
            <w:tcW w:w="1701" w:type="dxa"/>
            <w:tcBorders>
              <w:top w:val="nil"/>
              <w:left w:val="nil"/>
              <w:bottom w:val="single" w:sz="4" w:space="0" w:color="auto"/>
              <w:right w:val="nil"/>
            </w:tcBorders>
          </w:tcPr>
          <w:p w14:paraId="43F036B0" w14:textId="666B3A75"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single" w:sz="4" w:space="0" w:color="auto"/>
              <w:right w:val="nil"/>
            </w:tcBorders>
          </w:tcPr>
          <w:p w14:paraId="716EC425" w14:textId="3AAE87E6" w:rsidR="00FA2079" w:rsidRPr="00D712DE" w:rsidRDefault="00FA2079" w:rsidP="004C6016">
            <w:pPr>
              <w:tabs>
                <w:tab w:val="decimal" w:pos="1451"/>
              </w:tabs>
              <w:rPr>
                <w:sz w:val="20"/>
                <w:szCs w:val="20"/>
                <w:lang w:val="en-GB"/>
              </w:rPr>
            </w:pPr>
            <w:r w:rsidRPr="00D712DE">
              <w:rPr>
                <w:sz w:val="20"/>
                <w:szCs w:val="20"/>
                <w:lang w:val="en-GB"/>
              </w:rPr>
              <w:t>0</w:t>
            </w:r>
          </w:p>
        </w:tc>
        <w:tc>
          <w:tcPr>
            <w:tcW w:w="992" w:type="dxa"/>
            <w:tcBorders>
              <w:top w:val="nil"/>
              <w:left w:val="nil"/>
              <w:bottom w:val="single" w:sz="4" w:space="0" w:color="auto"/>
            </w:tcBorders>
          </w:tcPr>
          <w:p w14:paraId="4167A0D9" w14:textId="7E51DD98" w:rsidR="00FA2079" w:rsidRPr="00D712DE" w:rsidRDefault="00395834" w:rsidP="002F194E">
            <w:pPr>
              <w:jc w:val="center"/>
              <w:rPr>
                <w:sz w:val="20"/>
                <w:szCs w:val="20"/>
                <w:lang w:val="en-GB"/>
              </w:rPr>
            </w:pPr>
            <w:r w:rsidRPr="00395834">
              <w:rPr>
                <w:sz w:val="20"/>
                <w:szCs w:val="20"/>
                <w:lang w:val="en-GB"/>
              </w:rPr>
              <w:fldChar w:fldCharType="begin"/>
            </w:r>
            <w:r w:rsidR="00822226">
              <w:rPr>
                <w:sz w:val="20"/>
                <w:szCs w:val="20"/>
                <w:lang w:val="en-GB"/>
              </w:rPr>
              <w:instrText xml:space="preserve"> ADDIN ZOTERO_ITEM CSL_CITATION {"citationID":"BzZbxveO","properties":{"formattedCitation":"\\super 15\\nosupersub{}","plainCitation":"15","noteIndex":0},"citationItems":[{"id":118,"uris":["http://zotero.org/users/local/tKhEs3aL/items/QPY4P8LU"],"uri":["http://zotero.org/users/local/tKhEs3aL/items/QPY4P8LU"],"itemData":{"id":118,"type":"article-journal","abstract":"Resistance to activated protein C (APC) is a common inherited risk factor for venous thrombosis, which is associated with a mutation in coagulation factor V (factor V Leiden). We investigated the risk of venous thrombosis in individuals homozygous for this abnormality. We determined the factor V Leiden genotype in 471 consecutive patients aged less than 70 years with a first objectively confirmed deep-vein thrombosis and in 474 healthy controls. We found 85 heterozygous and seven homozygous individuals among the cases with thrombosis and 14 heterozygous individuals among the control subjects. The expected number of homozygous individuals among the controls was calculated from Hardy-Weinberg equilibrium and estimated at 0.107 (allele frequency, 1.5%). Whereas the relative risk was increased sevenfold for heterozygous individuals, it was increased 80-fold for homozygous individuals. These patients experienced their thrombosis at a much younger age (31 v 44 years). The homozygous individuals were predominantly women, most likely due to the effect of oral contraceptives. Because of the increased risk of thrombosis with age, the absolute risk becomes most pronounced in older patients, both for heterozygous and homozygous individuals. For the homozygous individuals, the absolute risk may become several percentage points per year. This implies that most individuals homozygous for factor V Leiden will experience at least one thrombotic event in their lifetime.","container-title":"Blood","ISSN":"0006-4971","issue":"6","journalAbbreviation":"Blood","language":"eng","note":"PMID: 7888671","page":"1504-1508","source":"PubMed","title":"High risk of thrombosis in patients homozygous for factor V Leiden (activated protein C resistance)","volume":"85","author":[{"family":"Rosendaal","given":"F. R."},{"family":"Koster","given":"T."},{"family":"Vandenbroucke","given":"J. P."},{"family":"Reitsma","given":"P. H."}],"issued":{"date-parts":[["1995",3,15]]}}}],"schema":"https://github.com/citation-style-language/schema/raw/master/csl-citation.json"} </w:instrText>
            </w:r>
            <w:r w:rsidRPr="00395834">
              <w:rPr>
                <w:sz w:val="20"/>
                <w:szCs w:val="20"/>
                <w:lang w:val="en-GB"/>
              </w:rPr>
              <w:fldChar w:fldCharType="separate"/>
            </w:r>
            <w:r w:rsidR="00822226" w:rsidRPr="00822226">
              <w:rPr>
                <w:rFonts w:ascii="Calibri" w:cs="Times New Roman"/>
                <w:sz w:val="20"/>
                <w:vertAlign w:val="superscript"/>
              </w:rPr>
              <w:t>15</w:t>
            </w:r>
            <w:r w:rsidRPr="00395834">
              <w:rPr>
                <w:sz w:val="20"/>
                <w:szCs w:val="20"/>
                <w:lang w:val="en-GB"/>
              </w:rPr>
              <w:fldChar w:fldCharType="end"/>
            </w:r>
          </w:p>
        </w:tc>
      </w:tr>
      <w:tr w:rsidR="00FA2079" w:rsidRPr="00D712DE" w14:paraId="169D13CF" w14:textId="77777777" w:rsidTr="002F194E">
        <w:tc>
          <w:tcPr>
            <w:tcW w:w="2269" w:type="dxa"/>
            <w:tcBorders>
              <w:bottom w:val="nil"/>
              <w:right w:val="nil"/>
            </w:tcBorders>
          </w:tcPr>
          <w:p w14:paraId="0BCF0383" w14:textId="2FBFC381" w:rsidR="00FA2079" w:rsidRPr="00194E48" w:rsidRDefault="00FA2079" w:rsidP="004C6016">
            <w:pPr>
              <w:rPr>
                <w:b/>
                <w:i/>
                <w:sz w:val="20"/>
                <w:szCs w:val="20"/>
                <w:lang w:val="en-GB"/>
              </w:rPr>
            </w:pPr>
            <w:r w:rsidRPr="00194E48">
              <w:rPr>
                <w:b/>
                <w:i/>
                <w:sz w:val="20"/>
                <w:szCs w:val="20"/>
                <w:lang w:val="en-GB"/>
              </w:rPr>
              <w:t>HLA-B</w:t>
            </w:r>
          </w:p>
        </w:tc>
        <w:tc>
          <w:tcPr>
            <w:tcW w:w="3402" w:type="dxa"/>
            <w:tcBorders>
              <w:left w:val="nil"/>
              <w:bottom w:val="nil"/>
              <w:right w:val="nil"/>
            </w:tcBorders>
          </w:tcPr>
          <w:p w14:paraId="1FC660A4" w14:textId="59630DDA" w:rsidR="00FA2079" w:rsidRPr="00D712DE" w:rsidRDefault="00FA2079" w:rsidP="004C6016">
            <w:pPr>
              <w:rPr>
                <w:sz w:val="20"/>
                <w:szCs w:val="20"/>
                <w:lang w:val="en-GB"/>
              </w:rPr>
            </w:pPr>
            <w:r>
              <w:rPr>
                <w:sz w:val="20"/>
                <w:szCs w:val="20"/>
                <w:lang w:val="en-GB"/>
              </w:rPr>
              <w:t>Wildtype allele</w:t>
            </w:r>
          </w:p>
        </w:tc>
        <w:tc>
          <w:tcPr>
            <w:tcW w:w="1701" w:type="dxa"/>
            <w:tcBorders>
              <w:left w:val="nil"/>
              <w:bottom w:val="nil"/>
              <w:right w:val="nil"/>
            </w:tcBorders>
          </w:tcPr>
          <w:p w14:paraId="18763D93" w14:textId="0194D6A1" w:rsidR="00FA2079" w:rsidRPr="00D712DE" w:rsidRDefault="00FA2079" w:rsidP="004C6016">
            <w:pPr>
              <w:tabs>
                <w:tab w:val="decimal" w:pos="1310"/>
              </w:tabs>
              <w:rPr>
                <w:sz w:val="20"/>
                <w:szCs w:val="20"/>
                <w:lang w:val="en-GB"/>
              </w:rPr>
            </w:pPr>
            <w:r>
              <w:rPr>
                <w:sz w:val="20"/>
                <w:szCs w:val="20"/>
                <w:lang w:val="en-GB"/>
              </w:rPr>
              <w:t>97.53</w:t>
            </w:r>
          </w:p>
        </w:tc>
        <w:tc>
          <w:tcPr>
            <w:tcW w:w="1417" w:type="dxa"/>
            <w:tcBorders>
              <w:left w:val="nil"/>
              <w:bottom w:val="nil"/>
              <w:right w:val="nil"/>
            </w:tcBorders>
          </w:tcPr>
          <w:p w14:paraId="0B24DEE6" w14:textId="24354680" w:rsidR="00FA2079" w:rsidRPr="00D712DE" w:rsidRDefault="00822226" w:rsidP="004C6016">
            <w:pPr>
              <w:tabs>
                <w:tab w:val="decimal" w:pos="1451"/>
              </w:tabs>
              <w:rPr>
                <w:sz w:val="20"/>
                <w:szCs w:val="20"/>
                <w:lang w:val="en-GB"/>
              </w:rPr>
            </w:pPr>
            <w:r>
              <w:rPr>
                <w:sz w:val="20"/>
                <w:szCs w:val="20"/>
                <w:lang w:val="en-GB"/>
              </w:rPr>
              <w:t>-</w:t>
            </w:r>
          </w:p>
        </w:tc>
        <w:tc>
          <w:tcPr>
            <w:tcW w:w="992" w:type="dxa"/>
            <w:tcBorders>
              <w:left w:val="nil"/>
              <w:bottom w:val="nil"/>
            </w:tcBorders>
          </w:tcPr>
          <w:p w14:paraId="2087D903" w14:textId="77777777" w:rsidR="00FA2079" w:rsidRPr="00D712DE" w:rsidRDefault="00FA2079" w:rsidP="002F194E">
            <w:pPr>
              <w:jc w:val="center"/>
              <w:rPr>
                <w:sz w:val="20"/>
                <w:szCs w:val="20"/>
                <w:lang w:val="en-GB"/>
              </w:rPr>
            </w:pPr>
          </w:p>
        </w:tc>
      </w:tr>
      <w:tr w:rsidR="00FA2079" w:rsidRPr="00D712DE" w14:paraId="70ABEB4C" w14:textId="77777777" w:rsidTr="002F194E">
        <w:tc>
          <w:tcPr>
            <w:tcW w:w="2269" w:type="dxa"/>
            <w:tcBorders>
              <w:top w:val="nil"/>
              <w:bottom w:val="nil"/>
              <w:right w:val="nil"/>
            </w:tcBorders>
          </w:tcPr>
          <w:p w14:paraId="54FD8F55" w14:textId="47F639E4" w:rsidR="00FA2079" w:rsidRPr="00194E48" w:rsidRDefault="00FA2079" w:rsidP="004C6016">
            <w:pPr>
              <w:rPr>
                <w:sz w:val="20"/>
                <w:szCs w:val="20"/>
                <w:lang w:val="en-GB"/>
              </w:rPr>
            </w:pPr>
            <w:r>
              <w:rPr>
                <w:sz w:val="20"/>
                <w:szCs w:val="20"/>
                <w:lang w:val="en-GB"/>
              </w:rPr>
              <w:t>(n = 162)</w:t>
            </w:r>
          </w:p>
        </w:tc>
        <w:tc>
          <w:tcPr>
            <w:tcW w:w="3402" w:type="dxa"/>
            <w:tcBorders>
              <w:top w:val="nil"/>
              <w:left w:val="nil"/>
              <w:bottom w:val="single" w:sz="4" w:space="0" w:color="auto"/>
              <w:right w:val="nil"/>
            </w:tcBorders>
          </w:tcPr>
          <w:p w14:paraId="1E70993B" w14:textId="5160DB2F" w:rsidR="00FA2079" w:rsidRPr="00D712DE" w:rsidRDefault="00FA2079" w:rsidP="004C6016">
            <w:pPr>
              <w:rPr>
                <w:sz w:val="20"/>
                <w:szCs w:val="20"/>
                <w:lang w:val="en-GB"/>
              </w:rPr>
            </w:pPr>
            <w:r w:rsidRPr="00D712DE">
              <w:rPr>
                <w:sz w:val="20"/>
                <w:szCs w:val="20"/>
                <w:lang w:val="en-GB"/>
              </w:rPr>
              <w:t>*5701</w:t>
            </w:r>
          </w:p>
        </w:tc>
        <w:tc>
          <w:tcPr>
            <w:tcW w:w="1701" w:type="dxa"/>
            <w:tcBorders>
              <w:top w:val="nil"/>
              <w:left w:val="nil"/>
              <w:bottom w:val="single" w:sz="4" w:space="0" w:color="auto"/>
              <w:right w:val="nil"/>
            </w:tcBorders>
          </w:tcPr>
          <w:p w14:paraId="60B32EBE" w14:textId="3679DC87" w:rsidR="00FA2079" w:rsidRPr="00D712DE" w:rsidRDefault="00FA2079" w:rsidP="004C6016">
            <w:pPr>
              <w:tabs>
                <w:tab w:val="decimal" w:pos="1310"/>
              </w:tabs>
              <w:rPr>
                <w:sz w:val="20"/>
                <w:szCs w:val="20"/>
                <w:lang w:val="en-GB"/>
              </w:rPr>
            </w:pPr>
            <w:r>
              <w:rPr>
                <w:sz w:val="20"/>
                <w:szCs w:val="20"/>
                <w:lang w:val="en-GB"/>
              </w:rPr>
              <w:t>2.47</w:t>
            </w:r>
          </w:p>
        </w:tc>
        <w:tc>
          <w:tcPr>
            <w:tcW w:w="1417" w:type="dxa"/>
            <w:tcBorders>
              <w:top w:val="nil"/>
              <w:left w:val="nil"/>
              <w:bottom w:val="single" w:sz="4" w:space="0" w:color="auto"/>
              <w:right w:val="nil"/>
            </w:tcBorders>
          </w:tcPr>
          <w:p w14:paraId="551525B5" w14:textId="39A0A142" w:rsidR="00FA2079" w:rsidRPr="00D712DE" w:rsidRDefault="00C97933" w:rsidP="004C6016">
            <w:pPr>
              <w:tabs>
                <w:tab w:val="decimal" w:pos="1451"/>
              </w:tabs>
              <w:rPr>
                <w:sz w:val="20"/>
                <w:szCs w:val="20"/>
                <w:lang w:val="en-GB"/>
              </w:rPr>
            </w:pPr>
            <w:r>
              <w:rPr>
                <w:sz w:val="20"/>
                <w:szCs w:val="20"/>
                <w:lang w:val="en-GB"/>
              </w:rPr>
              <w:t>3.4</w:t>
            </w:r>
          </w:p>
        </w:tc>
        <w:tc>
          <w:tcPr>
            <w:tcW w:w="992" w:type="dxa"/>
            <w:tcBorders>
              <w:top w:val="nil"/>
              <w:left w:val="nil"/>
              <w:bottom w:val="single" w:sz="4" w:space="0" w:color="auto"/>
            </w:tcBorders>
          </w:tcPr>
          <w:p w14:paraId="2754862B" w14:textId="2E49226B" w:rsidR="00FA2079" w:rsidRPr="00D712DE" w:rsidRDefault="00C97933"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{"citationID":"Q2YieleH","properties":{"formattedCitation":"\\super 16\\nosupersub{}","plainCitation":"16","noteIndex":0},"citationItems":[{"id":141,"uris":["http://zotero.org/users/local/tKhEs3aL/items/M8KARPXE"],"uri":["http://zotero.org/users/local/tKhEs3aL/items/M8KARPXE"],"itemData":{"id":141,"type":"article-journal","abstract":"Abstract\n            The Allele Frequency Net Database (AFND, www.allelefrequencies.net) provides the scientific community with a freely available repository for the storage of frequency data (alleles, genes, haplotypes and genotypes) related to human leukocyte antigens (HLA), killer-cell immunoglobulin-like receptors (KIR), major histocompatibility complex Class I chain related genes (MIC) and a number of cytokine gene polymorphisms in worldwide populations. In the last five years, AFND has become more popular in terms of clinical and scientific usage, with a recent increase in genotyping data as a necessary component of Short Population Report article submissions to another scientific journal. In addition, we have developed a user-friendly desktop application for HLA and KIR genotype/population data submissions. We have also focused on classification of existing and new data into ‘gold–silver–bronze’ criteria, allowing users to filter and query depending on their needs. Moreover, we have also continued to expand other features, for example focussed on HLA associations with adverse drug reactions. At present, AFND contains &gt;1600 populations from &gt;10 million healthy individuals, making AFND a valuable resource for the analysis of some of the most polymorphic regions in the human genome.","container-title":"Nucleic Acids Research","DOI":"10.1093/nar/gkz1029","ISSN":"0305-1048, 1362-4962","language":"en","page":"gkz1029","source":"DOI.org (Crossref)","title":"Allele frequency net database (AFND) 2020 update: gold-standard data classification, open access genotype data and new query tools","title-short":"Allele frequency net database (AFND) 2020 update","author":[{"family":"Gonzalez-Galarza","given":"Faviel F"},{"family":"McCabe","given":"Antony"},{"family":"Santos","given":"Eduardo J Melo","dropping-particle":"dos"},{"family":"Jones","given":"James"},{"family":"Takeshita","given":"Louise"},{"family":"Ortega-Rivera","given":"Nestor D"},{"family":"Cid-Pavon","given":"Glenda M Del"},{"family":"Ramsbottom","given":"Kerry"},{"family":"Ghattaoraya","given":"Gurpreet"},{"family":"Alfirevic","given":"Ana"},{"family":"Middleton","given":"Derek"},{"family":"Jones","given":"Andrew R"}],"issued":{"date-parts":[["2019",11,13]]}}}],"schema":"https://github.com/citation-style-language/schema/raw/master/csl-citation.json"} </w:instrText>
            </w:r>
            <w:r>
              <w:rPr>
                <w:sz w:val="20"/>
                <w:szCs w:val="20"/>
                <w:lang w:val="en-GB"/>
              </w:rPr>
              <w:fldChar w:fldCharType="separate"/>
            </w:r>
            <w:r w:rsidRPr="00C97933">
              <w:rPr>
                <w:rFonts w:ascii="Calibri" w:cs="Times New Roman"/>
                <w:sz w:val="20"/>
                <w:vertAlign w:val="superscript"/>
              </w:rPr>
              <w:t>16</w:t>
            </w:r>
            <w:r>
              <w:rPr>
                <w:sz w:val="20"/>
                <w:szCs w:val="20"/>
                <w:lang w:val="en-GB"/>
              </w:rPr>
              <w:fldChar w:fldCharType="end"/>
            </w:r>
          </w:p>
        </w:tc>
      </w:tr>
      <w:tr w:rsidR="00FA2079" w:rsidRPr="00D712DE" w14:paraId="20C76E68" w14:textId="77777777" w:rsidTr="002F194E">
        <w:tc>
          <w:tcPr>
            <w:tcW w:w="2269" w:type="dxa"/>
            <w:tcBorders>
              <w:top w:val="nil"/>
              <w:bottom w:val="nil"/>
              <w:right w:val="nil"/>
            </w:tcBorders>
          </w:tcPr>
          <w:p w14:paraId="30D78760" w14:textId="77777777" w:rsidR="00FA2079" w:rsidRDefault="00FA2079" w:rsidP="004C6016">
            <w:pPr>
              <w:rPr>
                <w:sz w:val="20"/>
                <w:szCs w:val="20"/>
                <w:lang w:val="en-GB"/>
              </w:rPr>
            </w:pPr>
          </w:p>
        </w:tc>
        <w:tc>
          <w:tcPr>
            <w:tcW w:w="3402" w:type="dxa"/>
            <w:tcBorders>
              <w:left w:val="nil"/>
              <w:bottom w:val="nil"/>
              <w:right w:val="nil"/>
            </w:tcBorders>
          </w:tcPr>
          <w:p w14:paraId="57712AF1" w14:textId="63310607" w:rsidR="00FA2079" w:rsidRPr="00D712DE" w:rsidRDefault="00FA2079" w:rsidP="004C6016">
            <w:pPr>
              <w:rPr>
                <w:sz w:val="20"/>
                <w:szCs w:val="20"/>
                <w:lang w:val="en-GB"/>
              </w:rPr>
            </w:pPr>
            <w:r>
              <w:rPr>
                <w:sz w:val="20"/>
                <w:szCs w:val="20"/>
                <w:lang w:val="en-GB"/>
              </w:rPr>
              <w:t xml:space="preserve">No risk </w:t>
            </w:r>
          </w:p>
        </w:tc>
        <w:tc>
          <w:tcPr>
            <w:tcW w:w="1701" w:type="dxa"/>
            <w:tcBorders>
              <w:left w:val="nil"/>
              <w:bottom w:val="nil"/>
              <w:right w:val="nil"/>
            </w:tcBorders>
          </w:tcPr>
          <w:p w14:paraId="2B893AD1" w14:textId="3F00F304" w:rsidR="00FA2079" w:rsidRDefault="00FA2079" w:rsidP="004C6016">
            <w:pPr>
              <w:tabs>
                <w:tab w:val="decimal" w:pos="1310"/>
              </w:tabs>
              <w:rPr>
                <w:sz w:val="20"/>
                <w:szCs w:val="20"/>
                <w:lang w:val="en-GB"/>
              </w:rPr>
            </w:pPr>
            <w:r>
              <w:rPr>
                <w:sz w:val="20"/>
                <w:szCs w:val="20"/>
                <w:lang w:val="en-GB"/>
              </w:rPr>
              <w:t>95.06</w:t>
            </w:r>
          </w:p>
        </w:tc>
        <w:tc>
          <w:tcPr>
            <w:tcW w:w="1417" w:type="dxa"/>
            <w:tcBorders>
              <w:left w:val="nil"/>
              <w:bottom w:val="nil"/>
              <w:right w:val="nil"/>
            </w:tcBorders>
          </w:tcPr>
          <w:p w14:paraId="4AA2208B" w14:textId="2ADE701F" w:rsidR="00FA2079" w:rsidRPr="00D712DE" w:rsidRDefault="00822226" w:rsidP="004C6016">
            <w:pPr>
              <w:tabs>
                <w:tab w:val="decimal" w:pos="1451"/>
              </w:tabs>
              <w:rPr>
                <w:sz w:val="20"/>
                <w:szCs w:val="20"/>
                <w:lang w:val="en-GB"/>
              </w:rPr>
            </w:pPr>
            <w:r>
              <w:rPr>
                <w:sz w:val="20"/>
                <w:szCs w:val="20"/>
                <w:lang w:val="en-GB"/>
              </w:rPr>
              <w:t>-</w:t>
            </w:r>
          </w:p>
        </w:tc>
        <w:tc>
          <w:tcPr>
            <w:tcW w:w="992" w:type="dxa"/>
            <w:tcBorders>
              <w:left w:val="nil"/>
              <w:bottom w:val="nil"/>
            </w:tcBorders>
          </w:tcPr>
          <w:p w14:paraId="48C74C50" w14:textId="77777777" w:rsidR="00FA2079" w:rsidRPr="00D712DE" w:rsidRDefault="00FA2079" w:rsidP="002F194E">
            <w:pPr>
              <w:jc w:val="center"/>
              <w:rPr>
                <w:sz w:val="20"/>
                <w:szCs w:val="20"/>
                <w:lang w:val="en-GB"/>
              </w:rPr>
            </w:pPr>
          </w:p>
        </w:tc>
      </w:tr>
      <w:tr w:rsidR="00FA2079" w:rsidRPr="00D712DE" w14:paraId="710827E6" w14:textId="77777777" w:rsidTr="002F194E">
        <w:tc>
          <w:tcPr>
            <w:tcW w:w="2269" w:type="dxa"/>
            <w:tcBorders>
              <w:top w:val="nil"/>
              <w:bottom w:val="nil"/>
              <w:right w:val="nil"/>
            </w:tcBorders>
          </w:tcPr>
          <w:p w14:paraId="1E275176" w14:textId="77777777" w:rsidR="00FA2079" w:rsidRDefault="00FA2079" w:rsidP="004C6016">
            <w:pPr>
              <w:rPr>
                <w:sz w:val="20"/>
                <w:szCs w:val="20"/>
                <w:lang w:val="en-GB"/>
              </w:rPr>
            </w:pPr>
          </w:p>
        </w:tc>
        <w:tc>
          <w:tcPr>
            <w:tcW w:w="3402" w:type="dxa"/>
            <w:tcBorders>
              <w:top w:val="nil"/>
              <w:left w:val="nil"/>
              <w:bottom w:val="nil"/>
              <w:right w:val="nil"/>
            </w:tcBorders>
          </w:tcPr>
          <w:p w14:paraId="656CF04F" w14:textId="6D478DDD" w:rsidR="00FA2079" w:rsidRPr="00D712DE" w:rsidRDefault="00FA2079" w:rsidP="004C6016">
            <w:pPr>
              <w:rPr>
                <w:sz w:val="20"/>
                <w:szCs w:val="20"/>
                <w:lang w:val="en-GB"/>
              </w:rPr>
            </w:pPr>
            <w:r>
              <w:rPr>
                <w:sz w:val="20"/>
                <w:szCs w:val="20"/>
                <w:lang w:val="en-GB"/>
              </w:rPr>
              <w:t xml:space="preserve">Intermediate </w:t>
            </w:r>
          </w:p>
        </w:tc>
        <w:tc>
          <w:tcPr>
            <w:tcW w:w="1701" w:type="dxa"/>
            <w:tcBorders>
              <w:top w:val="nil"/>
              <w:left w:val="nil"/>
              <w:bottom w:val="nil"/>
              <w:right w:val="nil"/>
            </w:tcBorders>
          </w:tcPr>
          <w:p w14:paraId="1F4BFBBD" w14:textId="6701979B" w:rsidR="00FA2079" w:rsidRDefault="00FA2079" w:rsidP="004C6016">
            <w:pPr>
              <w:tabs>
                <w:tab w:val="decimal" w:pos="1310"/>
              </w:tabs>
              <w:rPr>
                <w:sz w:val="20"/>
                <w:szCs w:val="20"/>
                <w:lang w:val="en-GB"/>
              </w:rPr>
            </w:pPr>
            <w:r>
              <w:rPr>
                <w:sz w:val="20"/>
                <w:szCs w:val="20"/>
                <w:lang w:val="en-GB"/>
              </w:rPr>
              <w:t>4.94</w:t>
            </w:r>
          </w:p>
        </w:tc>
        <w:tc>
          <w:tcPr>
            <w:tcW w:w="1417" w:type="dxa"/>
            <w:tcBorders>
              <w:top w:val="nil"/>
              <w:left w:val="nil"/>
              <w:bottom w:val="nil"/>
              <w:right w:val="nil"/>
            </w:tcBorders>
          </w:tcPr>
          <w:p w14:paraId="410550DC" w14:textId="717263CF" w:rsidR="00FA2079" w:rsidRPr="00D712DE" w:rsidRDefault="00C97933" w:rsidP="004C6016">
            <w:pPr>
              <w:tabs>
                <w:tab w:val="decimal" w:pos="1451"/>
              </w:tabs>
              <w:rPr>
                <w:sz w:val="20"/>
                <w:szCs w:val="20"/>
                <w:lang w:val="en-GB"/>
              </w:rPr>
            </w:pPr>
            <w:r>
              <w:rPr>
                <w:sz w:val="20"/>
                <w:szCs w:val="20"/>
                <w:lang w:val="en-GB"/>
              </w:rPr>
              <w:t>-</w:t>
            </w:r>
          </w:p>
        </w:tc>
        <w:tc>
          <w:tcPr>
            <w:tcW w:w="992" w:type="dxa"/>
            <w:tcBorders>
              <w:top w:val="nil"/>
              <w:left w:val="nil"/>
              <w:bottom w:val="nil"/>
            </w:tcBorders>
          </w:tcPr>
          <w:p w14:paraId="03FBE18A" w14:textId="77777777" w:rsidR="00FA2079" w:rsidRPr="00D712DE" w:rsidRDefault="00FA2079" w:rsidP="002F194E">
            <w:pPr>
              <w:jc w:val="center"/>
              <w:rPr>
                <w:sz w:val="20"/>
                <w:szCs w:val="20"/>
                <w:lang w:val="en-GB"/>
              </w:rPr>
            </w:pPr>
          </w:p>
        </w:tc>
      </w:tr>
      <w:tr w:rsidR="00FA2079" w:rsidRPr="00D712DE" w14:paraId="48384860" w14:textId="77777777" w:rsidTr="002F194E">
        <w:tc>
          <w:tcPr>
            <w:tcW w:w="2269" w:type="dxa"/>
            <w:tcBorders>
              <w:top w:val="nil"/>
              <w:bottom w:val="single" w:sz="4" w:space="0" w:color="auto"/>
              <w:right w:val="nil"/>
            </w:tcBorders>
          </w:tcPr>
          <w:p w14:paraId="2090A440"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67F9DC1A" w14:textId="11A475CA" w:rsidR="00FA2079" w:rsidRPr="00D712DE" w:rsidRDefault="00FA2079" w:rsidP="004C6016">
            <w:pPr>
              <w:rPr>
                <w:sz w:val="20"/>
                <w:szCs w:val="20"/>
                <w:lang w:val="en-GB"/>
              </w:rPr>
            </w:pPr>
            <w:r>
              <w:rPr>
                <w:sz w:val="20"/>
                <w:szCs w:val="20"/>
                <w:lang w:val="en-GB"/>
              </w:rPr>
              <w:t xml:space="preserve">High risk </w:t>
            </w:r>
          </w:p>
        </w:tc>
        <w:tc>
          <w:tcPr>
            <w:tcW w:w="1701" w:type="dxa"/>
            <w:tcBorders>
              <w:top w:val="nil"/>
              <w:left w:val="nil"/>
              <w:bottom w:val="single" w:sz="4" w:space="0" w:color="auto"/>
              <w:right w:val="nil"/>
            </w:tcBorders>
          </w:tcPr>
          <w:p w14:paraId="777DBBC4" w14:textId="095605AB"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single" w:sz="4" w:space="0" w:color="auto"/>
              <w:right w:val="nil"/>
            </w:tcBorders>
          </w:tcPr>
          <w:p w14:paraId="2D9944BE" w14:textId="32802403" w:rsidR="00FA2079" w:rsidRPr="00D712DE" w:rsidRDefault="00822226" w:rsidP="004C6016">
            <w:pPr>
              <w:tabs>
                <w:tab w:val="decimal" w:pos="1451"/>
              </w:tabs>
              <w:rPr>
                <w:sz w:val="20"/>
                <w:szCs w:val="20"/>
                <w:lang w:val="en-GB"/>
              </w:rPr>
            </w:pPr>
            <w:r>
              <w:rPr>
                <w:sz w:val="20"/>
                <w:szCs w:val="20"/>
                <w:lang w:val="en-GB"/>
              </w:rPr>
              <w:t>-</w:t>
            </w:r>
          </w:p>
        </w:tc>
        <w:tc>
          <w:tcPr>
            <w:tcW w:w="992" w:type="dxa"/>
            <w:tcBorders>
              <w:top w:val="nil"/>
              <w:left w:val="nil"/>
              <w:bottom w:val="single" w:sz="4" w:space="0" w:color="auto"/>
            </w:tcBorders>
          </w:tcPr>
          <w:p w14:paraId="6BEEEE49" w14:textId="77777777" w:rsidR="00FA2079" w:rsidRPr="00D712DE" w:rsidRDefault="00FA2079" w:rsidP="002F194E">
            <w:pPr>
              <w:jc w:val="center"/>
              <w:rPr>
                <w:sz w:val="20"/>
                <w:szCs w:val="20"/>
                <w:lang w:val="en-GB"/>
              </w:rPr>
            </w:pPr>
          </w:p>
        </w:tc>
      </w:tr>
      <w:tr w:rsidR="00FA2079" w:rsidRPr="00D712DE" w14:paraId="4921A91D" w14:textId="77777777" w:rsidTr="002F194E">
        <w:tc>
          <w:tcPr>
            <w:tcW w:w="2269" w:type="dxa"/>
            <w:tcBorders>
              <w:bottom w:val="nil"/>
              <w:right w:val="nil"/>
            </w:tcBorders>
          </w:tcPr>
          <w:p w14:paraId="214C0DF4" w14:textId="77777777" w:rsidR="00FA2079" w:rsidRPr="00194E48" w:rsidRDefault="00FA2079" w:rsidP="004C6016">
            <w:pPr>
              <w:rPr>
                <w:b/>
                <w:i/>
                <w:sz w:val="20"/>
                <w:szCs w:val="20"/>
                <w:lang w:val="en-GB"/>
              </w:rPr>
            </w:pPr>
            <w:r w:rsidRPr="00194E48">
              <w:rPr>
                <w:b/>
                <w:i/>
                <w:sz w:val="20"/>
                <w:szCs w:val="20"/>
                <w:lang w:val="en-GB"/>
              </w:rPr>
              <w:t>MTHFR</w:t>
            </w:r>
          </w:p>
        </w:tc>
        <w:tc>
          <w:tcPr>
            <w:tcW w:w="3402" w:type="dxa"/>
            <w:tcBorders>
              <w:left w:val="nil"/>
              <w:bottom w:val="nil"/>
              <w:right w:val="nil"/>
            </w:tcBorders>
          </w:tcPr>
          <w:p w14:paraId="7DBFFB51" w14:textId="138EE605" w:rsidR="00FA2079" w:rsidRPr="00D712DE" w:rsidRDefault="00FA2079" w:rsidP="004C6016">
            <w:pPr>
              <w:rPr>
                <w:sz w:val="20"/>
                <w:szCs w:val="20"/>
                <w:lang w:val="en-GB"/>
              </w:rPr>
            </w:pPr>
            <w:r w:rsidRPr="00D712DE">
              <w:rPr>
                <w:sz w:val="20"/>
                <w:szCs w:val="20"/>
                <w:lang w:val="en-GB"/>
              </w:rPr>
              <w:t>677C (wildtype)</w:t>
            </w:r>
          </w:p>
        </w:tc>
        <w:tc>
          <w:tcPr>
            <w:tcW w:w="1701" w:type="dxa"/>
            <w:tcBorders>
              <w:left w:val="nil"/>
              <w:bottom w:val="nil"/>
              <w:right w:val="nil"/>
            </w:tcBorders>
          </w:tcPr>
          <w:p w14:paraId="49193CAD" w14:textId="403090AE" w:rsidR="00FA2079" w:rsidRPr="00D712DE" w:rsidRDefault="00FA2079" w:rsidP="004C6016">
            <w:pPr>
              <w:tabs>
                <w:tab w:val="decimal" w:pos="1310"/>
              </w:tabs>
              <w:rPr>
                <w:sz w:val="20"/>
                <w:szCs w:val="20"/>
                <w:lang w:val="en-GB"/>
              </w:rPr>
            </w:pPr>
            <w:r>
              <w:rPr>
                <w:sz w:val="20"/>
                <w:szCs w:val="20"/>
                <w:lang w:val="en-GB"/>
              </w:rPr>
              <w:t>68.90</w:t>
            </w:r>
          </w:p>
        </w:tc>
        <w:tc>
          <w:tcPr>
            <w:tcW w:w="1417" w:type="dxa"/>
            <w:tcBorders>
              <w:left w:val="nil"/>
              <w:bottom w:val="nil"/>
              <w:right w:val="nil"/>
            </w:tcBorders>
          </w:tcPr>
          <w:p w14:paraId="68398233" w14:textId="77777777" w:rsidR="00FA2079" w:rsidRPr="00D712DE" w:rsidRDefault="00FA2079" w:rsidP="004C6016">
            <w:pPr>
              <w:tabs>
                <w:tab w:val="decimal" w:pos="1451"/>
              </w:tabs>
              <w:rPr>
                <w:sz w:val="20"/>
                <w:szCs w:val="20"/>
                <w:lang w:val="en-GB"/>
              </w:rPr>
            </w:pPr>
            <w:r w:rsidRPr="00D712DE">
              <w:rPr>
                <w:sz w:val="20"/>
                <w:szCs w:val="20"/>
                <w:lang w:val="en-GB"/>
              </w:rPr>
              <w:t>81.4</w:t>
            </w:r>
          </w:p>
        </w:tc>
        <w:tc>
          <w:tcPr>
            <w:tcW w:w="992" w:type="dxa"/>
            <w:tcBorders>
              <w:left w:val="nil"/>
              <w:bottom w:val="nil"/>
            </w:tcBorders>
          </w:tcPr>
          <w:p w14:paraId="0144D811" w14:textId="48A854D6" w:rsidR="00FA2079" w:rsidRPr="00395834"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{"citationID":"uSbcsxbN","properties":{"formattedCitation":"\\super 17\\nosupersub{}","plainCitation":"17","noteIndex":0},"citationItems":[{"id":120,"uris":["http://zotero.org/users/local/tKhEs3aL/items/37GCZ7KB"],"uri":["http://zotero.org/users/local/tKhEs3aL/items/37GCZ7KB"],"itemData":{"id":120,"type":"article-journal","container-title":"The American Journal of Human Genetics","DOI":"10.1086/301836","ISSN":"00029297","issue":"5","journalAbbreviation":"The American Journal of Human Genetics","language":"en","page":"1258-1260","source":"DOI.org (Crossref)","title":"Worldwide Distribution of a Common Methylenetetrahydrofolate Reductase Mutation","volume":"62","author":[{"family":"Schneider","given":"Julie A."},{"family":"Rees","given":"David C."},{"family":"Liu","given":"Yan-Tat"},{"family":"Clegg","given":"John B."}],"issued":{"date-parts":[["1998",5]]}}}],"schema":"https://github.com/citation-style-language/schema/raw/master/csl-citation.json"}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17</w:t>
            </w:r>
            <w:r w:rsidRPr="00395834">
              <w:rPr>
                <w:sz w:val="20"/>
                <w:szCs w:val="20"/>
                <w:lang w:val="en-GB"/>
              </w:rPr>
              <w:fldChar w:fldCharType="end"/>
            </w:r>
          </w:p>
        </w:tc>
      </w:tr>
      <w:tr w:rsidR="00FA2079" w:rsidRPr="00D712DE" w14:paraId="637FC10B" w14:textId="77777777" w:rsidTr="002F194E">
        <w:tc>
          <w:tcPr>
            <w:tcW w:w="2269" w:type="dxa"/>
            <w:tcBorders>
              <w:top w:val="nil"/>
              <w:bottom w:val="nil"/>
              <w:right w:val="nil"/>
            </w:tcBorders>
          </w:tcPr>
          <w:p w14:paraId="2B61AC6F" w14:textId="546ABACC"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single" w:sz="4" w:space="0" w:color="auto"/>
              <w:right w:val="nil"/>
            </w:tcBorders>
          </w:tcPr>
          <w:p w14:paraId="5D20D6AB" w14:textId="6C1B0676" w:rsidR="00FA2079" w:rsidRPr="00D712DE" w:rsidRDefault="00FA2079" w:rsidP="004C6016">
            <w:pPr>
              <w:rPr>
                <w:sz w:val="20"/>
                <w:szCs w:val="20"/>
                <w:lang w:val="en-GB"/>
              </w:rPr>
            </w:pPr>
            <w:r w:rsidRPr="00D712DE">
              <w:rPr>
                <w:sz w:val="20"/>
                <w:szCs w:val="20"/>
                <w:lang w:val="en-GB"/>
              </w:rPr>
              <w:t>677T (risk allele)</w:t>
            </w:r>
          </w:p>
        </w:tc>
        <w:tc>
          <w:tcPr>
            <w:tcW w:w="1701" w:type="dxa"/>
            <w:tcBorders>
              <w:top w:val="nil"/>
              <w:left w:val="nil"/>
              <w:bottom w:val="single" w:sz="4" w:space="0" w:color="auto"/>
              <w:right w:val="nil"/>
            </w:tcBorders>
          </w:tcPr>
          <w:p w14:paraId="4FD84EBD" w14:textId="6E567E77" w:rsidR="00FA2079" w:rsidRPr="00D712DE" w:rsidRDefault="00FA2079" w:rsidP="004C6016">
            <w:pPr>
              <w:tabs>
                <w:tab w:val="decimal" w:pos="1310"/>
              </w:tabs>
              <w:rPr>
                <w:sz w:val="20"/>
                <w:szCs w:val="20"/>
                <w:lang w:val="en-GB"/>
              </w:rPr>
            </w:pPr>
            <w:r>
              <w:rPr>
                <w:sz w:val="20"/>
                <w:szCs w:val="20"/>
                <w:lang w:val="en-GB"/>
              </w:rPr>
              <w:t>31.10</w:t>
            </w:r>
          </w:p>
        </w:tc>
        <w:tc>
          <w:tcPr>
            <w:tcW w:w="1417" w:type="dxa"/>
            <w:tcBorders>
              <w:top w:val="nil"/>
              <w:left w:val="nil"/>
              <w:bottom w:val="single" w:sz="4" w:space="0" w:color="auto"/>
              <w:right w:val="nil"/>
            </w:tcBorders>
          </w:tcPr>
          <w:p w14:paraId="385182BA" w14:textId="77777777" w:rsidR="00FA2079" w:rsidRPr="00D712DE" w:rsidRDefault="00FA2079" w:rsidP="004C6016">
            <w:pPr>
              <w:tabs>
                <w:tab w:val="decimal" w:pos="1451"/>
              </w:tabs>
              <w:rPr>
                <w:sz w:val="20"/>
                <w:szCs w:val="20"/>
                <w:lang w:val="en-GB"/>
              </w:rPr>
            </w:pPr>
            <w:r w:rsidRPr="00D712DE">
              <w:rPr>
                <w:sz w:val="20"/>
                <w:szCs w:val="20"/>
                <w:lang w:val="en-GB"/>
              </w:rPr>
              <w:t>18.6</w:t>
            </w:r>
          </w:p>
        </w:tc>
        <w:tc>
          <w:tcPr>
            <w:tcW w:w="992" w:type="dxa"/>
            <w:tcBorders>
              <w:top w:val="nil"/>
              <w:left w:val="nil"/>
              <w:bottom w:val="single" w:sz="4" w:space="0" w:color="auto"/>
            </w:tcBorders>
          </w:tcPr>
          <w:p w14:paraId="2A10D9C9" w14:textId="50C557E0" w:rsidR="00395834" w:rsidRPr="00395834"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{"citationID":"JPypIbFq","properties":{"formattedCitation":"\\super 17\\nosupersub{}","plainCitation":"17","noteIndex":0},"citationItems":[{"id":120,"uris":["http://zotero.org/users/local/tKhEs3aL/items/37GCZ7KB"],"uri":["http://zotero.org/users/local/tKhEs3aL/items/37GCZ7KB"],"itemData":{"id":120,"type":"article-journal","container-title":"The American Journal of Human Genetics","DOI":"10.1086/301836","ISSN":"00029297","issue":"5","journalAbbreviation":"The American Journal of Human Genetics","language":"en","page":"1258-1260","source":"DOI.org (Crossref)","title":"Worldwide Distribution of a Common Methylenetetrahydrofolate Reductase Mutation","volume":"62","author":[{"family":"Schneider","given":"Julie A."},{"family":"Rees","given":"David C."},{"family":"Liu","given":"Yan-Tat"},{"family":"Clegg","given":"John B."}],"issued":{"date-parts":[["1998",5]]}}}],"schema":"https://github.com/citation-style-language/schema/raw/master/csl-citation.json"}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17</w:t>
            </w:r>
            <w:r w:rsidRPr="00395834">
              <w:rPr>
                <w:sz w:val="20"/>
                <w:szCs w:val="20"/>
                <w:lang w:val="en-GB"/>
              </w:rPr>
              <w:fldChar w:fldCharType="end"/>
            </w:r>
          </w:p>
        </w:tc>
      </w:tr>
      <w:tr w:rsidR="00FA2079" w:rsidRPr="00D712DE" w14:paraId="518D57E4" w14:textId="77777777" w:rsidTr="002F194E">
        <w:tc>
          <w:tcPr>
            <w:tcW w:w="2269" w:type="dxa"/>
            <w:tcBorders>
              <w:top w:val="nil"/>
              <w:bottom w:val="nil"/>
              <w:right w:val="nil"/>
            </w:tcBorders>
          </w:tcPr>
          <w:p w14:paraId="62132A4A" w14:textId="77777777" w:rsidR="00FA2079" w:rsidRDefault="00FA2079" w:rsidP="004C6016">
            <w:pPr>
              <w:rPr>
                <w:sz w:val="20"/>
                <w:szCs w:val="20"/>
                <w:lang w:val="en-GB"/>
              </w:rPr>
            </w:pPr>
          </w:p>
        </w:tc>
        <w:tc>
          <w:tcPr>
            <w:tcW w:w="3402" w:type="dxa"/>
            <w:tcBorders>
              <w:left w:val="nil"/>
              <w:bottom w:val="nil"/>
              <w:right w:val="nil"/>
            </w:tcBorders>
          </w:tcPr>
          <w:p w14:paraId="144A54AB" w14:textId="67EB67B0" w:rsidR="00FA2079" w:rsidRPr="00D712DE" w:rsidRDefault="00FA2079" w:rsidP="004C6016">
            <w:pPr>
              <w:rPr>
                <w:sz w:val="20"/>
                <w:szCs w:val="20"/>
                <w:lang w:val="en-GB"/>
              </w:rPr>
            </w:pPr>
            <w:r w:rsidRPr="00D712DE">
              <w:rPr>
                <w:sz w:val="20"/>
                <w:szCs w:val="20"/>
                <w:lang w:val="en-GB"/>
              </w:rPr>
              <w:t>No risk</w:t>
            </w:r>
          </w:p>
        </w:tc>
        <w:tc>
          <w:tcPr>
            <w:tcW w:w="1701" w:type="dxa"/>
            <w:tcBorders>
              <w:left w:val="nil"/>
              <w:bottom w:val="nil"/>
              <w:right w:val="nil"/>
            </w:tcBorders>
          </w:tcPr>
          <w:p w14:paraId="029EDA4C" w14:textId="4CF5AE71" w:rsidR="00FA2079" w:rsidRDefault="00FA2079" w:rsidP="004C6016">
            <w:pPr>
              <w:tabs>
                <w:tab w:val="decimal" w:pos="1310"/>
              </w:tabs>
              <w:rPr>
                <w:sz w:val="20"/>
                <w:szCs w:val="20"/>
                <w:lang w:val="en-GB"/>
              </w:rPr>
            </w:pPr>
            <w:r>
              <w:rPr>
                <w:sz w:val="20"/>
                <w:szCs w:val="20"/>
                <w:lang w:val="en-GB"/>
              </w:rPr>
              <w:t>45.73</w:t>
            </w:r>
          </w:p>
        </w:tc>
        <w:tc>
          <w:tcPr>
            <w:tcW w:w="1417" w:type="dxa"/>
            <w:tcBorders>
              <w:left w:val="nil"/>
              <w:bottom w:val="nil"/>
              <w:right w:val="nil"/>
            </w:tcBorders>
          </w:tcPr>
          <w:p w14:paraId="2329559A" w14:textId="08320749" w:rsidR="00FA2079" w:rsidRPr="00D712DE" w:rsidRDefault="00FA2079" w:rsidP="004C6016">
            <w:pPr>
              <w:tabs>
                <w:tab w:val="decimal" w:pos="1451"/>
              </w:tabs>
              <w:rPr>
                <w:sz w:val="20"/>
                <w:szCs w:val="20"/>
                <w:lang w:val="en-GB"/>
              </w:rPr>
            </w:pPr>
            <w:r w:rsidRPr="00D712DE">
              <w:rPr>
                <w:sz w:val="20"/>
                <w:szCs w:val="20"/>
                <w:lang w:val="en-GB"/>
              </w:rPr>
              <w:t>51.70</w:t>
            </w:r>
          </w:p>
        </w:tc>
        <w:tc>
          <w:tcPr>
            <w:tcW w:w="992" w:type="dxa"/>
            <w:tcBorders>
              <w:left w:val="nil"/>
              <w:bottom w:val="nil"/>
            </w:tcBorders>
          </w:tcPr>
          <w:p w14:paraId="03C5AD13" w14:textId="79E145FB" w:rsidR="00FA2079" w:rsidRPr="00395834"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{"citationID":"QGPhY9zG","properties":{"formattedCitation":"\\super 18\\nosupersub{}","plainCitation":"18","noteIndex":0},"citationItems":[{"id":122,"uris":["http://zotero.org/users/local/tKhEs3aL/items/AGKSX39U"],"uri":["http://zotero.org/users/local/tKhEs3aL/items/AGKSX39U"],"itemData":{"id":122,"type":"article-journal","abstract":"OBJECTIVE: To study the possible relationship between the C677T mutation in the methylenetetrahydrofolate reductase (MTHFR) gene and the toxicity and efficacy of treatment with methotrexate (MTX) in patients with rheumatoid arthritis (RA).\nMETHODS: Genotype analysis of the MTHFR gene was done in 236 patients who started MTX treatment with (n = 157) or without (n = 79) folic or folinic acid supplementation. Outcomes were parameters of efficacy of MTX treatment, patient withdrawal due to adverse events, discontinuation of MTX treatment because of elevated liver enzyme levels, and the total occurrence of elevated liver enzyme levels during the study. Multivariate logistic regression analysis was used to study the relationship between the presence of the MTHFR C677T mutation and toxicity outcomes of MTX treatment.\nRESULTS: Forty-eight percent of the patients showed the homozygous (T/T) or heterozygous (T/C) mutation. The presence of the C677CT or C677TT genotypes was associated with an increased risk of discontinuing MTX treatment because of adverse events (relative risk 2.01; 95% confidence interval 1.09, 3.70), mainly due to an increased risk of elevated liver enzyme levels (relative risk 2.38; 95% confidence interval 1.06, 5.34). Efficacy parameters were not significantly different between the patients with and those without the mutation.\nCONCLUSION: The C677T mutation is the first identified genetic risk factor for elevated alanine aminotransferase values during MTX treatment in patients with RA. We postulate that the incidence of clinically important elevation of liver enzyme levels during MTX treatment is mediated by homocysteine metabolism. Supplementation with folic or folinic acid reduced the risk of toxicity-related discontinuation of MTX treatment both in patients with and in patients without the mutation.","container-title":"Arthritis and Rheumatism","DOI":"10.1002/1529-0131(200111)44:11&lt;2525::aid-art432&gt;3.0.co;2-b","ISSN":"0004-3591","issue":"11","journalAbbreviation":"Arthritis Rheum.","language":"eng","note":"PMID: 11710708","page":"2525-2530","source":"PubMed","title":"The C677T mutation in the methylenetetrahydrofolate reductase gene: a genetic risk factor for methotrexate-related elevation of liver enzymes in rheumatoid arthritis patients","title-short":"The C677T mutation in the methylenetetrahydrofolate reductase gene","volume":"44","author":[{"family":"Ede","given":"A. E.","non-dropping-particle":"van"},{"family":"Laan","given":"R. F."},{"family":"Blom","given":"H. J."},{"family":"Huizinga","given":"T. W."},{"family":"Haagsma","given":"C. J."},{"family":"Giesendorf","given":"B. A."},{"family":"Boo","given":"T. M.","non-dropping-particle":"de"},{"family":"Putte","given":"L. B.","non-dropping-particle":"van de"}],"issued":{"date-parts":[["2001",11]]}}}],"schema":"https://github.com/citation-style-language/schema/raw/master/csl-citation.json"}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18</w:t>
            </w:r>
            <w:r w:rsidRPr="00395834">
              <w:rPr>
                <w:sz w:val="20"/>
                <w:szCs w:val="20"/>
                <w:lang w:val="en-GB"/>
              </w:rPr>
              <w:fldChar w:fldCharType="end"/>
            </w:r>
          </w:p>
        </w:tc>
      </w:tr>
      <w:tr w:rsidR="00FA2079" w:rsidRPr="00D712DE" w14:paraId="5AD05F34" w14:textId="77777777" w:rsidTr="002F194E">
        <w:tc>
          <w:tcPr>
            <w:tcW w:w="2269" w:type="dxa"/>
            <w:tcBorders>
              <w:top w:val="nil"/>
              <w:bottom w:val="nil"/>
              <w:right w:val="nil"/>
            </w:tcBorders>
          </w:tcPr>
          <w:p w14:paraId="29435149" w14:textId="77777777" w:rsidR="00FA2079" w:rsidRDefault="00FA2079" w:rsidP="004C6016">
            <w:pPr>
              <w:rPr>
                <w:sz w:val="20"/>
                <w:szCs w:val="20"/>
                <w:lang w:val="en-GB"/>
              </w:rPr>
            </w:pPr>
          </w:p>
        </w:tc>
        <w:tc>
          <w:tcPr>
            <w:tcW w:w="3402" w:type="dxa"/>
            <w:tcBorders>
              <w:top w:val="nil"/>
              <w:left w:val="nil"/>
              <w:bottom w:val="nil"/>
              <w:right w:val="nil"/>
            </w:tcBorders>
          </w:tcPr>
          <w:p w14:paraId="169230D8" w14:textId="0D2E55A6" w:rsidR="00FA2079" w:rsidRPr="00D712DE" w:rsidRDefault="00FA2079" w:rsidP="004C6016">
            <w:pPr>
              <w:rPr>
                <w:sz w:val="20"/>
                <w:szCs w:val="20"/>
                <w:lang w:val="en-GB"/>
              </w:rPr>
            </w:pPr>
            <w:r w:rsidRPr="00D712DE">
              <w:rPr>
                <w:sz w:val="20"/>
                <w:szCs w:val="20"/>
                <w:lang w:val="en-GB"/>
              </w:rPr>
              <w:t>Intermediate risk</w:t>
            </w:r>
          </w:p>
        </w:tc>
        <w:tc>
          <w:tcPr>
            <w:tcW w:w="1701" w:type="dxa"/>
            <w:tcBorders>
              <w:top w:val="nil"/>
              <w:left w:val="nil"/>
              <w:bottom w:val="nil"/>
              <w:right w:val="nil"/>
            </w:tcBorders>
          </w:tcPr>
          <w:p w14:paraId="01688159" w14:textId="45986CC4" w:rsidR="00FA2079" w:rsidRDefault="00FA2079" w:rsidP="004C6016">
            <w:pPr>
              <w:tabs>
                <w:tab w:val="decimal" w:pos="1310"/>
              </w:tabs>
              <w:rPr>
                <w:sz w:val="20"/>
                <w:szCs w:val="20"/>
                <w:lang w:val="en-GB"/>
              </w:rPr>
            </w:pPr>
            <w:r>
              <w:rPr>
                <w:sz w:val="20"/>
                <w:szCs w:val="20"/>
                <w:lang w:val="en-GB"/>
              </w:rPr>
              <w:t>46.34</w:t>
            </w:r>
          </w:p>
        </w:tc>
        <w:tc>
          <w:tcPr>
            <w:tcW w:w="1417" w:type="dxa"/>
            <w:tcBorders>
              <w:top w:val="nil"/>
              <w:left w:val="nil"/>
              <w:bottom w:val="nil"/>
              <w:right w:val="nil"/>
            </w:tcBorders>
          </w:tcPr>
          <w:p w14:paraId="2136F39F" w14:textId="0391732A" w:rsidR="00FA2079" w:rsidRPr="00D712DE" w:rsidRDefault="00FA2079" w:rsidP="004C6016">
            <w:pPr>
              <w:tabs>
                <w:tab w:val="decimal" w:pos="1451"/>
              </w:tabs>
              <w:rPr>
                <w:sz w:val="20"/>
                <w:szCs w:val="20"/>
                <w:lang w:val="en-GB"/>
              </w:rPr>
            </w:pPr>
            <w:r w:rsidRPr="00D712DE">
              <w:rPr>
                <w:sz w:val="20"/>
                <w:szCs w:val="20"/>
                <w:lang w:val="en-GB"/>
              </w:rPr>
              <w:t>40.25</w:t>
            </w:r>
          </w:p>
        </w:tc>
        <w:tc>
          <w:tcPr>
            <w:tcW w:w="992" w:type="dxa"/>
            <w:tcBorders>
              <w:top w:val="nil"/>
              <w:left w:val="nil"/>
              <w:bottom w:val="nil"/>
            </w:tcBorders>
          </w:tcPr>
          <w:p w14:paraId="542CEEC2" w14:textId="45864F7B"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{"citationID":"DJeJtlfV","properties":{"formattedCitation":"\\super 18\\nosupersub{}","plainCitation":"18","noteIndex":0},"citationItems":[{"id":122,"uris":["http://zotero.org/users/local/tKhEs3aL/items/AGKSX39U"],"uri":["http://zotero.org/users/local/tKhEs3aL/items/AGKSX39U"],"itemData":{"id":122,"type":"article-journal","abstract":"OBJECTIVE: To study the possible relationship between the C677T mutation in the methylenetetrahydrofolate reductase (MTHFR) gene and the toxicity and efficacy of treatment with methotrexate (MTX) in patients with rheumatoid arthritis (RA).\nMETHODS: Genotype analysis of the MTHFR gene was done in 236 patients who started MTX treatment with (n = 157) or without (n = 79) folic or folinic acid supplementation. Outcomes were parameters of efficacy of MTX treatment, patient withdrawal due to adverse events, discontinuation of MTX treatment because of elevated liver enzyme levels, and the total occurrence of elevated liver enzyme levels during the study. Multivariate logistic regression analysis was used to study the relationship between the presence of the MTHFR C677T mutation and toxicity outcomes of MTX treatment.\nRESULTS: Forty-eight percent of the patients showed the homozygous (T/T) or heterozygous (T/C) mutation. The presence of the C677CT or C677TT genotypes was associated with an increased risk of discontinuing MTX treatment because of adverse events (relative risk 2.01; 95% confidence interval 1.09, 3.70), mainly due to an increased risk of elevated liver enzyme levels (relative risk 2.38; 95% confidence interval 1.06, 5.34). Efficacy parameters were not significantly different between the patients with and those without the mutation.\nCONCLUSION: The C677T mutation is the first identified genetic risk factor for elevated alanine aminotransferase values during MTX treatment in patients with RA. We postulate that the incidence of clinically important elevation of liver enzyme levels during MTX treatment is mediated by homocysteine metabolism. Supplementation with folic or folinic acid reduced the risk of toxicity-related discontinuation of MTX treatment both in patients with and in patients without the mutation.","container-title":"Arthritis and Rheumatism","DOI":"10.1002/1529-0131(200111)44:11&lt;2525::aid-art432&gt;3.0.co;2-b","ISSN":"0004-3591","issue":"11","journalAbbreviation":"Arthritis Rheum.","language":"eng","note":"PMID: 11710708","page":"2525-2530","source":"PubMed","title":"The C677T mutation in the methylenetetrahydrofolate reductase gene: a genetic risk factor for methotrexate-related elevation of liver enzymes in rheumatoid arthritis patients","title-short":"The C677T mutation in the methylenetetrahydrofolate reductase gene","volume":"44","author":[{"family":"Ede","given":"A. E.","non-dropping-particle":"van"},{"family":"Laan","given":"R. F."},{"family":"Blom","given":"H. J."},{"family":"Huizinga","given":"T. W."},{"family":"Haagsma","given":"C. J."},{"family":"Giesendorf","given":"B. A."},{"family":"Boo","given":"T. M.","non-dropping-particle":"de"},{"family":"Putte","given":"L. B.","non-dropping-particle":"van de"}],"issued":{"date-parts":[["2001",11]]}}}],"schema":"https://github.com/citation-style-language/schema/raw/master/csl-citation.json"}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18</w:t>
            </w:r>
            <w:r w:rsidRPr="00395834">
              <w:rPr>
                <w:sz w:val="20"/>
                <w:szCs w:val="20"/>
                <w:lang w:val="en-GB"/>
              </w:rPr>
              <w:fldChar w:fldCharType="end"/>
            </w:r>
          </w:p>
        </w:tc>
      </w:tr>
      <w:tr w:rsidR="00FA2079" w:rsidRPr="00D712DE" w14:paraId="1DDA0639" w14:textId="77777777" w:rsidTr="002F194E">
        <w:tc>
          <w:tcPr>
            <w:tcW w:w="2269" w:type="dxa"/>
            <w:tcBorders>
              <w:top w:val="nil"/>
              <w:bottom w:val="single" w:sz="4" w:space="0" w:color="auto"/>
              <w:right w:val="nil"/>
            </w:tcBorders>
          </w:tcPr>
          <w:p w14:paraId="743AE204"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11FD98AF" w14:textId="3DFD590E" w:rsidR="00FA2079" w:rsidRPr="00D712DE" w:rsidRDefault="00FA2079" w:rsidP="004C6016">
            <w:pPr>
              <w:rPr>
                <w:sz w:val="20"/>
                <w:szCs w:val="20"/>
                <w:lang w:val="en-GB"/>
              </w:rPr>
            </w:pPr>
            <w:r w:rsidRPr="00D712DE">
              <w:rPr>
                <w:sz w:val="20"/>
                <w:szCs w:val="20"/>
                <w:lang w:val="en-GB"/>
              </w:rPr>
              <w:t>High risk</w:t>
            </w:r>
          </w:p>
        </w:tc>
        <w:tc>
          <w:tcPr>
            <w:tcW w:w="1701" w:type="dxa"/>
            <w:tcBorders>
              <w:top w:val="nil"/>
              <w:left w:val="nil"/>
              <w:bottom w:val="single" w:sz="4" w:space="0" w:color="auto"/>
              <w:right w:val="nil"/>
            </w:tcBorders>
          </w:tcPr>
          <w:p w14:paraId="48D73456" w14:textId="3B4E5603" w:rsidR="00FA2079" w:rsidRDefault="00FA2079" w:rsidP="004C6016">
            <w:pPr>
              <w:tabs>
                <w:tab w:val="decimal" w:pos="1310"/>
              </w:tabs>
              <w:rPr>
                <w:sz w:val="20"/>
                <w:szCs w:val="20"/>
                <w:lang w:val="en-GB"/>
              </w:rPr>
            </w:pPr>
            <w:r>
              <w:rPr>
                <w:sz w:val="20"/>
                <w:szCs w:val="20"/>
                <w:lang w:val="en-GB"/>
              </w:rPr>
              <w:t>7.93</w:t>
            </w:r>
          </w:p>
        </w:tc>
        <w:tc>
          <w:tcPr>
            <w:tcW w:w="1417" w:type="dxa"/>
            <w:tcBorders>
              <w:top w:val="nil"/>
              <w:left w:val="nil"/>
              <w:bottom w:val="single" w:sz="4" w:space="0" w:color="auto"/>
              <w:right w:val="nil"/>
            </w:tcBorders>
          </w:tcPr>
          <w:p w14:paraId="02FF9B04" w14:textId="47468875" w:rsidR="00FA2079" w:rsidRPr="00D712DE" w:rsidRDefault="00FA2079" w:rsidP="004C6016">
            <w:pPr>
              <w:tabs>
                <w:tab w:val="decimal" w:pos="1451"/>
              </w:tabs>
              <w:rPr>
                <w:sz w:val="20"/>
                <w:szCs w:val="20"/>
                <w:lang w:val="en-GB"/>
              </w:rPr>
            </w:pPr>
            <w:r w:rsidRPr="00D712DE">
              <w:rPr>
                <w:sz w:val="20"/>
                <w:szCs w:val="20"/>
                <w:lang w:val="en-GB"/>
              </w:rPr>
              <w:t>8.05</w:t>
            </w:r>
          </w:p>
        </w:tc>
        <w:tc>
          <w:tcPr>
            <w:tcW w:w="992" w:type="dxa"/>
            <w:tcBorders>
              <w:top w:val="nil"/>
              <w:left w:val="nil"/>
              <w:bottom w:val="single" w:sz="4" w:space="0" w:color="auto"/>
            </w:tcBorders>
          </w:tcPr>
          <w:p w14:paraId="22EA9EC7" w14:textId="29C39714"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{"citationID":"Okw0iRNh","properties":{"formattedCitation":"\\super 18\\nosupersub{}","plainCitation":"18","noteIndex":0},"citationItems":[{"id":122,"uris":["http://zotero.org/users/local/tKhEs3aL/items/AGKSX39U"],"uri":["http://zotero.org/users/local/tKhEs3aL/items/AGKSX39U"],"itemData":{"id":122,"type":"article-journal","abstract":"OBJECTIVE: To study the possible relationship between the C677T mutation in the methylenetetrahydrofolate reductase (MTHFR) gene and the toxicity and efficacy of treatment with methotrexate (MTX) in patients with rheumatoid arthritis (RA).\nMETHODS: Genotype analysis of the MTHFR gene was done in 236 patients who started MTX treatment with (n = 157) or without (n = 79) folic or folinic acid supplementation. Outcomes were parameters of efficacy of MTX treatment, patient withdrawal due to adverse events, discontinuation of MTX treatment because of elevated liver enzyme levels, and the total occurrence of elevated liver enzyme levels during the study. Multivariate logistic regression analysis was used to study the relationship between the presence of the MTHFR C677T mutation and toxicity outcomes of MTX treatment.\nRESULTS: Forty-eight percent of the patients showed the homozygous (T/T) or heterozygous (T/C) mutation. The presence of the C677CT or C677TT genotypes was associated with an increased risk of discontinuing MTX treatment because of adverse events (relative risk 2.01; 95% confidence interval 1.09, 3.70), mainly due to an increased risk of elevated liver enzyme levels (relative risk 2.38; 95% confidence interval 1.06, 5.34). Efficacy parameters were not significantly different between the patients with and those without the mutation.\nCONCLUSION: The C677T mutation is the first identified genetic risk factor for elevated alanine aminotransferase values during MTX treatment in patients with RA. We postulate that the incidence of clinically important elevation of liver enzyme levels during MTX treatment is mediated by homocysteine metabolism. Supplementation with folic or folinic acid reduced the risk of toxicity-related discontinuation of MTX treatment both in patients with and in patients without the mutation.","container-title":"Arthritis and Rheumatism","DOI":"10.1002/1529-0131(200111)44:11&lt;2525::aid-art432&gt;3.0.co;2-b","ISSN":"0004-3591","issue":"11","journalAbbreviation":"Arthritis Rheum.","language":"eng","note":"PMID: 11710708","page":"2525-2530","source":"PubMed","title":"The C677T mutation in the methylenetetrahydrofolate reductase gene: a genetic risk factor for methotrexate-related elevation of liver enzymes in rheumatoid arthritis patients","title-short":"The C677T mutation in the methylenetetrahydrofolate reductase gene","volume":"44","author":[{"family":"Ede","given":"A. E.","non-dropping-particle":"van"},{"family":"Laan","given":"R. F."},{"family":"Blom","given":"H. J."},{"family":"Huizinga","given":"T. W."},{"family":"Haagsma","given":"C. J."},{"family":"Giesendorf","given":"B. A."},{"family":"Boo","given":"T. M.","non-dropping-particle":"de"},{"family":"Putte","given":"L. B.","non-dropping-particle":"van de"}],"issued":{"date-parts":[["2001",11]]}}}],"schema":"https://github.com/citation-style-language/schema/raw/master/csl-citation.json"}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18</w:t>
            </w:r>
            <w:r w:rsidRPr="00395834">
              <w:rPr>
                <w:sz w:val="20"/>
                <w:szCs w:val="20"/>
                <w:lang w:val="en-GB"/>
              </w:rPr>
              <w:fldChar w:fldCharType="end"/>
            </w:r>
          </w:p>
        </w:tc>
      </w:tr>
      <w:tr w:rsidR="00FA2079" w:rsidRPr="00D712DE" w14:paraId="47008851" w14:textId="77777777" w:rsidTr="002F194E">
        <w:tc>
          <w:tcPr>
            <w:tcW w:w="2269" w:type="dxa"/>
            <w:tcBorders>
              <w:bottom w:val="nil"/>
              <w:right w:val="nil"/>
            </w:tcBorders>
          </w:tcPr>
          <w:p w14:paraId="371DB8B6" w14:textId="77777777" w:rsidR="00FA2079" w:rsidRPr="00194E48" w:rsidRDefault="00FA2079" w:rsidP="004C6016">
            <w:pPr>
              <w:rPr>
                <w:b/>
                <w:i/>
                <w:sz w:val="20"/>
                <w:szCs w:val="20"/>
                <w:lang w:val="en-GB"/>
              </w:rPr>
            </w:pPr>
            <w:r w:rsidRPr="00194E48">
              <w:rPr>
                <w:b/>
                <w:i/>
                <w:sz w:val="20"/>
                <w:szCs w:val="20"/>
                <w:lang w:val="en-GB"/>
              </w:rPr>
              <w:t>SLCO1B1</w:t>
            </w:r>
          </w:p>
        </w:tc>
        <w:tc>
          <w:tcPr>
            <w:tcW w:w="3402" w:type="dxa"/>
            <w:tcBorders>
              <w:left w:val="nil"/>
              <w:bottom w:val="nil"/>
              <w:right w:val="nil"/>
            </w:tcBorders>
          </w:tcPr>
          <w:p w14:paraId="0A43DF4F" w14:textId="4DEC7A4A" w:rsidR="00FA2079" w:rsidRPr="00D712DE" w:rsidRDefault="00FA2079" w:rsidP="004C6016">
            <w:pPr>
              <w:rPr>
                <w:sz w:val="20"/>
                <w:szCs w:val="20"/>
                <w:lang w:val="en-GB"/>
              </w:rPr>
            </w:pPr>
            <w:r w:rsidRPr="00D712DE">
              <w:rPr>
                <w:sz w:val="20"/>
                <w:szCs w:val="20"/>
                <w:lang w:val="en-GB"/>
              </w:rPr>
              <w:t>521T (wildtype)</w:t>
            </w:r>
          </w:p>
        </w:tc>
        <w:tc>
          <w:tcPr>
            <w:tcW w:w="1701" w:type="dxa"/>
            <w:tcBorders>
              <w:left w:val="nil"/>
              <w:bottom w:val="nil"/>
              <w:right w:val="nil"/>
            </w:tcBorders>
          </w:tcPr>
          <w:p w14:paraId="68DA8E39" w14:textId="03153A2B" w:rsidR="00FA2079" w:rsidRPr="00D712DE" w:rsidRDefault="00FA2079" w:rsidP="004C6016">
            <w:pPr>
              <w:tabs>
                <w:tab w:val="decimal" w:pos="1310"/>
              </w:tabs>
              <w:rPr>
                <w:sz w:val="20"/>
                <w:szCs w:val="20"/>
                <w:lang w:val="en-GB"/>
              </w:rPr>
            </w:pPr>
            <w:r w:rsidRPr="00D712DE">
              <w:rPr>
                <w:sz w:val="20"/>
                <w:szCs w:val="20"/>
                <w:lang w:val="en-GB"/>
              </w:rPr>
              <w:t>83</w:t>
            </w:r>
            <w:r>
              <w:rPr>
                <w:sz w:val="20"/>
                <w:szCs w:val="20"/>
                <w:lang w:val="en-GB"/>
              </w:rPr>
              <w:t>.</w:t>
            </w:r>
            <w:r w:rsidRPr="00D712DE">
              <w:rPr>
                <w:sz w:val="20"/>
                <w:szCs w:val="20"/>
                <w:lang w:val="en-GB"/>
              </w:rPr>
              <w:t>94</w:t>
            </w:r>
          </w:p>
        </w:tc>
        <w:tc>
          <w:tcPr>
            <w:tcW w:w="1417" w:type="dxa"/>
            <w:tcBorders>
              <w:left w:val="nil"/>
              <w:bottom w:val="nil"/>
              <w:right w:val="nil"/>
            </w:tcBorders>
          </w:tcPr>
          <w:p w14:paraId="238F0736" w14:textId="77777777" w:rsidR="00FA2079" w:rsidRPr="00D712DE" w:rsidRDefault="00FA2079" w:rsidP="004C6016">
            <w:pPr>
              <w:tabs>
                <w:tab w:val="decimal" w:pos="1451"/>
              </w:tabs>
              <w:rPr>
                <w:sz w:val="20"/>
                <w:szCs w:val="20"/>
                <w:lang w:val="en-GB"/>
              </w:rPr>
            </w:pPr>
            <w:r w:rsidRPr="00D712DE">
              <w:rPr>
                <w:sz w:val="20"/>
                <w:szCs w:val="20"/>
                <w:lang w:val="en-GB"/>
              </w:rPr>
              <w:t>81</w:t>
            </w:r>
          </w:p>
        </w:tc>
        <w:tc>
          <w:tcPr>
            <w:tcW w:w="992" w:type="dxa"/>
            <w:tcBorders>
              <w:left w:val="nil"/>
              <w:bottom w:val="nil"/>
            </w:tcBorders>
          </w:tcPr>
          <w:p w14:paraId="411468AD" w14:textId="47F980B9" w:rsidR="00FA2079" w:rsidRPr="00395834"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{"citationID":"ipVImmlK","properties":{"formattedCitation":"\\super 19\\nosupersub{}","plainCitation":"19","noteIndex":0},"citationItems":[{"id":124,"uris":["http://zotero.org/users/local/tKhEs3aL/items/A2JEQLRS"],"uri":["http://zotero.org/users/local/tKhEs3aL/items/A2JEQLRS"],"itemData":{"id":124,"type":"article-journal","container-title":"The Pharmacogenomics Journal","DOI":"10.1038/tpj.2010.92","ISSN":"1470-269X, 1473-1150","issue":"3","journalAbbreviation":"Pharmacogenomics J","language":"en","page":"233-237","source":"DOI.org (Crossref)","title":"Differential effect of the rs4149056 variant in SLCO1B1 on myopathy associated with simvastatin and atorvastatin","volume":"12","author":[{"family":"Brunham","given":"L R"},{"family":"Lansberg","given":"P J"},{"family":"Zhang","given":"L"},{"family":"Miao","given":"F"},{"family":"Carter","given":"C"},{"family":"Hovingh","given":"G K"},{"family":"Visscher","given":"H"},{"family":"Jukema","given":"J W"},{"family":"Stalenhoef","given":"A F"},{"family":"Ross","given":"C J D"},{"family":"Carleton","given":"B C"},{"family":"Kastelein","given":"J J P"},{"family":"Hayden","given":"M R"}],"issued":{"date-parts":[["2012",6]]}}}],"schema":"https://github.com/citation-style-language/schema/raw/master/csl-citation.json"}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19</w:t>
            </w:r>
            <w:r w:rsidRPr="00395834">
              <w:rPr>
                <w:sz w:val="20"/>
                <w:szCs w:val="20"/>
                <w:lang w:val="en-GB"/>
              </w:rPr>
              <w:fldChar w:fldCharType="end"/>
            </w:r>
          </w:p>
        </w:tc>
      </w:tr>
      <w:tr w:rsidR="00FA2079" w:rsidRPr="00D712DE" w14:paraId="1261EA0C" w14:textId="77777777" w:rsidTr="002F194E">
        <w:tc>
          <w:tcPr>
            <w:tcW w:w="2269" w:type="dxa"/>
            <w:tcBorders>
              <w:top w:val="nil"/>
              <w:bottom w:val="nil"/>
              <w:right w:val="nil"/>
            </w:tcBorders>
          </w:tcPr>
          <w:p w14:paraId="7A7A7299" w14:textId="4DEFA695" w:rsidR="00FA2079" w:rsidRPr="00194E48" w:rsidRDefault="00FA2079" w:rsidP="004C6016">
            <w:pPr>
              <w:rPr>
                <w:sz w:val="20"/>
                <w:szCs w:val="20"/>
                <w:lang w:val="en-GB"/>
              </w:rPr>
            </w:pPr>
            <w:r>
              <w:rPr>
                <w:sz w:val="20"/>
                <w:szCs w:val="20"/>
                <w:lang w:val="en-GB"/>
              </w:rPr>
              <w:t>(n = 165)</w:t>
            </w:r>
          </w:p>
        </w:tc>
        <w:tc>
          <w:tcPr>
            <w:tcW w:w="3402" w:type="dxa"/>
            <w:tcBorders>
              <w:top w:val="nil"/>
              <w:left w:val="nil"/>
              <w:bottom w:val="single" w:sz="4" w:space="0" w:color="auto"/>
              <w:right w:val="nil"/>
            </w:tcBorders>
          </w:tcPr>
          <w:p w14:paraId="468B5C5B" w14:textId="041C57EE" w:rsidR="00FA2079" w:rsidRPr="00D712DE" w:rsidRDefault="00FA2079" w:rsidP="004C6016">
            <w:pPr>
              <w:rPr>
                <w:sz w:val="20"/>
                <w:szCs w:val="20"/>
                <w:lang w:val="en-GB"/>
              </w:rPr>
            </w:pPr>
            <w:r w:rsidRPr="00D712DE">
              <w:rPr>
                <w:sz w:val="20"/>
                <w:szCs w:val="20"/>
                <w:lang w:val="en-GB"/>
              </w:rPr>
              <w:t>521C (risk allele)</w:t>
            </w:r>
          </w:p>
        </w:tc>
        <w:tc>
          <w:tcPr>
            <w:tcW w:w="1701" w:type="dxa"/>
            <w:tcBorders>
              <w:top w:val="nil"/>
              <w:left w:val="nil"/>
              <w:bottom w:val="single" w:sz="4" w:space="0" w:color="auto"/>
              <w:right w:val="nil"/>
            </w:tcBorders>
          </w:tcPr>
          <w:p w14:paraId="6B62E3CD" w14:textId="423DF20C" w:rsidR="00FA2079" w:rsidRPr="00D712DE" w:rsidRDefault="00FA2079" w:rsidP="004C6016">
            <w:pPr>
              <w:tabs>
                <w:tab w:val="decimal" w:pos="1310"/>
              </w:tabs>
              <w:rPr>
                <w:sz w:val="20"/>
                <w:szCs w:val="20"/>
                <w:lang w:val="en-GB"/>
              </w:rPr>
            </w:pPr>
            <w:r w:rsidRPr="00D712DE">
              <w:rPr>
                <w:sz w:val="20"/>
                <w:szCs w:val="20"/>
                <w:lang w:val="en-GB"/>
              </w:rPr>
              <w:t>16.06</w:t>
            </w:r>
          </w:p>
        </w:tc>
        <w:tc>
          <w:tcPr>
            <w:tcW w:w="1417" w:type="dxa"/>
            <w:tcBorders>
              <w:top w:val="nil"/>
              <w:left w:val="nil"/>
              <w:bottom w:val="single" w:sz="4" w:space="0" w:color="auto"/>
              <w:right w:val="nil"/>
            </w:tcBorders>
          </w:tcPr>
          <w:p w14:paraId="4BCA1A05" w14:textId="77777777" w:rsidR="00FA2079" w:rsidRPr="00D712DE" w:rsidRDefault="00FA2079" w:rsidP="004C6016">
            <w:pPr>
              <w:tabs>
                <w:tab w:val="decimal" w:pos="1451"/>
              </w:tabs>
              <w:rPr>
                <w:sz w:val="20"/>
                <w:szCs w:val="20"/>
                <w:lang w:val="en-GB"/>
              </w:rPr>
            </w:pPr>
            <w:r w:rsidRPr="00D712DE">
              <w:rPr>
                <w:sz w:val="20"/>
                <w:szCs w:val="20"/>
                <w:lang w:val="en-GB"/>
              </w:rPr>
              <w:t>19</w:t>
            </w:r>
          </w:p>
        </w:tc>
        <w:tc>
          <w:tcPr>
            <w:tcW w:w="992" w:type="dxa"/>
            <w:tcBorders>
              <w:top w:val="nil"/>
              <w:left w:val="nil"/>
              <w:bottom w:val="single" w:sz="4" w:space="0" w:color="auto"/>
            </w:tcBorders>
          </w:tcPr>
          <w:p w14:paraId="2355170C" w14:textId="2B0384F4"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{"citationID":"X5342HGH","properties":{"formattedCitation":"\\super 19\\nosupersub{}","plainCitation":"19","noteIndex":0},"citationItems":[{"id":124,"uris":["http://zotero.org/users/local/tKhEs3aL/items/A2JEQLRS"],"uri":["http://zotero.org/users/local/tKhEs3aL/items/A2JEQLRS"],"itemData":{"id":124,"type":"article-journal","container-title":"The Pharmacogenomics Journal","DOI":"10.1038/tpj.2010.92","ISSN":"1470-269X, 1473-1150","issue":"3","journalAbbreviation":"Pharmacogenomics J","language":"en","page":"233-237","source":"DOI.org (Crossref)","title":"Differential effect of the rs4149056 variant in SLCO1B1 on myopathy associated with simvastatin and atorvastatin","volume":"12","author":[{"family":"Brunham","given":"L R"},{"family":"Lansberg","given":"P J"},{"family":"Zhang","given":"L"},{"family":"Miao","given":"F"},{"family":"Carter","given":"C"},{"family":"Hovingh","given":"G K"},{"family":"Visscher","given":"H"},{"family":"Jukema","given":"J W"},{"family":"Stalenhoef","given":"A F"},{"family":"Ross","given":"C J D"},{"family":"Carleton","given":"B C"},{"family":"Kastelein","given":"J J P"},{"family":"Hayden","given":"M R"}],"issued":{"date-parts":[["2012",6]]}}}],"schema":"https://github.com/citation-style-language/schema/raw/master/csl-citation.json"}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19</w:t>
            </w:r>
            <w:r w:rsidRPr="00395834">
              <w:rPr>
                <w:sz w:val="20"/>
                <w:szCs w:val="20"/>
                <w:lang w:val="en-GB"/>
              </w:rPr>
              <w:fldChar w:fldCharType="end"/>
            </w:r>
          </w:p>
        </w:tc>
      </w:tr>
      <w:tr w:rsidR="00FA2079" w:rsidRPr="00D712DE" w14:paraId="746DEFEF" w14:textId="77777777" w:rsidTr="002F194E">
        <w:tc>
          <w:tcPr>
            <w:tcW w:w="2269" w:type="dxa"/>
            <w:tcBorders>
              <w:top w:val="nil"/>
              <w:bottom w:val="nil"/>
              <w:right w:val="nil"/>
            </w:tcBorders>
          </w:tcPr>
          <w:p w14:paraId="20466CF5" w14:textId="77777777" w:rsidR="00FA2079" w:rsidRDefault="00FA2079" w:rsidP="004C6016">
            <w:pPr>
              <w:rPr>
                <w:sz w:val="20"/>
                <w:szCs w:val="20"/>
                <w:lang w:val="en-GB"/>
              </w:rPr>
            </w:pPr>
          </w:p>
        </w:tc>
        <w:tc>
          <w:tcPr>
            <w:tcW w:w="3402" w:type="dxa"/>
            <w:tcBorders>
              <w:left w:val="nil"/>
              <w:bottom w:val="nil"/>
              <w:right w:val="nil"/>
            </w:tcBorders>
          </w:tcPr>
          <w:p w14:paraId="48CEB850" w14:textId="73D106AB" w:rsidR="00FA2079" w:rsidRPr="00D712DE" w:rsidRDefault="00FA2079" w:rsidP="004C6016">
            <w:pPr>
              <w:rPr>
                <w:sz w:val="20"/>
                <w:szCs w:val="20"/>
                <w:lang w:val="en-GB"/>
              </w:rPr>
            </w:pPr>
            <w:r w:rsidRPr="00D712DE">
              <w:rPr>
                <w:sz w:val="20"/>
                <w:szCs w:val="20"/>
                <w:lang w:val="en-GB"/>
              </w:rPr>
              <w:t>No risk</w:t>
            </w:r>
          </w:p>
        </w:tc>
        <w:tc>
          <w:tcPr>
            <w:tcW w:w="1701" w:type="dxa"/>
            <w:tcBorders>
              <w:left w:val="nil"/>
              <w:bottom w:val="nil"/>
              <w:right w:val="nil"/>
            </w:tcBorders>
          </w:tcPr>
          <w:p w14:paraId="3D81AF94" w14:textId="34F9BA05" w:rsidR="00FA2079" w:rsidRPr="00D712DE" w:rsidRDefault="00FA2079" w:rsidP="004C6016">
            <w:pPr>
              <w:tabs>
                <w:tab w:val="decimal" w:pos="1310"/>
              </w:tabs>
              <w:rPr>
                <w:sz w:val="20"/>
                <w:szCs w:val="20"/>
                <w:lang w:val="en-GB"/>
              </w:rPr>
            </w:pPr>
            <w:r>
              <w:rPr>
                <w:sz w:val="20"/>
                <w:szCs w:val="20"/>
                <w:lang w:val="en-GB"/>
              </w:rPr>
              <w:t>70.30</w:t>
            </w:r>
          </w:p>
        </w:tc>
        <w:tc>
          <w:tcPr>
            <w:tcW w:w="1417" w:type="dxa"/>
            <w:tcBorders>
              <w:left w:val="nil"/>
              <w:bottom w:val="nil"/>
              <w:right w:val="nil"/>
            </w:tcBorders>
          </w:tcPr>
          <w:p w14:paraId="3339846D" w14:textId="6B621ADF" w:rsidR="00FA2079" w:rsidRPr="00D712DE" w:rsidRDefault="00FA2079" w:rsidP="004C6016">
            <w:pPr>
              <w:tabs>
                <w:tab w:val="decimal" w:pos="1451"/>
              </w:tabs>
              <w:rPr>
                <w:sz w:val="20"/>
                <w:szCs w:val="20"/>
                <w:lang w:val="en-GB"/>
              </w:rPr>
            </w:pPr>
            <w:r w:rsidRPr="00D712DE">
              <w:rPr>
                <w:sz w:val="20"/>
                <w:szCs w:val="20"/>
                <w:lang w:val="en-GB"/>
              </w:rPr>
              <w:t>68.67</w:t>
            </w:r>
          </w:p>
        </w:tc>
        <w:tc>
          <w:tcPr>
            <w:tcW w:w="992" w:type="dxa"/>
            <w:tcBorders>
              <w:left w:val="nil"/>
              <w:bottom w:val="nil"/>
            </w:tcBorders>
          </w:tcPr>
          <w:p w14:paraId="409A2443" w14:textId="131BFD5A"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{"citationID":"B71NDkmm","properties":{"formattedCitation":"\\super 19\\nosupersub{}","plainCitation":"19","noteIndex":0},"citationItems":[{"id":124,"uris":["http://zotero.org/users/local/tKhEs3aL/items/A2JEQLRS"],"uri":["http://zotero.org/users/local/tKhEs3aL/items/A2JEQLRS"],"itemData":{"id":124,"type":"article-journal","container-title":"The Pharmacogenomics Journal","DOI":"10.1038/tpj.2010.92","ISSN":"1470-269X, 1473-1150","issue":"3","journalAbbreviation":"Pharmacogenomics J","language":"en","page":"233-237","source":"DOI.org (Crossref)","title":"Differential effect of the rs4149056 variant in SLCO1B1 on myopathy associated with simvastatin and atorvastatin","volume":"12","author":[{"family":"Brunham","given":"L R"},{"family":"Lansberg","given":"P J"},{"family":"Zhang","given":"L"},{"family":"Miao","given":"F"},{"family":"Carter","given":"C"},{"family":"Hovingh","given":"G K"},{"family":"Visscher","given":"H"},{"family":"Jukema","given":"J W"},{"family":"Stalenhoef","given":"A F"},{"family":"Ross","given":"C J D"},{"family":"Carleton","given":"B C"},{"family":"Kastelein","given":"J J P"},{"family":"Hayden","given":"M R"}],"issued":{"date-parts":[["2012",6]]}}}],"schema":"https://github.com/citation-style-language/schema/raw/master/csl-citation.json"}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19</w:t>
            </w:r>
            <w:r w:rsidRPr="00395834">
              <w:rPr>
                <w:sz w:val="20"/>
                <w:szCs w:val="20"/>
                <w:lang w:val="en-GB"/>
              </w:rPr>
              <w:fldChar w:fldCharType="end"/>
            </w:r>
          </w:p>
        </w:tc>
      </w:tr>
      <w:tr w:rsidR="00FA2079" w:rsidRPr="00D712DE" w14:paraId="59B6786B" w14:textId="77777777" w:rsidTr="002F194E">
        <w:tc>
          <w:tcPr>
            <w:tcW w:w="2269" w:type="dxa"/>
            <w:tcBorders>
              <w:top w:val="nil"/>
              <w:bottom w:val="nil"/>
              <w:right w:val="nil"/>
            </w:tcBorders>
          </w:tcPr>
          <w:p w14:paraId="7F4C52C3" w14:textId="77777777" w:rsidR="00FA2079" w:rsidRDefault="00FA2079" w:rsidP="004C6016">
            <w:pPr>
              <w:rPr>
                <w:sz w:val="20"/>
                <w:szCs w:val="20"/>
                <w:lang w:val="en-GB"/>
              </w:rPr>
            </w:pPr>
          </w:p>
        </w:tc>
        <w:tc>
          <w:tcPr>
            <w:tcW w:w="3402" w:type="dxa"/>
            <w:tcBorders>
              <w:top w:val="nil"/>
              <w:left w:val="nil"/>
              <w:bottom w:val="nil"/>
              <w:right w:val="nil"/>
            </w:tcBorders>
          </w:tcPr>
          <w:p w14:paraId="2E10122E" w14:textId="7CDF346B" w:rsidR="00FA2079" w:rsidRPr="00D712DE" w:rsidRDefault="00FA2079" w:rsidP="004C6016">
            <w:pPr>
              <w:rPr>
                <w:sz w:val="20"/>
                <w:szCs w:val="20"/>
                <w:lang w:val="en-GB"/>
              </w:rPr>
            </w:pPr>
            <w:r w:rsidRPr="00D712DE">
              <w:rPr>
                <w:sz w:val="20"/>
                <w:szCs w:val="20"/>
                <w:lang w:val="en-GB"/>
              </w:rPr>
              <w:t>Intermediate risk</w:t>
            </w:r>
          </w:p>
        </w:tc>
        <w:tc>
          <w:tcPr>
            <w:tcW w:w="1701" w:type="dxa"/>
            <w:tcBorders>
              <w:top w:val="nil"/>
              <w:left w:val="nil"/>
              <w:bottom w:val="nil"/>
              <w:right w:val="nil"/>
            </w:tcBorders>
          </w:tcPr>
          <w:p w14:paraId="3996349F" w14:textId="19EAE835" w:rsidR="00FA2079" w:rsidRPr="00D712DE" w:rsidRDefault="00FA2079" w:rsidP="004C6016">
            <w:pPr>
              <w:tabs>
                <w:tab w:val="decimal" w:pos="1310"/>
              </w:tabs>
              <w:rPr>
                <w:sz w:val="20"/>
                <w:szCs w:val="20"/>
                <w:lang w:val="en-GB"/>
              </w:rPr>
            </w:pPr>
            <w:r>
              <w:rPr>
                <w:sz w:val="20"/>
                <w:szCs w:val="20"/>
                <w:lang w:val="en-GB"/>
              </w:rPr>
              <w:t>27.27</w:t>
            </w:r>
          </w:p>
        </w:tc>
        <w:tc>
          <w:tcPr>
            <w:tcW w:w="1417" w:type="dxa"/>
            <w:tcBorders>
              <w:top w:val="nil"/>
              <w:left w:val="nil"/>
              <w:bottom w:val="nil"/>
              <w:right w:val="nil"/>
            </w:tcBorders>
          </w:tcPr>
          <w:p w14:paraId="526D7D4B" w14:textId="63DAEC21" w:rsidR="00FA2079" w:rsidRPr="00D712DE" w:rsidRDefault="00FA2079" w:rsidP="004C6016">
            <w:pPr>
              <w:tabs>
                <w:tab w:val="decimal" w:pos="1451"/>
              </w:tabs>
              <w:rPr>
                <w:sz w:val="20"/>
                <w:szCs w:val="20"/>
                <w:lang w:val="en-GB"/>
              </w:rPr>
            </w:pPr>
            <w:r w:rsidRPr="00D712DE">
              <w:rPr>
                <w:sz w:val="20"/>
                <w:szCs w:val="20"/>
                <w:lang w:val="en-GB"/>
              </w:rPr>
              <w:t>24.10</w:t>
            </w:r>
          </w:p>
        </w:tc>
        <w:tc>
          <w:tcPr>
            <w:tcW w:w="992" w:type="dxa"/>
            <w:tcBorders>
              <w:top w:val="nil"/>
              <w:left w:val="nil"/>
              <w:bottom w:val="nil"/>
            </w:tcBorders>
          </w:tcPr>
          <w:p w14:paraId="4D6C95AA" w14:textId="3A1F1518"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{"citationID":"cCekvlTe","properties":{"formattedCitation":"\\super 19\\nosupersub{}","plainCitation":"19","noteIndex":0},"citationItems":[{"id":124,"uris":["http://zotero.org/users/local/tKhEs3aL/items/A2JEQLRS"],"uri":["http://zotero.org/users/local/tKhEs3aL/items/A2JEQLRS"],"itemData":{"id":124,"type":"article-journal","container-title":"The Pharmacogenomics Journal","DOI":"10.1038/tpj.2010.92","ISSN":"1470-269X, 1473-1150","issue":"3","journalAbbreviation":"Pharmacogenomics J","language":"en","page":"233-237","source":"DOI.org (Crossref)","title":"Differential effect of the rs4149056 variant in SLCO1B1 on myopathy associated with simvastatin and atorvastatin","volume":"12","author":[{"family":"Brunham","given":"L R"},{"family":"Lansberg","given":"P J"},{"family":"Zhang","given":"L"},{"family":"Miao","given":"F"},{"family":"Carter","given":"C"},{"family":"Hovingh","given":"G K"},{"family":"Visscher","given":"H"},{"family":"Jukema","given":"J W"},{"family":"Stalenhoef","given":"A F"},{"family":"Ross","given":"C J D"},{"family":"Carleton","given":"B C"},{"family":"Kastelein","given":"J J P"},{"family":"Hayden","given":"M R"}],"issued":{"date-parts":[["2012",6]]}}}],"schema":"https://github.com/citation-style-language/schema/raw/master/csl-citation.json"}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19</w:t>
            </w:r>
            <w:r w:rsidRPr="00395834">
              <w:rPr>
                <w:sz w:val="20"/>
                <w:szCs w:val="20"/>
                <w:lang w:val="en-GB"/>
              </w:rPr>
              <w:fldChar w:fldCharType="end"/>
            </w:r>
          </w:p>
        </w:tc>
      </w:tr>
      <w:tr w:rsidR="00045285" w:rsidRPr="00D712DE" w14:paraId="325B3A93" w14:textId="77777777" w:rsidTr="002F194E">
        <w:tc>
          <w:tcPr>
            <w:tcW w:w="2269" w:type="dxa"/>
            <w:tcBorders>
              <w:top w:val="nil"/>
              <w:bottom w:val="single" w:sz="4" w:space="0" w:color="auto"/>
              <w:right w:val="nil"/>
            </w:tcBorders>
          </w:tcPr>
          <w:p w14:paraId="71162903" w14:textId="77777777" w:rsidR="00FA2079" w:rsidRDefault="00FA2079" w:rsidP="004C6016">
            <w:pPr>
              <w:rPr>
                <w:sz w:val="20"/>
                <w:szCs w:val="20"/>
                <w:lang w:val="en-GB"/>
              </w:rPr>
            </w:pPr>
          </w:p>
        </w:tc>
        <w:tc>
          <w:tcPr>
            <w:tcW w:w="3402" w:type="dxa"/>
            <w:tcBorders>
              <w:top w:val="nil"/>
              <w:left w:val="nil"/>
              <w:bottom w:val="single" w:sz="4" w:space="0" w:color="auto"/>
              <w:right w:val="nil"/>
            </w:tcBorders>
          </w:tcPr>
          <w:p w14:paraId="7A30548B" w14:textId="31D02B93" w:rsidR="00FA2079" w:rsidRPr="00D712DE" w:rsidRDefault="00FA2079" w:rsidP="004C6016">
            <w:pPr>
              <w:rPr>
                <w:sz w:val="20"/>
                <w:szCs w:val="20"/>
                <w:lang w:val="en-GB"/>
              </w:rPr>
            </w:pPr>
            <w:r w:rsidRPr="00D712DE">
              <w:rPr>
                <w:sz w:val="20"/>
                <w:szCs w:val="20"/>
                <w:lang w:val="en-GB"/>
              </w:rPr>
              <w:t>High risk</w:t>
            </w:r>
          </w:p>
        </w:tc>
        <w:tc>
          <w:tcPr>
            <w:tcW w:w="1701" w:type="dxa"/>
            <w:tcBorders>
              <w:top w:val="nil"/>
              <w:left w:val="nil"/>
              <w:bottom w:val="single" w:sz="4" w:space="0" w:color="auto"/>
              <w:right w:val="nil"/>
            </w:tcBorders>
          </w:tcPr>
          <w:p w14:paraId="2B284D76" w14:textId="1A2471A2" w:rsidR="00FA2079" w:rsidRPr="00D712DE" w:rsidRDefault="00FA2079" w:rsidP="004C6016">
            <w:pPr>
              <w:tabs>
                <w:tab w:val="decimal" w:pos="1310"/>
              </w:tabs>
              <w:rPr>
                <w:sz w:val="20"/>
                <w:szCs w:val="20"/>
                <w:lang w:val="en-GB"/>
              </w:rPr>
            </w:pPr>
            <w:r>
              <w:rPr>
                <w:sz w:val="20"/>
                <w:szCs w:val="20"/>
                <w:lang w:val="en-GB"/>
              </w:rPr>
              <w:t>2.42</w:t>
            </w:r>
          </w:p>
        </w:tc>
        <w:tc>
          <w:tcPr>
            <w:tcW w:w="1417" w:type="dxa"/>
            <w:tcBorders>
              <w:top w:val="nil"/>
              <w:left w:val="nil"/>
              <w:bottom w:val="single" w:sz="4" w:space="0" w:color="auto"/>
              <w:right w:val="nil"/>
            </w:tcBorders>
          </w:tcPr>
          <w:p w14:paraId="4430702C" w14:textId="0328156B" w:rsidR="00FA2079" w:rsidRPr="00D712DE" w:rsidRDefault="00FA2079" w:rsidP="004C6016">
            <w:pPr>
              <w:tabs>
                <w:tab w:val="decimal" w:pos="1451"/>
              </w:tabs>
              <w:rPr>
                <w:sz w:val="20"/>
                <w:szCs w:val="20"/>
                <w:lang w:val="en-GB"/>
              </w:rPr>
            </w:pPr>
            <w:r w:rsidRPr="00D712DE">
              <w:rPr>
                <w:sz w:val="20"/>
                <w:szCs w:val="20"/>
                <w:lang w:val="en-GB"/>
              </w:rPr>
              <w:t>7.23</w:t>
            </w:r>
          </w:p>
        </w:tc>
        <w:tc>
          <w:tcPr>
            <w:tcW w:w="992" w:type="dxa"/>
            <w:tcBorders>
              <w:top w:val="nil"/>
              <w:left w:val="nil"/>
              <w:bottom w:val="single" w:sz="4" w:space="0" w:color="auto"/>
            </w:tcBorders>
          </w:tcPr>
          <w:p w14:paraId="114C2CB1" w14:textId="5A230808" w:rsidR="00FA2079" w:rsidRPr="00D712DE" w:rsidRDefault="00395834" w:rsidP="002F194E">
            <w:pPr>
              <w:jc w:val="center"/>
              <w:rPr>
                <w:sz w:val="20"/>
                <w:szCs w:val="20"/>
                <w:lang w:val="en-GB"/>
              </w:rPr>
            </w:pPr>
            <w:r w:rsidRPr="00395834">
              <w:rPr>
                <w:sz w:val="20"/>
                <w:szCs w:val="20"/>
                <w:lang w:val="en-GB"/>
              </w:rPr>
              <w:fldChar w:fldCharType="begin"/>
            </w:r>
            <w:r w:rsidR="00C97933">
              <w:rPr>
                <w:sz w:val="20"/>
                <w:szCs w:val="20"/>
                <w:lang w:val="en-GB"/>
              </w:rPr>
              <w:instrText xml:space="preserve"> ADDIN ZOTERO_ITEM CSL_CITATION {"citationID":"tuepsUOz","properties":{"formattedCitation":"\\super 19\\nosupersub{}","plainCitation":"19","noteIndex":0},"citationItems":[{"id":124,"uris":["http://zotero.org/users/local/tKhEs3aL/items/A2JEQLRS"],"uri":["http://zotero.org/users/local/tKhEs3aL/items/A2JEQLRS"],"itemData":{"id":124,"type":"article-journal","container-title":"The Pharmacogenomics Journal","DOI":"10.1038/tpj.2010.92","ISSN":"1470-269X, 1473-1150","issue":"3","journalAbbreviation":"Pharmacogenomics J","language":"en","page":"233-237","source":"DOI.org (Crossref)","title":"Differential effect of the rs4149056 variant in SLCO1B1 on myopathy associated with simvastatin and atorvastatin","volume":"12","author":[{"family":"Brunham","given":"L R"},{"family":"Lansberg","given":"P J"},{"family":"Zhang","given":"L"},{"family":"Miao","given":"F"},{"family":"Carter","given":"C"},{"family":"Hovingh","given":"G K"},{"family":"Visscher","given":"H"},{"family":"Jukema","given":"J W"},{"family":"Stalenhoef","given":"A F"},{"family":"Ross","given":"C J D"},{"family":"Carleton","given":"B C"},{"family":"Kastelein","given":"J J P"},{"family":"Hayden","given":"M R"}],"issued":{"date-parts":[["2012",6]]}}}],"schema":"https://github.com/citation-style-language/schema/raw/master/csl-citation.json"} </w:instrText>
            </w:r>
            <w:r w:rsidRPr="00395834">
              <w:rPr>
                <w:sz w:val="20"/>
                <w:szCs w:val="20"/>
                <w:lang w:val="en-GB"/>
              </w:rPr>
              <w:fldChar w:fldCharType="separate"/>
            </w:r>
            <w:r w:rsidR="00C97933" w:rsidRPr="00C97933">
              <w:rPr>
                <w:rFonts w:ascii="Calibri" w:cs="Times New Roman"/>
                <w:sz w:val="20"/>
                <w:vertAlign w:val="superscript"/>
              </w:rPr>
              <w:t>19</w:t>
            </w:r>
            <w:r w:rsidRPr="00395834">
              <w:rPr>
                <w:sz w:val="20"/>
                <w:szCs w:val="20"/>
                <w:lang w:val="en-GB"/>
              </w:rPr>
              <w:fldChar w:fldCharType="end"/>
            </w:r>
          </w:p>
        </w:tc>
      </w:tr>
      <w:tr w:rsidR="00FA2079" w:rsidRPr="00D712DE" w14:paraId="4BD1A680" w14:textId="77777777" w:rsidTr="002F194E">
        <w:tc>
          <w:tcPr>
            <w:tcW w:w="2269" w:type="dxa"/>
            <w:tcBorders>
              <w:bottom w:val="nil"/>
              <w:right w:val="nil"/>
            </w:tcBorders>
          </w:tcPr>
          <w:p w14:paraId="515C9B29" w14:textId="2BD4CA51" w:rsidR="00FA2079" w:rsidRPr="002F6F45" w:rsidRDefault="00FA2079" w:rsidP="004C6016">
            <w:pPr>
              <w:rPr>
                <w:i/>
                <w:sz w:val="20"/>
                <w:szCs w:val="20"/>
                <w:vertAlign w:val="superscript"/>
                <w:lang w:val="en-GB"/>
              </w:rPr>
            </w:pPr>
            <w:r w:rsidRPr="00194E48">
              <w:rPr>
                <w:b/>
                <w:i/>
                <w:sz w:val="20"/>
                <w:szCs w:val="20"/>
                <w:lang w:val="en-GB"/>
              </w:rPr>
              <w:t>TPMT</w:t>
            </w:r>
            <w:r>
              <w:rPr>
                <w:b/>
                <w:i/>
                <w:sz w:val="20"/>
                <w:szCs w:val="20"/>
                <w:lang w:val="en-GB"/>
              </w:rPr>
              <w:t xml:space="preserve"> </w:t>
            </w:r>
            <w:r w:rsidR="00045285">
              <w:rPr>
                <w:i/>
                <w:sz w:val="20"/>
                <w:szCs w:val="20"/>
                <w:vertAlign w:val="superscript"/>
                <w:lang w:val="en-GB"/>
              </w:rPr>
              <w:t>e</w:t>
            </w:r>
          </w:p>
        </w:tc>
        <w:tc>
          <w:tcPr>
            <w:tcW w:w="3402" w:type="dxa"/>
            <w:tcBorders>
              <w:left w:val="nil"/>
              <w:bottom w:val="nil"/>
              <w:right w:val="nil"/>
            </w:tcBorders>
          </w:tcPr>
          <w:p w14:paraId="68B954B3" w14:textId="77777777"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28F34AF1" w14:textId="259AF049" w:rsidR="00FA2079" w:rsidRPr="00D712DE" w:rsidRDefault="00FA2079" w:rsidP="004C6016">
            <w:pPr>
              <w:tabs>
                <w:tab w:val="decimal" w:pos="1310"/>
              </w:tabs>
              <w:rPr>
                <w:sz w:val="20"/>
                <w:szCs w:val="20"/>
                <w:lang w:val="en-GB"/>
              </w:rPr>
            </w:pPr>
            <w:r>
              <w:rPr>
                <w:sz w:val="20"/>
                <w:szCs w:val="20"/>
                <w:lang w:val="en-GB"/>
              </w:rPr>
              <w:t>95.12</w:t>
            </w:r>
          </w:p>
        </w:tc>
        <w:tc>
          <w:tcPr>
            <w:tcW w:w="1417" w:type="dxa"/>
            <w:tcBorders>
              <w:left w:val="nil"/>
              <w:bottom w:val="nil"/>
              <w:right w:val="nil"/>
            </w:tcBorders>
          </w:tcPr>
          <w:p w14:paraId="188ED951" w14:textId="46ED658F" w:rsidR="00FA2079" w:rsidRPr="00D712DE" w:rsidRDefault="002706D5" w:rsidP="004C6016">
            <w:pPr>
              <w:tabs>
                <w:tab w:val="decimal" w:pos="1451"/>
              </w:tabs>
              <w:rPr>
                <w:sz w:val="20"/>
                <w:szCs w:val="20"/>
                <w:lang w:val="en-GB"/>
              </w:rPr>
            </w:pPr>
            <w:r>
              <w:rPr>
                <w:sz w:val="20"/>
                <w:szCs w:val="20"/>
                <w:lang w:val="en-GB"/>
              </w:rPr>
              <w:t>-</w:t>
            </w:r>
          </w:p>
        </w:tc>
        <w:tc>
          <w:tcPr>
            <w:tcW w:w="992" w:type="dxa"/>
            <w:tcBorders>
              <w:left w:val="nil"/>
              <w:bottom w:val="nil"/>
            </w:tcBorders>
          </w:tcPr>
          <w:p w14:paraId="3B33C321" w14:textId="18695DDD" w:rsidR="00FA2079" w:rsidRPr="002706D5" w:rsidRDefault="00FA2079" w:rsidP="002F194E">
            <w:pPr>
              <w:jc w:val="center"/>
              <w:rPr>
                <w:sz w:val="20"/>
                <w:szCs w:val="20"/>
                <w:lang w:val="en-GB"/>
              </w:rPr>
            </w:pPr>
          </w:p>
        </w:tc>
      </w:tr>
      <w:tr w:rsidR="00FA2079" w:rsidRPr="00D712DE" w14:paraId="1EAFED2E" w14:textId="77777777" w:rsidTr="002F194E">
        <w:tc>
          <w:tcPr>
            <w:tcW w:w="2269" w:type="dxa"/>
            <w:tcBorders>
              <w:top w:val="nil"/>
              <w:bottom w:val="nil"/>
              <w:right w:val="nil"/>
            </w:tcBorders>
          </w:tcPr>
          <w:p w14:paraId="429F969D" w14:textId="160DE9BD"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nil"/>
              <w:right w:val="nil"/>
            </w:tcBorders>
          </w:tcPr>
          <w:p w14:paraId="7F61D43B" w14:textId="26553631" w:rsidR="00FA2079" w:rsidRPr="00D712DE" w:rsidRDefault="00FA2079" w:rsidP="004C6016">
            <w:pPr>
              <w:rPr>
                <w:sz w:val="20"/>
                <w:szCs w:val="20"/>
                <w:lang w:val="en-GB"/>
              </w:rPr>
            </w:pPr>
            <w:r>
              <w:rPr>
                <w:sz w:val="20"/>
                <w:szCs w:val="20"/>
                <w:lang w:val="en-GB"/>
              </w:rPr>
              <w:t>*2</w:t>
            </w:r>
          </w:p>
        </w:tc>
        <w:tc>
          <w:tcPr>
            <w:tcW w:w="1701" w:type="dxa"/>
            <w:tcBorders>
              <w:top w:val="nil"/>
              <w:left w:val="nil"/>
              <w:bottom w:val="nil"/>
              <w:right w:val="nil"/>
            </w:tcBorders>
          </w:tcPr>
          <w:p w14:paraId="6717DB69" w14:textId="70D15849" w:rsidR="00FA2079" w:rsidRDefault="00FA2079" w:rsidP="004C6016">
            <w:pPr>
              <w:tabs>
                <w:tab w:val="decimal" w:pos="1310"/>
              </w:tabs>
              <w:rPr>
                <w:sz w:val="20"/>
                <w:szCs w:val="20"/>
                <w:lang w:val="en-GB"/>
              </w:rPr>
            </w:pPr>
            <w:r>
              <w:rPr>
                <w:sz w:val="20"/>
                <w:szCs w:val="20"/>
                <w:lang w:val="en-GB"/>
              </w:rPr>
              <w:t>0.30</w:t>
            </w:r>
          </w:p>
        </w:tc>
        <w:tc>
          <w:tcPr>
            <w:tcW w:w="1417" w:type="dxa"/>
            <w:tcBorders>
              <w:top w:val="nil"/>
              <w:left w:val="nil"/>
              <w:bottom w:val="nil"/>
              <w:right w:val="nil"/>
            </w:tcBorders>
          </w:tcPr>
          <w:p w14:paraId="19492E47" w14:textId="0004AA40" w:rsidR="00FA2079" w:rsidRPr="00D712DE" w:rsidRDefault="005C4AEB" w:rsidP="004C6016">
            <w:pPr>
              <w:tabs>
                <w:tab w:val="decimal" w:pos="1451"/>
              </w:tabs>
              <w:rPr>
                <w:sz w:val="20"/>
                <w:szCs w:val="20"/>
                <w:lang w:val="en-GB"/>
              </w:rPr>
            </w:pPr>
            <w:r>
              <w:rPr>
                <w:sz w:val="20"/>
                <w:szCs w:val="20"/>
                <w:lang w:val="en-GB"/>
              </w:rPr>
              <w:t>0.</w:t>
            </w:r>
            <w:r w:rsidR="002706D5">
              <w:rPr>
                <w:sz w:val="20"/>
                <w:szCs w:val="20"/>
                <w:lang w:val="en-GB"/>
              </w:rPr>
              <w:t>4</w:t>
            </w:r>
          </w:p>
        </w:tc>
        <w:tc>
          <w:tcPr>
            <w:tcW w:w="992" w:type="dxa"/>
            <w:tcBorders>
              <w:top w:val="nil"/>
              <w:left w:val="nil"/>
              <w:bottom w:val="nil"/>
            </w:tcBorders>
          </w:tcPr>
          <w:p w14:paraId="2781192F" w14:textId="2AF7889E" w:rsidR="00FA2079" w:rsidRPr="002706D5"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{"citationID":"tofMrcc1","properties":{"formattedCitation":"\\super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7EB4F683" w14:textId="77777777" w:rsidTr="002F194E">
        <w:tc>
          <w:tcPr>
            <w:tcW w:w="2269" w:type="dxa"/>
            <w:tcBorders>
              <w:top w:val="nil"/>
              <w:bottom w:val="nil"/>
              <w:right w:val="nil"/>
            </w:tcBorders>
          </w:tcPr>
          <w:p w14:paraId="44ED4A5A" w14:textId="068DA3CB" w:rsidR="00FA2079" w:rsidRPr="00D712DE" w:rsidRDefault="00FA2079" w:rsidP="004C6016">
            <w:pPr>
              <w:rPr>
                <w:i/>
                <w:sz w:val="20"/>
                <w:szCs w:val="20"/>
                <w:lang w:val="en-GB"/>
              </w:rPr>
            </w:pPr>
          </w:p>
        </w:tc>
        <w:tc>
          <w:tcPr>
            <w:tcW w:w="3402" w:type="dxa"/>
            <w:tcBorders>
              <w:top w:val="nil"/>
              <w:left w:val="nil"/>
              <w:bottom w:val="nil"/>
              <w:right w:val="nil"/>
            </w:tcBorders>
          </w:tcPr>
          <w:p w14:paraId="5E4A2DF8" w14:textId="77777777" w:rsidR="00FA2079" w:rsidRPr="00D712DE" w:rsidRDefault="00FA2079" w:rsidP="004C6016">
            <w:pPr>
              <w:rPr>
                <w:sz w:val="20"/>
                <w:szCs w:val="20"/>
                <w:lang w:val="en-GB"/>
              </w:rPr>
            </w:pPr>
            <w:r w:rsidRPr="00D712DE">
              <w:rPr>
                <w:sz w:val="20"/>
                <w:szCs w:val="20"/>
                <w:lang w:val="en-GB"/>
              </w:rPr>
              <w:t>*3A</w:t>
            </w:r>
          </w:p>
        </w:tc>
        <w:tc>
          <w:tcPr>
            <w:tcW w:w="1701" w:type="dxa"/>
            <w:tcBorders>
              <w:top w:val="nil"/>
              <w:left w:val="nil"/>
              <w:bottom w:val="nil"/>
              <w:right w:val="nil"/>
            </w:tcBorders>
          </w:tcPr>
          <w:p w14:paraId="5ED263AD" w14:textId="2D6D626E" w:rsidR="00FA2079" w:rsidRPr="00D712DE"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4846C2DB" w14:textId="1CA413CE" w:rsidR="00FA2079" w:rsidRPr="00D712DE" w:rsidRDefault="00FA2079" w:rsidP="004C6016">
            <w:pPr>
              <w:tabs>
                <w:tab w:val="decimal" w:pos="1451"/>
              </w:tabs>
              <w:rPr>
                <w:sz w:val="20"/>
                <w:szCs w:val="20"/>
                <w:lang w:val="en-GB"/>
              </w:rPr>
            </w:pPr>
            <w:r w:rsidRPr="00D712DE">
              <w:rPr>
                <w:sz w:val="20"/>
                <w:szCs w:val="20"/>
                <w:lang w:val="en-GB"/>
              </w:rPr>
              <w:t>3.</w:t>
            </w:r>
            <w:r w:rsidR="002706D5">
              <w:rPr>
                <w:sz w:val="20"/>
                <w:szCs w:val="20"/>
                <w:lang w:val="en-GB"/>
              </w:rPr>
              <w:t>5</w:t>
            </w:r>
          </w:p>
        </w:tc>
        <w:tc>
          <w:tcPr>
            <w:tcW w:w="992" w:type="dxa"/>
            <w:tcBorders>
              <w:top w:val="nil"/>
              <w:left w:val="nil"/>
              <w:bottom w:val="nil"/>
            </w:tcBorders>
          </w:tcPr>
          <w:p w14:paraId="5DAE31AF" w14:textId="0293C00C" w:rsidR="00FA2079" w:rsidRPr="002706D5"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{"citationID":"FWO0TBU7","properties":{"formattedCitation":"\\super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5E02119F" w14:textId="77777777" w:rsidTr="002F194E">
        <w:tc>
          <w:tcPr>
            <w:tcW w:w="2269" w:type="dxa"/>
            <w:tcBorders>
              <w:top w:val="nil"/>
              <w:bottom w:val="nil"/>
              <w:right w:val="nil"/>
            </w:tcBorders>
          </w:tcPr>
          <w:p w14:paraId="7F620E06" w14:textId="6788CF82" w:rsidR="00FA2079" w:rsidRPr="00D712DE" w:rsidRDefault="00FA2079" w:rsidP="004C6016">
            <w:pPr>
              <w:rPr>
                <w:i/>
                <w:sz w:val="20"/>
                <w:szCs w:val="20"/>
                <w:lang w:val="en-GB"/>
              </w:rPr>
            </w:pPr>
          </w:p>
        </w:tc>
        <w:tc>
          <w:tcPr>
            <w:tcW w:w="3402" w:type="dxa"/>
            <w:tcBorders>
              <w:top w:val="nil"/>
              <w:left w:val="nil"/>
              <w:bottom w:val="nil"/>
              <w:right w:val="nil"/>
            </w:tcBorders>
          </w:tcPr>
          <w:p w14:paraId="6FC107EB" w14:textId="77777777" w:rsidR="00FA2079" w:rsidRPr="00D712DE" w:rsidRDefault="00FA2079" w:rsidP="004C6016">
            <w:pPr>
              <w:rPr>
                <w:sz w:val="20"/>
                <w:szCs w:val="20"/>
                <w:lang w:val="en-GB"/>
              </w:rPr>
            </w:pPr>
            <w:r w:rsidRPr="00D712DE">
              <w:rPr>
                <w:sz w:val="20"/>
                <w:szCs w:val="20"/>
                <w:lang w:val="en-GB"/>
              </w:rPr>
              <w:t>*3B</w:t>
            </w:r>
          </w:p>
        </w:tc>
        <w:tc>
          <w:tcPr>
            <w:tcW w:w="1701" w:type="dxa"/>
            <w:tcBorders>
              <w:top w:val="nil"/>
              <w:left w:val="nil"/>
              <w:bottom w:val="nil"/>
              <w:right w:val="nil"/>
            </w:tcBorders>
          </w:tcPr>
          <w:p w14:paraId="5B59B96E" w14:textId="570F9B47" w:rsidR="00FA2079" w:rsidRPr="00D712DE"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nil"/>
              <w:right w:val="nil"/>
            </w:tcBorders>
          </w:tcPr>
          <w:p w14:paraId="1C2BA2EE" w14:textId="11AA8FCC" w:rsidR="00FA2079" w:rsidRPr="00D712DE" w:rsidRDefault="00FA2079" w:rsidP="004C6016">
            <w:pPr>
              <w:tabs>
                <w:tab w:val="decimal" w:pos="1451"/>
              </w:tabs>
              <w:rPr>
                <w:sz w:val="20"/>
                <w:szCs w:val="20"/>
                <w:lang w:val="en-GB"/>
              </w:rPr>
            </w:pPr>
            <w:r w:rsidRPr="00D712DE">
              <w:rPr>
                <w:sz w:val="20"/>
                <w:szCs w:val="20"/>
                <w:lang w:val="en-GB"/>
              </w:rPr>
              <w:t>0.</w:t>
            </w:r>
            <w:r w:rsidR="002706D5">
              <w:rPr>
                <w:sz w:val="20"/>
                <w:szCs w:val="20"/>
                <w:lang w:val="en-GB"/>
              </w:rPr>
              <w:t>4</w:t>
            </w:r>
          </w:p>
        </w:tc>
        <w:tc>
          <w:tcPr>
            <w:tcW w:w="992" w:type="dxa"/>
            <w:tcBorders>
              <w:top w:val="nil"/>
              <w:left w:val="nil"/>
              <w:bottom w:val="nil"/>
            </w:tcBorders>
          </w:tcPr>
          <w:p w14:paraId="51164280" w14:textId="73F77812" w:rsidR="00FA2079" w:rsidRPr="002706D5"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{"citationID":"no31Dp00","properties":{"formattedCitation":"\\super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1BA81241" w14:textId="77777777" w:rsidTr="002F194E">
        <w:tc>
          <w:tcPr>
            <w:tcW w:w="2269" w:type="dxa"/>
            <w:tcBorders>
              <w:top w:val="nil"/>
              <w:bottom w:val="nil"/>
              <w:right w:val="nil"/>
            </w:tcBorders>
          </w:tcPr>
          <w:p w14:paraId="106AFAE6" w14:textId="5D7B8ACD"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7327FFE0" w14:textId="77777777" w:rsidR="00FA2079" w:rsidRPr="00D712DE" w:rsidRDefault="00FA2079" w:rsidP="004C6016">
            <w:pPr>
              <w:rPr>
                <w:sz w:val="20"/>
                <w:szCs w:val="20"/>
                <w:lang w:val="en-GB"/>
              </w:rPr>
            </w:pPr>
            <w:r w:rsidRPr="00D712DE">
              <w:rPr>
                <w:sz w:val="20"/>
                <w:szCs w:val="20"/>
                <w:lang w:val="en-GB"/>
              </w:rPr>
              <w:t>*3C</w:t>
            </w:r>
          </w:p>
        </w:tc>
        <w:tc>
          <w:tcPr>
            <w:tcW w:w="1701" w:type="dxa"/>
            <w:tcBorders>
              <w:top w:val="nil"/>
              <w:left w:val="nil"/>
              <w:bottom w:val="single" w:sz="4" w:space="0" w:color="auto"/>
              <w:right w:val="nil"/>
            </w:tcBorders>
          </w:tcPr>
          <w:p w14:paraId="609028A9" w14:textId="4A0D5BBF" w:rsidR="00FA2079" w:rsidRPr="00D712DE" w:rsidRDefault="00FA2079" w:rsidP="004C6016">
            <w:pPr>
              <w:tabs>
                <w:tab w:val="decimal" w:pos="1310"/>
              </w:tabs>
              <w:rPr>
                <w:sz w:val="20"/>
                <w:szCs w:val="20"/>
                <w:lang w:val="en-GB"/>
              </w:rPr>
            </w:pPr>
            <w:r>
              <w:rPr>
                <w:sz w:val="20"/>
                <w:szCs w:val="20"/>
                <w:lang w:val="en-GB"/>
              </w:rPr>
              <w:t>4.57</w:t>
            </w:r>
          </w:p>
        </w:tc>
        <w:tc>
          <w:tcPr>
            <w:tcW w:w="1417" w:type="dxa"/>
            <w:tcBorders>
              <w:top w:val="nil"/>
              <w:left w:val="nil"/>
              <w:bottom w:val="single" w:sz="4" w:space="0" w:color="auto"/>
              <w:right w:val="nil"/>
            </w:tcBorders>
          </w:tcPr>
          <w:p w14:paraId="1574D801" w14:textId="0660C314" w:rsidR="00FA2079" w:rsidRPr="00D712DE" w:rsidRDefault="00FA2079" w:rsidP="004C6016">
            <w:pPr>
              <w:tabs>
                <w:tab w:val="decimal" w:pos="1451"/>
              </w:tabs>
              <w:rPr>
                <w:sz w:val="20"/>
                <w:szCs w:val="20"/>
                <w:lang w:val="en-GB"/>
              </w:rPr>
            </w:pPr>
            <w:r w:rsidRPr="00D712DE">
              <w:rPr>
                <w:sz w:val="20"/>
                <w:szCs w:val="20"/>
                <w:lang w:val="en-GB"/>
              </w:rPr>
              <w:t>0.</w:t>
            </w:r>
            <w:r w:rsidR="002706D5">
              <w:rPr>
                <w:sz w:val="20"/>
                <w:szCs w:val="20"/>
                <w:lang w:val="en-GB"/>
              </w:rPr>
              <w:t>8</w:t>
            </w:r>
          </w:p>
        </w:tc>
        <w:tc>
          <w:tcPr>
            <w:tcW w:w="992" w:type="dxa"/>
            <w:tcBorders>
              <w:top w:val="nil"/>
              <w:left w:val="nil"/>
              <w:bottom w:val="single" w:sz="4" w:space="0" w:color="auto"/>
            </w:tcBorders>
          </w:tcPr>
          <w:p w14:paraId="3E8F5476" w14:textId="6078C0EC" w:rsidR="00FA2079" w:rsidRPr="002706D5"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{"citationID":"W6uPwpRM","properties":{"formattedCitation":"\\super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326A44D4" w14:textId="77777777" w:rsidTr="002F194E">
        <w:tc>
          <w:tcPr>
            <w:tcW w:w="2269" w:type="dxa"/>
            <w:tcBorders>
              <w:top w:val="nil"/>
              <w:bottom w:val="nil"/>
              <w:right w:val="nil"/>
            </w:tcBorders>
          </w:tcPr>
          <w:p w14:paraId="33454E11" w14:textId="77777777" w:rsidR="00FA2079" w:rsidRPr="00D712DE" w:rsidRDefault="00FA2079" w:rsidP="004C6016">
            <w:pPr>
              <w:rPr>
                <w:i/>
                <w:sz w:val="20"/>
                <w:szCs w:val="20"/>
                <w:lang w:val="en-GB"/>
              </w:rPr>
            </w:pPr>
          </w:p>
        </w:tc>
        <w:tc>
          <w:tcPr>
            <w:tcW w:w="3402" w:type="dxa"/>
            <w:tcBorders>
              <w:left w:val="nil"/>
              <w:bottom w:val="nil"/>
              <w:right w:val="nil"/>
            </w:tcBorders>
          </w:tcPr>
          <w:p w14:paraId="04D0B13B" w14:textId="0F9BDDDB" w:rsidR="00FA2079" w:rsidRPr="00D712DE"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552BC9BF" w14:textId="6A362397" w:rsidR="00FA2079" w:rsidRDefault="00FA2079" w:rsidP="004C6016">
            <w:pPr>
              <w:tabs>
                <w:tab w:val="decimal" w:pos="1310"/>
              </w:tabs>
              <w:rPr>
                <w:sz w:val="20"/>
                <w:szCs w:val="20"/>
                <w:lang w:val="en-GB"/>
              </w:rPr>
            </w:pPr>
            <w:r>
              <w:rPr>
                <w:sz w:val="20"/>
                <w:szCs w:val="20"/>
                <w:lang w:val="en-GB"/>
              </w:rPr>
              <w:t>0</w:t>
            </w:r>
          </w:p>
        </w:tc>
        <w:tc>
          <w:tcPr>
            <w:tcW w:w="1417" w:type="dxa"/>
            <w:tcBorders>
              <w:left w:val="nil"/>
              <w:bottom w:val="nil"/>
              <w:right w:val="nil"/>
            </w:tcBorders>
          </w:tcPr>
          <w:p w14:paraId="0BE78FC3" w14:textId="4F25CA8B" w:rsidR="00FA2079" w:rsidRPr="00D712DE" w:rsidRDefault="00FA2079" w:rsidP="004C6016">
            <w:pPr>
              <w:tabs>
                <w:tab w:val="decimal" w:pos="1451"/>
              </w:tabs>
              <w:rPr>
                <w:sz w:val="20"/>
                <w:szCs w:val="20"/>
                <w:lang w:val="en-GB"/>
              </w:rPr>
            </w:pPr>
            <w:r w:rsidRPr="00D712DE">
              <w:rPr>
                <w:sz w:val="20"/>
                <w:szCs w:val="20"/>
                <w:lang w:val="en-GB"/>
              </w:rPr>
              <w:t>0.</w:t>
            </w:r>
            <w:r w:rsidR="002706D5">
              <w:rPr>
                <w:sz w:val="20"/>
                <w:szCs w:val="20"/>
                <w:lang w:val="en-GB"/>
              </w:rPr>
              <w:t>26</w:t>
            </w:r>
          </w:p>
        </w:tc>
        <w:tc>
          <w:tcPr>
            <w:tcW w:w="992" w:type="dxa"/>
            <w:tcBorders>
              <w:left w:val="nil"/>
              <w:bottom w:val="nil"/>
            </w:tcBorders>
          </w:tcPr>
          <w:p w14:paraId="4D82EA7B" w14:textId="4B1C706B" w:rsidR="00FA2079" w:rsidRPr="00D712DE"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{"citationID":"haHZ1q11","properties":{"formattedCitation":"\\super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5BFDF903" w14:textId="77777777" w:rsidTr="002F194E">
        <w:tc>
          <w:tcPr>
            <w:tcW w:w="2269" w:type="dxa"/>
            <w:tcBorders>
              <w:top w:val="nil"/>
              <w:bottom w:val="nil"/>
              <w:right w:val="nil"/>
            </w:tcBorders>
          </w:tcPr>
          <w:p w14:paraId="2358BA4F"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1DF022FF" w14:textId="71079626" w:rsidR="00FA2079" w:rsidRPr="00D712DE"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207B5041" w14:textId="554AA154" w:rsidR="00FA2079" w:rsidRDefault="00FA2079" w:rsidP="004C6016">
            <w:pPr>
              <w:tabs>
                <w:tab w:val="decimal" w:pos="1310"/>
              </w:tabs>
              <w:rPr>
                <w:sz w:val="20"/>
                <w:szCs w:val="20"/>
                <w:lang w:val="en-GB"/>
              </w:rPr>
            </w:pPr>
            <w:r>
              <w:rPr>
                <w:sz w:val="20"/>
                <w:szCs w:val="20"/>
                <w:lang w:val="en-GB"/>
              </w:rPr>
              <w:t>9.76</w:t>
            </w:r>
          </w:p>
        </w:tc>
        <w:tc>
          <w:tcPr>
            <w:tcW w:w="1417" w:type="dxa"/>
            <w:tcBorders>
              <w:top w:val="nil"/>
              <w:left w:val="nil"/>
              <w:bottom w:val="nil"/>
              <w:right w:val="nil"/>
            </w:tcBorders>
          </w:tcPr>
          <w:p w14:paraId="35C28942" w14:textId="1919329B" w:rsidR="00FA2079" w:rsidRPr="00D712DE" w:rsidRDefault="00FA2079" w:rsidP="004C6016">
            <w:pPr>
              <w:tabs>
                <w:tab w:val="decimal" w:pos="1451"/>
              </w:tabs>
              <w:rPr>
                <w:sz w:val="20"/>
                <w:szCs w:val="20"/>
                <w:lang w:val="en-GB"/>
              </w:rPr>
            </w:pPr>
            <w:r w:rsidRPr="00D712DE">
              <w:rPr>
                <w:sz w:val="20"/>
                <w:szCs w:val="20"/>
                <w:lang w:val="en-GB"/>
              </w:rPr>
              <w:t>1</w:t>
            </w:r>
            <w:r w:rsidR="002706D5">
              <w:rPr>
                <w:sz w:val="20"/>
                <w:szCs w:val="20"/>
                <w:lang w:val="en-GB"/>
              </w:rPr>
              <w:t>0</w:t>
            </w:r>
          </w:p>
        </w:tc>
        <w:tc>
          <w:tcPr>
            <w:tcW w:w="992" w:type="dxa"/>
            <w:tcBorders>
              <w:top w:val="nil"/>
              <w:left w:val="nil"/>
              <w:bottom w:val="nil"/>
            </w:tcBorders>
          </w:tcPr>
          <w:p w14:paraId="031872EF" w14:textId="1761BC4A" w:rsidR="00FA2079" w:rsidRPr="00D712DE"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{"citationID":"8Zo9aPSi","properties":{"formattedCitation":"\\super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FA2079" w:rsidRPr="00D712DE" w14:paraId="7400A6E1" w14:textId="77777777" w:rsidTr="002F194E">
        <w:tc>
          <w:tcPr>
            <w:tcW w:w="2269" w:type="dxa"/>
            <w:tcBorders>
              <w:top w:val="nil"/>
              <w:bottom w:val="single" w:sz="4" w:space="0" w:color="auto"/>
              <w:right w:val="nil"/>
            </w:tcBorders>
          </w:tcPr>
          <w:p w14:paraId="7FC4E485"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3F7FCE22" w14:textId="77B1E898" w:rsidR="00FA2079" w:rsidRPr="00D712DE" w:rsidRDefault="00FA2079" w:rsidP="004C6016">
            <w:pPr>
              <w:rPr>
                <w:sz w:val="20"/>
                <w:szCs w:val="20"/>
                <w:lang w:val="en-GB"/>
              </w:rPr>
            </w:pPr>
            <w:r w:rsidRPr="00D712DE">
              <w:rPr>
                <w:sz w:val="20"/>
                <w:szCs w:val="20"/>
                <w:lang w:val="en-GB"/>
              </w:rPr>
              <w:t>N</w:t>
            </w:r>
            <w:r>
              <w:rPr>
                <w:sz w:val="20"/>
                <w:szCs w:val="20"/>
                <w:lang w:val="en-GB"/>
              </w:rPr>
              <w:t>ormal Metaboliser</w:t>
            </w:r>
          </w:p>
        </w:tc>
        <w:tc>
          <w:tcPr>
            <w:tcW w:w="1701" w:type="dxa"/>
            <w:tcBorders>
              <w:top w:val="nil"/>
              <w:left w:val="nil"/>
              <w:bottom w:val="single" w:sz="4" w:space="0" w:color="auto"/>
              <w:right w:val="nil"/>
            </w:tcBorders>
          </w:tcPr>
          <w:p w14:paraId="2513C618" w14:textId="3C9E8ADC" w:rsidR="00FA2079" w:rsidRDefault="00FA2079" w:rsidP="004C6016">
            <w:pPr>
              <w:tabs>
                <w:tab w:val="decimal" w:pos="1310"/>
              </w:tabs>
              <w:rPr>
                <w:sz w:val="20"/>
                <w:szCs w:val="20"/>
                <w:lang w:val="en-GB"/>
              </w:rPr>
            </w:pPr>
            <w:r>
              <w:rPr>
                <w:sz w:val="20"/>
                <w:szCs w:val="20"/>
                <w:lang w:val="en-GB"/>
              </w:rPr>
              <w:t>90.24</w:t>
            </w:r>
          </w:p>
        </w:tc>
        <w:tc>
          <w:tcPr>
            <w:tcW w:w="1417" w:type="dxa"/>
            <w:tcBorders>
              <w:top w:val="nil"/>
              <w:left w:val="nil"/>
              <w:bottom w:val="single" w:sz="4" w:space="0" w:color="auto"/>
              <w:right w:val="nil"/>
            </w:tcBorders>
          </w:tcPr>
          <w:p w14:paraId="02A35519" w14:textId="27C8AA14" w:rsidR="00FA2079" w:rsidRPr="00D712DE" w:rsidRDefault="002706D5" w:rsidP="004C6016">
            <w:pPr>
              <w:tabs>
                <w:tab w:val="decimal" w:pos="1451"/>
              </w:tabs>
              <w:rPr>
                <w:sz w:val="20"/>
                <w:szCs w:val="20"/>
                <w:lang w:val="en-GB"/>
              </w:rPr>
            </w:pPr>
            <w:r>
              <w:rPr>
                <w:sz w:val="20"/>
                <w:szCs w:val="20"/>
                <w:lang w:val="en-GB"/>
              </w:rPr>
              <w:t>90</w:t>
            </w:r>
          </w:p>
        </w:tc>
        <w:tc>
          <w:tcPr>
            <w:tcW w:w="992" w:type="dxa"/>
            <w:tcBorders>
              <w:top w:val="nil"/>
              <w:left w:val="nil"/>
              <w:bottom w:val="single" w:sz="4" w:space="0" w:color="auto"/>
            </w:tcBorders>
          </w:tcPr>
          <w:p w14:paraId="4F045368" w14:textId="2BD38E7B" w:rsidR="00FA2079" w:rsidRPr="00D712DE" w:rsidRDefault="002706D5" w:rsidP="002F194E">
            <w:pPr>
              <w:jc w:val="center"/>
              <w:rPr>
                <w:sz w:val="20"/>
                <w:szCs w:val="20"/>
                <w:lang w:val="en-GB"/>
              </w:rPr>
            </w:pPr>
            <w:r w:rsidRPr="002706D5">
              <w:rPr>
                <w:sz w:val="20"/>
                <w:szCs w:val="20"/>
                <w:lang w:val="en-GB"/>
              </w:rPr>
              <w:fldChar w:fldCharType="begin"/>
            </w:r>
            <w:r w:rsidR="00C97933">
              <w:rPr>
                <w:sz w:val="20"/>
                <w:szCs w:val="20"/>
                <w:lang w:val="en-GB"/>
              </w:rPr>
              <w:instrText xml:space="preserve"> ADDIN ZOTERO_ITEM CSL_CITATION {"citationID":"44woi9nD","properties":{"formattedCitation":"\\super 20\\nosupersub{}","plainCitation":"20","noteIndex":0},"citationItems":[{"id":128,"uris":["http://zotero.org/users/local/tKhEs3aL/items/TIAMDDSD"],"uri":["http://zotero.org/users/local/tKhEs3aL/items/TIAMDDSD"],"itemData":{"id":128,"type":"article","language":"Dutch","title":"Algemene achtergrondtekst Farmacogenetica - Thiopurine-S-methyltransferase (TPMT)","title-short":"Achtergrondtekst TPMP","author":[{"family":"Koninklijke Nederlandse Maatschappij ter bevordering der Pharmacie","given":""}],"issued":{"date-parts":[["2019",10,8]]}}}],"schema":"https://github.com/citation-style-language/schema/raw/master/csl-citation.json"} </w:instrText>
            </w:r>
            <w:r w:rsidRPr="002706D5">
              <w:rPr>
                <w:sz w:val="20"/>
                <w:szCs w:val="20"/>
                <w:lang w:val="en-GB"/>
              </w:rPr>
              <w:fldChar w:fldCharType="separate"/>
            </w:r>
            <w:r w:rsidR="00C97933" w:rsidRPr="00C97933">
              <w:rPr>
                <w:rFonts w:ascii="Calibri" w:cs="Times New Roman"/>
                <w:sz w:val="20"/>
                <w:vertAlign w:val="superscript"/>
              </w:rPr>
              <w:t>20</w:t>
            </w:r>
            <w:r w:rsidRPr="002706D5">
              <w:rPr>
                <w:sz w:val="20"/>
                <w:szCs w:val="20"/>
                <w:lang w:val="en-GB"/>
              </w:rPr>
              <w:fldChar w:fldCharType="end"/>
            </w:r>
          </w:p>
        </w:tc>
      </w:tr>
      <w:tr w:rsidR="00045285" w:rsidRPr="00D712DE" w14:paraId="77A4FF89" w14:textId="77777777" w:rsidTr="002F194E">
        <w:tc>
          <w:tcPr>
            <w:tcW w:w="2269" w:type="dxa"/>
            <w:tcBorders>
              <w:bottom w:val="nil"/>
              <w:right w:val="nil"/>
            </w:tcBorders>
          </w:tcPr>
          <w:p w14:paraId="39618F15" w14:textId="2BE99F7A" w:rsidR="00FA2079" w:rsidRPr="00194E48" w:rsidRDefault="00FA2079" w:rsidP="004C6016">
            <w:pPr>
              <w:rPr>
                <w:b/>
                <w:i/>
                <w:sz w:val="20"/>
                <w:szCs w:val="20"/>
                <w:lang w:val="en-GB"/>
              </w:rPr>
            </w:pPr>
            <w:r w:rsidRPr="00194E48">
              <w:rPr>
                <w:b/>
                <w:i/>
                <w:sz w:val="20"/>
                <w:szCs w:val="20"/>
                <w:lang w:val="en-GB"/>
              </w:rPr>
              <w:t>UGT1A1</w:t>
            </w:r>
          </w:p>
        </w:tc>
        <w:tc>
          <w:tcPr>
            <w:tcW w:w="3402" w:type="dxa"/>
            <w:tcBorders>
              <w:left w:val="nil"/>
              <w:bottom w:val="nil"/>
              <w:right w:val="nil"/>
            </w:tcBorders>
          </w:tcPr>
          <w:p w14:paraId="6EBADB50" w14:textId="13C6454E" w:rsidR="00FA2079" w:rsidRPr="00D712DE" w:rsidRDefault="00FA2079" w:rsidP="004C6016">
            <w:pPr>
              <w:rPr>
                <w:sz w:val="20"/>
                <w:szCs w:val="20"/>
                <w:lang w:val="en-GB"/>
              </w:rPr>
            </w:pPr>
            <w:r w:rsidRPr="00D712DE">
              <w:rPr>
                <w:sz w:val="20"/>
                <w:szCs w:val="20"/>
                <w:lang w:val="en-GB"/>
              </w:rPr>
              <w:t>*1</w:t>
            </w:r>
          </w:p>
        </w:tc>
        <w:tc>
          <w:tcPr>
            <w:tcW w:w="1701" w:type="dxa"/>
            <w:tcBorders>
              <w:left w:val="nil"/>
              <w:bottom w:val="nil"/>
              <w:right w:val="nil"/>
            </w:tcBorders>
          </w:tcPr>
          <w:p w14:paraId="117C7F3B" w14:textId="09826B52" w:rsidR="00FA2079" w:rsidRPr="00D712DE" w:rsidRDefault="00FA2079" w:rsidP="004C6016">
            <w:pPr>
              <w:tabs>
                <w:tab w:val="decimal" w:pos="1310"/>
              </w:tabs>
              <w:rPr>
                <w:sz w:val="20"/>
                <w:szCs w:val="20"/>
                <w:lang w:val="en-GB"/>
              </w:rPr>
            </w:pPr>
            <w:r>
              <w:rPr>
                <w:sz w:val="20"/>
                <w:szCs w:val="20"/>
                <w:lang w:val="en-GB"/>
              </w:rPr>
              <w:t>67.08</w:t>
            </w:r>
          </w:p>
        </w:tc>
        <w:tc>
          <w:tcPr>
            <w:tcW w:w="1417" w:type="dxa"/>
            <w:tcBorders>
              <w:left w:val="nil"/>
              <w:bottom w:val="nil"/>
              <w:right w:val="nil"/>
            </w:tcBorders>
          </w:tcPr>
          <w:p w14:paraId="7029B4F3" w14:textId="4B11D6B8" w:rsidR="00FA2079" w:rsidRPr="00D712DE" w:rsidRDefault="00B95044" w:rsidP="004C6016">
            <w:pPr>
              <w:tabs>
                <w:tab w:val="decimal" w:pos="1451"/>
              </w:tabs>
              <w:rPr>
                <w:sz w:val="20"/>
                <w:szCs w:val="20"/>
                <w:lang w:val="en-GB"/>
              </w:rPr>
            </w:pPr>
            <w:r>
              <w:rPr>
                <w:sz w:val="20"/>
                <w:szCs w:val="20"/>
                <w:lang w:val="en-GB"/>
              </w:rPr>
              <w:t>61.3</w:t>
            </w:r>
          </w:p>
        </w:tc>
        <w:tc>
          <w:tcPr>
            <w:tcW w:w="992" w:type="dxa"/>
            <w:tcBorders>
              <w:left w:val="nil"/>
              <w:bottom w:val="nil"/>
            </w:tcBorders>
          </w:tcPr>
          <w:p w14:paraId="0B0FC92A" w14:textId="4EF85201"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{"citationID":"t4CyIi8y","properties":{"formattedCitation":"\\super 21\\nosupersub{}","plainCitation":"21","noteIndex":0},"citationItems":[{"id":143,"uris":["http://zotero.org/users/local/tKhEs3aL/items/U37T7KU3"],"uri":["http://zotero.org/users/local/tKhEs3aL/items/U37T7KU3"],"itemData":{"id":143,"type":"article-journal","container-title":"Proceedings of the National Academy of Sciences","DOI":"10.1073/pnas.95.14.8170","ISSN":"0027-8424, 1091-6490","issue":"14","journalAbbreviation":"Proceedings of the National Academy of Sciences","language":"en","page":"8170-8174","source":"DOI.org (Crossref)","title":"Racial variability in the UDP-glucuronosyltransferase 1 (UGT1A1) promoter: A balanced polymorphism for regulation of bilirubin metabolism?","title-short":"Racial variability in the UDP-glucuronosyltransferase 1 (UGT1A1) promoter","volume":"95","author":[{"family":"Beutler","given":"E."},{"family":"Gelbart","given":"T."},{"family":"Demina","given":"A."}],"issued":{"date-parts":[["1998",7,7]]}}}],"schema":"https://github.com/citation-style-language/schema/raw/master/csl-citation.json"}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21</w:t>
            </w:r>
            <w:r>
              <w:rPr>
                <w:sz w:val="20"/>
                <w:szCs w:val="20"/>
                <w:lang w:val="en-GB"/>
              </w:rPr>
              <w:fldChar w:fldCharType="end"/>
            </w:r>
          </w:p>
        </w:tc>
      </w:tr>
      <w:tr w:rsidR="00045285" w:rsidRPr="00D712DE" w14:paraId="5575EF2F" w14:textId="77777777" w:rsidTr="002F194E">
        <w:tc>
          <w:tcPr>
            <w:tcW w:w="2269" w:type="dxa"/>
            <w:tcBorders>
              <w:top w:val="nil"/>
              <w:bottom w:val="nil"/>
              <w:right w:val="nil"/>
            </w:tcBorders>
          </w:tcPr>
          <w:p w14:paraId="30DF9E72" w14:textId="39A2DC27" w:rsidR="00FA2079" w:rsidRPr="00194E48" w:rsidRDefault="00FA2079" w:rsidP="004C6016">
            <w:pPr>
              <w:rPr>
                <w:sz w:val="20"/>
                <w:szCs w:val="20"/>
                <w:lang w:val="en-GB"/>
              </w:rPr>
            </w:pPr>
            <w:r>
              <w:rPr>
                <w:sz w:val="20"/>
                <w:szCs w:val="20"/>
                <w:lang w:val="en-GB"/>
              </w:rPr>
              <w:t>(n = 161)</w:t>
            </w:r>
          </w:p>
        </w:tc>
        <w:tc>
          <w:tcPr>
            <w:tcW w:w="3402" w:type="dxa"/>
            <w:tcBorders>
              <w:top w:val="nil"/>
              <w:left w:val="nil"/>
              <w:bottom w:val="nil"/>
              <w:right w:val="nil"/>
            </w:tcBorders>
          </w:tcPr>
          <w:p w14:paraId="0DCE527C" w14:textId="3F59AEE2" w:rsidR="00FA2079" w:rsidRPr="00D712DE" w:rsidRDefault="00FA2079" w:rsidP="004C6016">
            <w:pPr>
              <w:rPr>
                <w:sz w:val="20"/>
                <w:szCs w:val="20"/>
                <w:lang w:val="en-GB"/>
              </w:rPr>
            </w:pPr>
            <w:r w:rsidRPr="00D712DE">
              <w:rPr>
                <w:sz w:val="20"/>
                <w:szCs w:val="20"/>
                <w:lang w:val="en-GB"/>
              </w:rPr>
              <w:t>*28</w:t>
            </w:r>
          </w:p>
        </w:tc>
        <w:tc>
          <w:tcPr>
            <w:tcW w:w="1701" w:type="dxa"/>
            <w:tcBorders>
              <w:top w:val="nil"/>
              <w:left w:val="nil"/>
              <w:bottom w:val="nil"/>
              <w:right w:val="nil"/>
            </w:tcBorders>
          </w:tcPr>
          <w:p w14:paraId="3F3F1512" w14:textId="3D7735E0" w:rsidR="00FA2079" w:rsidRPr="00D712DE" w:rsidRDefault="00FA2079" w:rsidP="004C6016">
            <w:pPr>
              <w:tabs>
                <w:tab w:val="decimal" w:pos="1310"/>
              </w:tabs>
              <w:rPr>
                <w:sz w:val="20"/>
                <w:szCs w:val="20"/>
                <w:lang w:val="en-GB"/>
              </w:rPr>
            </w:pPr>
            <w:r>
              <w:rPr>
                <w:sz w:val="20"/>
                <w:szCs w:val="20"/>
                <w:lang w:val="en-GB"/>
              </w:rPr>
              <w:t>32.30</w:t>
            </w:r>
          </w:p>
        </w:tc>
        <w:tc>
          <w:tcPr>
            <w:tcW w:w="1417" w:type="dxa"/>
            <w:tcBorders>
              <w:top w:val="nil"/>
              <w:left w:val="nil"/>
              <w:bottom w:val="nil"/>
              <w:right w:val="nil"/>
            </w:tcBorders>
          </w:tcPr>
          <w:p w14:paraId="72182BF4" w14:textId="050897B8" w:rsidR="00FA2079" w:rsidRPr="00B95044" w:rsidRDefault="00B95044" w:rsidP="004C6016">
            <w:pPr>
              <w:tabs>
                <w:tab w:val="decimal" w:pos="1451"/>
              </w:tabs>
              <w:rPr>
                <w:sz w:val="20"/>
                <w:szCs w:val="20"/>
                <w:lang w:val="en-GB"/>
              </w:rPr>
            </w:pPr>
            <w:r>
              <w:rPr>
                <w:sz w:val="20"/>
                <w:szCs w:val="20"/>
                <w:lang w:val="en-GB"/>
              </w:rPr>
              <w:t>38.7</w:t>
            </w:r>
          </w:p>
        </w:tc>
        <w:tc>
          <w:tcPr>
            <w:tcW w:w="992" w:type="dxa"/>
            <w:tcBorders>
              <w:top w:val="nil"/>
              <w:left w:val="nil"/>
              <w:bottom w:val="nil"/>
            </w:tcBorders>
          </w:tcPr>
          <w:p w14:paraId="245B165F" w14:textId="43BE2550"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{"citationID":"bVCpMuhJ","properties":{"formattedCitation":"\\super 21\\nosupersub{}","plainCitation":"21","noteIndex":0},"citationItems":[{"id":143,"uris":["http://zotero.org/users/local/tKhEs3aL/items/U37T7KU3"],"uri":["http://zotero.org/users/local/tKhEs3aL/items/U37T7KU3"],"itemData":{"id":143,"type":"article-journal","container-title":"Proceedings of the National Academy of Sciences","DOI":"10.1073/pnas.95.14.8170","ISSN":"0027-8424, 1091-6490","issue":"14","journalAbbreviation":"Proceedings of the National Academy of Sciences","language":"en","page":"8170-8174","source":"DOI.org (Crossref)","title":"Racial variability in the UDP-glucuronosyltransferase 1 (UGT1A1) promoter: A balanced polymorphism for regulation of bilirubin metabolism?","title-short":"Racial variability in the UDP-glucuronosyltransferase 1 (UGT1A1) promoter","volume":"95","author":[{"family":"Beutler","given":"E."},{"family":"Gelbart","given":"T."},{"family":"Demina","given":"A."}],"issued":{"date-parts":[["1998",7,7]]}}}],"schema":"https://github.com/citation-style-language/schema/raw/master/csl-citation.json"}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21</w:t>
            </w:r>
            <w:r>
              <w:rPr>
                <w:sz w:val="20"/>
                <w:szCs w:val="20"/>
                <w:lang w:val="en-GB"/>
              </w:rPr>
              <w:fldChar w:fldCharType="end"/>
            </w:r>
          </w:p>
        </w:tc>
      </w:tr>
      <w:tr w:rsidR="00045285" w:rsidRPr="00D712DE" w14:paraId="58FCF8AE" w14:textId="77777777" w:rsidTr="002F194E">
        <w:tc>
          <w:tcPr>
            <w:tcW w:w="2269" w:type="dxa"/>
            <w:tcBorders>
              <w:top w:val="nil"/>
              <w:bottom w:val="nil"/>
              <w:right w:val="nil"/>
            </w:tcBorders>
          </w:tcPr>
          <w:p w14:paraId="51578FF6" w14:textId="3F8D16F5" w:rsidR="00FA2079" w:rsidRPr="00D712DE" w:rsidRDefault="00FA2079" w:rsidP="004C6016">
            <w:pPr>
              <w:rPr>
                <w:i/>
                <w:sz w:val="20"/>
                <w:szCs w:val="20"/>
                <w:lang w:val="en-GB"/>
              </w:rPr>
            </w:pPr>
          </w:p>
        </w:tc>
        <w:tc>
          <w:tcPr>
            <w:tcW w:w="3402" w:type="dxa"/>
            <w:tcBorders>
              <w:top w:val="nil"/>
              <w:left w:val="nil"/>
              <w:bottom w:val="nil"/>
              <w:right w:val="nil"/>
            </w:tcBorders>
          </w:tcPr>
          <w:p w14:paraId="273AADCE" w14:textId="2D6D0263" w:rsidR="00FA2079" w:rsidRPr="00D712DE" w:rsidRDefault="00FA2079" w:rsidP="004C6016">
            <w:pPr>
              <w:rPr>
                <w:sz w:val="20"/>
                <w:szCs w:val="20"/>
                <w:lang w:val="en-GB"/>
              </w:rPr>
            </w:pPr>
            <w:r w:rsidRPr="00D712DE">
              <w:rPr>
                <w:sz w:val="20"/>
                <w:szCs w:val="20"/>
                <w:lang w:val="en-GB"/>
              </w:rPr>
              <w:t>*36</w:t>
            </w:r>
          </w:p>
        </w:tc>
        <w:tc>
          <w:tcPr>
            <w:tcW w:w="1701" w:type="dxa"/>
            <w:tcBorders>
              <w:top w:val="nil"/>
              <w:left w:val="nil"/>
              <w:bottom w:val="nil"/>
              <w:right w:val="nil"/>
            </w:tcBorders>
          </w:tcPr>
          <w:p w14:paraId="112A7EB9" w14:textId="2FCF7D2B" w:rsidR="00FA2079" w:rsidRPr="00D712DE" w:rsidRDefault="00FA2079" w:rsidP="004C6016">
            <w:pPr>
              <w:tabs>
                <w:tab w:val="decimal" w:pos="1310"/>
              </w:tabs>
              <w:rPr>
                <w:sz w:val="20"/>
                <w:szCs w:val="20"/>
                <w:lang w:val="en-GB"/>
              </w:rPr>
            </w:pPr>
            <w:r>
              <w:rPr>
                <w:sz w:val="20"/>
                <w:szCs w:val="20"/>
                <w:lang w:val="en-GB"/>
              </w:rPr>
              <w:t>0.62</w:t>
            </w:r>
          </w:p>
        </w:tc>
        <w:tc>
          <w:tcPr>
            <w:tcW w:w="1417" w:type="dxa"/>
            <w:tcBorders>
              <w:top w:val="nil"/>
              <w:left w:val="nil"/>
              <w:bottom w:val="nil"/>
              <w:right w:val="nil"/>
            </w:tcBorders>
          </w:tcPr>
          <w:p w14:paraId="264C2C3E" w14:textId="35B11854" w:rsidR="00FA2079" w:rsidRPr="00D712DE" w:rsidRDefault="00B95044" w:rsidP="004C6016">
            <w:pPr>
              <w:tabs>
                <w:tab w:val="decimal" w:pos="1451"/>
              </w:tabs>
              <w:rPr>
                <w:sz w:val="20"/>
                <w:szCs w:val="20"/>
                <w:lang w:val="en-GB"/>
              </w:rPr>
            </w:pPr>
            <w:r>
              <w:rPr>
                <w:sz w:val="20"/>
                <w:szCs w:val="20"/>
                <w:lang w:val="en-GB"/>
              </w:rPr>
              <w:t>0</w:t>
            </w:r>
          </w:p>
        </w:tc>
        <w:tc>
          <w:tcPr>
            <w:tcW w:w="992" w:type="dxa"/>
            <w:tcBorders>
              <w:top w:val="nil"/>
              <w:left w:val="nil"/>
              <w:bottom w:val="nil"/>
            </w:tcBorders>
          </w:tcPr>
          <w:p w14:paraId="534A005E" w14:textId="20DD5F3F"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{"citationID":"QiD1OOdT","properties":{"formattedCitation":"\\super 21\\nosupersub{}","plainCitation":"21","noteIndex":0},"citationItems":[{"id":143,"uris":["http://zotero.org/users/local/tKhEs3aL/items/U37T7KU3"],"uri":["http://zotero.org/users/local/tKhEs3aL/items/U37T7KU3"],"itemData":{"id":143,"type":"article-journal","container-title":"Proceedings of the National Academy of Sciences","DOI":"10.1073/pnas.95.14.8170","ISSN":"0027-8424, 1091-6490","issue":"14","journalAbbreviation":"Proceedings of the National Academy of Sciences","language":"en","page":"8170-8174","source":"DOI.org (Crossref)","title":"Racial variability in the UDP-glucuronosyltransferase 1 (UGT1A1) promoter: A balanced polymorphism for regulation of bilirubin metabolism?","title-short":"Racial variability in the UDP-glucuronosyltransferase 1 (UGT1A1) promoter","volume":"95","author":[{"family":"Beutler","given":"E."},{"family":"Gelbart","given":"T."},{"family":"Demina","given":"A."}],"issued":{"date-parts":[["1998",7,7]]}}}],"schema":"https://github.com/citation-style-language/schema/raw/master/csl-citation.json"}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21</w:t>
            </w:r>
            <w:r>
              <w:rPr>
                <w:sz w:val="20"/>
                <w:szCs w:val="20"/>
                <w:lang w:val="en-GB"/>
              </w:rPr>
              <w:fldChar w:fldCharType="end"/>
            </w:r>
          </w:p>
        </w:tc>
      </w:tr>
      <w:tr w:rsidR="00FA2079" w:rsidRPr="00D712DE" w14:paraId="571EF980" w14:textId="77777777" w:rsidTr="002F194E">
        <w:tc>
          <w:tcPr>
            <w:tcW w:w="2269" w:type="dxa"/>
            <w:tcBorders>
              <w:top w:val="nil"/>
              <w:bottom w:val="nil"/>
              <w:right w:val="nil"/>
            </w:tcBorders>
          </w:tcPr>
          <w:p w14:paraId="78987C40" w14:textId="4077A8A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0CE38DF4" w14:textId="0D3F0DFA" w:rsidR="00FA2079" w:rsidRPr="00D712DE" w:rsidRDefault="00FA2079" w:rsidP="004C6016">
            <w:pPr>
              <w:rPr>
                <w:sz w:val="20"/>
                <w:szCs w:val="20"/>
                <w:lang w:val="en-GB"/>
              </w:rPr>
            </w:pPr>
            <w:r>
              <w:rPr>
                <w:sz w:val="20"/>
                <w:szCs w:val="20"/>
                <w:lang w:val="en-GB"/>
              </w:rPr>
              <w:t>*37</w:t>
            </w:r>
          </w:p>
        </w:tc>
        <w:tc>
          <w:tcPr>
            <w:tcW w:w="1701" w:type="dxa"/>
            <w:tcBorders>
              <w:top w:val="nil"/>
              <w:left w:val="nil"/>
              <w:bottom w:val="single" w:sz="4" w:space="0" w:color="auto"/>
              <w:right w:val="nil"/>
            </w:tcBorders>
          </w:tcPr>
          <w:p w14:paraId="10C96FEF" w14:textId="4707ECD0" w:rsidR="00FA2079" w:rsidRDefault="00FA2079" w:rsidP="004C6016">
            <w:pPr>
              <w:tabs>
                <w:tab w:val="decimal" w:pos="1310"/>
              </w:tabs>
              <w:rPr>
                <w:sz w:val="20"/>
                <w:szCs w:val="20"/>
                <w:lang w:val="en-GB"/>
              </w:rPr>
            </w:pPr>
            <w:r>
              <w:rPr>
                <w:sz w:val="20"/>
                <w:szCs w:val="20"/>
                <w:lang w:val="en-GB"/>
              </w:rPr>
              <w:t>0</w:t>
            </w:r>
          </w:p>
        </w:tc>
        <w:tc>
          <w:tcPr>
            <w:tcW w:w="1417" w:type="dxa"/>
            <w:tcBorders>
              <w:top w:val="nil"/>
              <w:left w:val="nil"/>
              <w:bottom w:val="single" w:sz="4" w:space="0" w:color="auto"/>
              <w:right w:val="nil"/>
            </w:tcBorders>
          </w:tcPr>
          <w:p w14:paraId="1AD7D056" w14:textId="65FF27FA" w:rsidR="00FA2079" w:rsidRPr="00D712DE" w:rsidRDefault="00B95044" w:rsidP="004C6016">
            <w:pPr>
              <w:tabs>
                <w:tab w:val="decimal" w:pos="1451"/>
              </w:tabs>
              <w:rPr>
                <w:sz w:val="20"/>
                <w:szCs w:val="20"/>
                <w:lang w:val="en-GB"/>
              </w:rPr>
            </w:pPr>
            <w:r>
              <w:rPr>
                <w:sz w:val="20"/>
                <w:szCs w:val="20"/>
                <w:lang w:val="en-GB"/>
              </w:rPr>
              <w:t>0</w:t>
            </w:r>
          </w:p>
        </w:tc>
        <w:tc>
          <w:tcPr>
            <w:tcW w:w="992" w:type="dxa"/>
            <w:tcBorders>
              <w:top w:val="nil"/>
              <w:left w:val="nil"/>
              <w:bottom w:val="single" w:sz="4" w:space="0" w:color="auto"/>
            </w:tcBorders>
          </w:tcPr>
          <w:p w14:paraId="646022AB" w14:textId="088D73A2"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{"citationID":"H1x60Tk1","properties":{"formattedCitation":"\\super 21\\nosupersub{}","plainCitation":"21","noteIndex":0},"citationItems":[{"id":143,"uris":["http://zotero.org/users/local/tKhEs3aL/items/U37T7KU3"],"uri":["http://zotero.org/users/local/tKhEs3aL/items/U37T7KU3"],"itemData":{"id":143,"type":"article-journal","container-title":"Proceedings of the National Academy of Sciences","DOI":"10.1073/pnas.95.14.8170","ISSN":"0027-8424, 1091-6490","issue":"14","journalAbbreviation":"Proceedings of the National Academy of Sciences","language":"en","page":"8170-8174","source":"DOI.org (Crossref)","title":"Racial variability in the UDP-glucuronosyltransferase 1 (UGT1A1) promoter: A balanced polymorphism for regulation of bilirubin metabolism?","title-short":"Racial variability in the UDP-glucuronosyltransferase 1 (UGT1A1) promoter","volume":"95","author":[{"family":"Beutler","given":"E."},{"family":"Gelbart","given":"T."},{"family":"Demina","given":"A."}],"issued":{"date-parts":[["1998",7,7]]}}}],"schema":"https://github.com/citation-style-language/schema/raw/master/csl-citation.json"}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21</w:t>
            </w:r>
            <w:r>
              <w:rPr>
                <w:sz w:val="20"/>
                <w:szCs w:val="20"/>
                <w:lang w:val="en-GB"/>
              </w:rPr>
              <w:fldChar w:fldCharType="end"/>
            </w:r>
          </w:p>
        </w:tc>
      </w:tr>
      <w:tr w:rsidR="00FA2079" w:rsidRPr="00D712DE" w14:paraId="6D8BB22A" w14:textId="77777777" w:rsidTr="002F194E">
        <w:tc>
          <w:tcPr>
            <w:tcW w:w="2269" w:type="dxa"/>
            <w:tcBorders>
              <w:top w:val="nil"/>
              <w:bottom w:val="nil"/>
              <w:right w:val="nil"/>
            </w:tcBorders>
          </w:tcPr>
          <w:p w14:paraId="195AE78E" w14:textId="77777777" w:rsidR="00FA2079" w:rsidRPr="00D712DE" w:rsidRDefault="00FA2079" w:rsidP="004C6016">
            <w:pPr>
              <w:rPr>
                <w:i/>
                <w:sz w:val="20"/>
                <w:szCs w:val="20"/>
                <w:lang w:val="en-GB"/>
              </w:rPr>
            </w:pPr>
          </w:p>
        </w:tc>
        <w:tc>
          <w:tcPr>
            <w:tcW w:w="3402" w:type="dxa"/>
            <w:tcBorders>
              <w:left w:val="nil"/>
              <w:bottom w:val="nil"/>
              <w:right w:val="nil"/>
            </w:tcBorders>
          </w:tcPr>
          <w:p w14:paraId="4F71E41D" w14:textId="723CE4F2" w:rsidR="00FA2079" w:rsidRDefault="00FA2079" w:rsidP="004C6016">
            <w:pPr>
              <w:rPr>
                <w:sz w:val="20"/>
                <w:szCs w:val="20"/>
                <w:lang w:val="en-GB"/>
              </w:rPr>
            </w:pPr>
            <w:r w:rsidRPr="00D712DE">
              <w:rPr>
                <w:sz w:val="20"/>
                <w:szCs w:val="20"/>
                <w:lang w:val="en-GB"/>
              </w:rPr>
              <w:t>P</w:t>
            </w:r>
            <w:r>
              <w:rPr>
                <w:sz w:val="20"/>
                <w:szCs w:val="20"/>
                <w:lang w:val="en-GB"/>
              </w:rPr>
              <w:t xml:space="preserve">oor </w:t>
            </w:r>
            <w:r w:rsidRPr="00D712DE">
              <w:rPr>
                <w:sz w:val="20"/>
                <w:szCs w:val="20"/>
                <w:lang w:val="en-GB"/>
              </w:rPr>
              <w:t>M</w:t>
            </w:r>
            <w:r>
              <w:rPr>
                <w:sz w:val="20"/>
                <w:szCs w:val="20"/>
                <w:lang w:val="en-GB"/>
              </w:rPr>
              <w:t>etaboliser</w:t>
            </w:r>
          </w:p>
        </w:tc>
        <w:tc>
          <w:tcPr>
            <w:tcW w:w="1701" w:type="dxa"/>
            <w:tcBorders>
              <w:left w:val="nil"/>
              <w:bottom w:val="nil"/>
              <w:right w:val="nil"/>
            </w:tcBorders>
          </w:tcPr>
          <w:p w14:paraId="5F4908D8" w14:textId="516A3FDC" w:rsidR="00FA2079" w:rsidRDefault="00FA2079" w:rsidP="004C6016">
            <w:pPr>
              <w:tabs>
                <w:tab w:val="decimal" w:pos="1310"/>
              </w:tabs>
              <w:rPr>
                <w:sz w:val="20"/>
                <w:szCs w:val="20"/>
                <w:lang w:val="en-GB"/>
              </w:rPr>
            </w:pPr>
            <w:r>
              <w:rPr>
                <w:sz w:val="20"/>
                <w:szCs w:val="20"/>
                <w:lang w:val="en-GB"/>
              </w:rPr>
              <w:t>9.94</w:t>
            </w:r>
          </w:p>
        </w:tc>
        <w:tc>
          <w:tcPr>
            <w:tcW w:w="1417" w:type="dxa"/>
            <w:tcBorders>
              <w:left w:val="nil"/>
              <w:bottom w:val="nil"/>
              <w:right w:val="nil"/>
            </w:tcBorders>
          </w:tcPr>
          <w:p w14:paraId="0FE53E48" w14:textId="1E0B930B" w:rsidR="00FA2079" w:rsidRPr="00D712DE" w:rsidRDefault="00C97933" w:rsidP="004C6016">
            <w:pPr>
              <w:tabs>
                <w:tab w:val="decimal" w:pos="1451"/>
              </w:tabs>
              <w:rPr>
                <w:sz w:val="20"/>
                <w:szCs w:val="20"/>
                <w:lang w:val="en-GB"/>
              </w:rPr>
            </w:pPr>
            <w:r>
              <w:rPr>
                <w:sz w:val="20"/>
                <w:szCs w:val="20"/>
                <w:lang w:val="en-GB"/>
              </w:rPr>
              <w:t>9</w:t>
            </w:r>
          </w:p>
        </w:tc>
        <w:tc>
          <w:tcPr>
            <w:tcW w:w="992" w:type="dxa"/>
            <w:tcBorders>
              <w:left w:val="nil"/>
              <w:bottom w:val="nil"/>
            </w:tcBorders>
          </w:tcPr>
          <w:p w14:paraId="689314A3" w14:textId="093A9CAE"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{"citationID":"6T13E2AS","properties":{"formattedCitation":"\\super 22\\nosupersub{}","plainCitation":"22","noteIndex":0},"citationItems":[{"id":145,"uris":["http://zotero.org/users/local/tKhEs3aL/items/NWTVIAB3"],"uri":["http://zotero.org/users/local/tKhEs3aL/items/NWTVIAB3"],"itemData":{"id":145,"type":"article","language":"Dutch","title":"Algemene achtergrondtekst Farmacogenetica - UGT1A1","title-short":"Achtergrondtekst UGT1A1","author":[{"family":"Koninklijke Nederlandse Maatschappij ter bevordering der Pharmacie","given":""}],"accessed":{"date-parts":[["2020",9,11]]},"issued":{"date-parts":[["2014",4,16]]}}}],"schema":"https://github.com/citation-style-language/schema/raw/master/csl-citation.json"}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22</w:t>
            </w:r>
            <w:r>
              <w:rPr>
                <w:sz w:val="20"/>
                <w:szCs w:val="20"/>
                <w:lang w:val="en-GB"/>
              </w:rPr>
              <w:fldChar w:fldCharType="end"/>
            </w:r>
          </w:p>
        </w:tc>
      </w:tr>
      <w:tr w:rsidR="00FA2079" w:rsidRPr="00D712DE" w14:paraId="70EE4369" w14:textId="77777777" w:rsidTr="002F194E">
        <w:tc>
          <w:tcPr>
            <w:tcW w:w="2269" w:type="dxa"/>
            <w:tcBorders>
              <w:top w:val="nil"/>
              <w:bottom w:val="nil"/>
              <w:right w:val="nil"/>
            </w:tcBorders>
          </w:tcPr>
          <w:p w14:paraId="440A4F6B" w14:textId="77777777" w:rsidR="00FA2079" w:rsidRPr="00D712DE" w:rsidRDefault="00FA2079" w:rsidP="004C6016">
            <w:pPr>
              <w:rPr>
                <w:i/>
                <w:sz w:val="20"/>
                <w:szCs w:val="20"/>
                <w:lang w:val="en-GB"/>
              </w:rPr>
            </w:pPr>
          </w:p>
        </w:tc>
        <w:tc>
          <w:tcPr>
            <w:tcW w:w="3402" w:type="dxa"/>
            <w:tcBorders>
              <w:top w:val="nil"/>
              <w:left w:val="nil"/>
              <w:bottom w:val="nil"/>
              <w:right w:val="nil"/>
            </w:tcBorders>
          </w:tcPr>
          <w:p w14:paraId="5A95847A" w14:textId="0CE1B7DB" w:rsidR="00FA2079" w:rsidRDefault="00FA2079" w:rsidP="004C6016">
            <w:pPr>
              <w:rPr>
                <w:sz w:val="20"/>
                <w:szCs w:val="20"/>
                <w:lang w:val="en-GB"/>
              </w:rPr>
            </w:pPr>
            <w:r w:rsidRPr="00D712DE">
              <w:rPr>
                <w:sz w:val="20"/>
                <w:szCs w:val="20"/>
                <w:lang w:val="en-GB"/>
              </w:rPr>
              <w:t>I</w:t>
            </w:r>
            <w:r>
              <w:rPr>
                <w:sz w:val="20"/>
                <w:szCs w:val="20"/>
                <w:lang w:val="en-GB"/>
              </w:rPr>
              <w:t xml:space="preserve">ntermediate </w:t>
            </w:r>
            <w:r w:rsidRPr="00D712DE">
              <w:rPr>
                <w:sz w:val="20"/>
                <w:szCs w:val="20"/>
                <w:lang w:val="en-GB"/>
              </w:rPr>
              <w:t>M</w:t>
            </w:r>
            <w:r>
              <w:rPr>
                <w:sz w:val="20"/>
                <w:szCs w:val="20"/>
                <w:lang w:val="en-GB"/>
              </w:rPr>
              <w:t>etaboliser</w:t>
            </w:r>
          </w:p>
        </w:tc>
        <w:tc>
          <w:tcPr>
            <w:tcW w:w="1701" w:type="dxa"/>
            <w:tcBorders>
              <w:top w:val="nil"/>
              <w:left w:val="nil"/>
              <w:bottom w:val="nil"/>
              <w:right w:val="nil"/>
            </w:tcBorders>
          </w:tcPr>
          <w:p w14:paraId="35081689" w14:textId="26A3A46D" w:rsidR="00FA2079" w:rsidRDefault="00FA2079" w:rsidP="004C6016">
            <w:pPr>
              <w:tabs>
                <w:tab w:val="decimal" w:pos="1310"/>
              </w:tabs>
              <w:rPr>
                <w:sz w:val="20"/>
                <w:szCs w:val="20"/>
                <w:lang w:val="en-GB"/>
              </w:rPr>
            </w:pPr>
            <w:r>
              <w:rPr>
                <w:sz w:val="20"/>
                <w:szCs w:val="20"/>
                <w:lang w:val="en-GB"/>
              </w:rPr>
              <w:t>44.10</w:t>
            </w:r>
          </w:p>
        </w:tc>
        <w:tc>
          <w:tcPr>
            <w:tcW w:w="1417" w:type="dxa"/>
            <w:tcBorders>
              <w:top w:val="nil"/>
              <w:left w:val="nil"/>
              <w:bottom w:val="nil"/>
              <w:right w:val="nil"/>
            </w:tcBorders>
          </w:tcPr>
          <w:p w14:paraId="125553EC" w14:textId="7D7B7114" w:rsidR="00FA2079" w:rsidRPr="00D712DE" w:rsidRDefault="00C97933" w:rsidP="004C6016">
            <w:pPr>
              <w:tabs>
                <w:tab w:val="decimal" w:pos="1451"/>
              </w:tabs>
              <w:rPr>
                <w:sz w:val="20"/>
                <w:szCs w:val="20"/>
                <w:lang w:val="en-GB"/>
              </w:rPr>
            </w:pPr>
            <w:r>
              <w:rPr>
                <w:sz w:val="20"/>
                <w:szCs w:val="20"/>
                <w:lang w:val="en-GB"/>
              </w:rPr>
              <w:t>54</w:t>
            </w:r>
          </w:p>
        </w:tc>
        <w:tc>
          <w:tcPr>
            <w:tcW w:w="992" w:type="dxa"/>
            <w:tcBorders>
              <w:top w:val="nil"/>
              <w:left w:val="nil"/>
              <w:bottom w:val="nil"/>
            </w:tcBorders>
          </w:tcPr>
          <w:p w14:paraId="6E814984" w14:textId="393EB1B3"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{"citationID":"6T13E2AS","properties":{"formattedCitation":"\\super 22\\nosupersub{}","plainCitation":"22","noteIndex":0},"citationItems":[{"id":145,"uris":["http://zotero.org/users/local/tKhEs3aL/items/NWTVIAB3"],"uri":["http://zotero.org/users/local/tKhEs3aL/items/NWTVIAB3"],"itemData":{"id":145,"type":"article","language":"Dutch","title":"Algemene achtergrondtekst Farmacogenetica - UGT1A1","title-short":"Achtergrondtekst UGT1A1","author":[{"family":"Koninklijke Nederlandse Maatschappij ter bevordering der Pharmacie","given":""}],"accessed":{"date-parts":[["2020",9,11]]},"issued":{"date-parts":[["2014",4,16]]}}}],"schema":"https://github.com/citation-style-language/schema/raw/master/csl-citation.json"}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22</w:t>
            </w:r>
            <w:r>
              <w:rPr>
                <w:sz w:val="20"/>
                <w:szCs w:val="20"/>
                <w:lang w:val="en-GB"/>
              </w:rPr>
              <w:fldChar w:fldCharType="end"/>
            </w:r>
          </w:p>
        </w:tc>
      </w:tr>
      <w:tr w:rsidR="00FA2079" w:rsidRPr="00D712DE" w14:paraId="1916BC86" w14:textId="77777777" w:rsidTr="002F194E">
        <w:tc>
          <w:tcPr>
            <w:tcW w:w="2269" w:type="dxa"/>
            <w:tcBorders>
              <w:top w:val="nil"/>
              <w:bottom w:val="single" w:sz="4" w:space="0" w:color="auto"/>
              <w:right w:val="nil"/>
            </w:tcBorders>
          </w:tcPr>
          <w:p w14:paraId="10BF5977" w14:textId="77777777" w:rsidR="00FA2079" w:rsidRPr="00D712DE" w:rsidRDefault="00FA2079" w:rsidP="004C6016">
            <w:pPr>
              <w:rPr>
                <w:i/>
                <w:sz w:val="20"/>
                <w:szCs w:val="20"/>
                <w:lang w:val="en-GB"/>
              </w:rPr>
            </w:pPr>
          </w:p>
        </w:tc>
        <w:tc>
          <w:tcPr>
            <w:tcW w:w="3402" w:type="dxa"/>
            <w:tcBorders>
              <w:top w:val="nil"/>
              <w:left w:val="nil"/>
              <w:bottom w:val="single" w:sz="4" w:space="0" w:color="auto"/>
              <w:right w:val="nil"/>
            </w:tcBorders>
          </w:tcPr>
          <w:p w14:paraId="17D7D6D1" w14:textId="0633503F" w:rsidR="00FA2079" w:rsidRDefault="00FA2079" w:rsidP="004C6016">
            <w:pPr>
              <w:rPr>
                <w:sz w:val="20"/>
                <w:szCs w:val="20"/>
                <w:lang w:val="en-GB"/>
              </w:rPr>
            </w:pPr>
            <w:r w:rsidRPr="00D712DE">
              <w:rPr>
                <w:sz w:val="20"/>
                <w:szCs w:val="20"/>
                <w:lang w:val="en-GB"/>
              </w:rPr>
              <w:t>N</w:t>
            </w:r>
            <w:r>
              <w:rPr>
                <w:sz w:val="20"/>
                <w:szCs w:val="20"/>
                <w:lang w:val="en-GB"/>
              </w:rPr>
              <w:t>ormal Metaboliser</w:t>
            </w:r>
          </w:p>
        </w:tc>
        <w:tc>
          <w:tcPr>
            <w:tcW w:w="1701" w:type="dxa"/>
            <w:tcBorders>
              <w:top w:val="nil"/>
              <w:left w:val="nil"/>
              <w:bottom w:val="single" w:sz="4" w:space="0" w:color="auto"/>
              <w:right w:val="nil"/>
            </w:tcBorders>
          </w:tcPr>
          <w:p w14:paraId="4E58C653" w14:textId="4A028B39" w:rsidR="00FA2079" w:rsidRDefault="00FA2079" w:rsidP="004C6016">
            <w:pPr>
              <w:tabs>
                <w:tab w:val="decimal" w:pos="1310"/>
              </w:tabs>
              <w:rPr>
                <w:sz w:val="20"/>
                <w:szCs w:val="20"/>
                <w:lang w:val="en-GB"/>
              </w:rPr>
            </w:pPr>
            <w:r>
              <w:rPr>
                <w:sz w:val="20"/>
                <w:szCs w:val="20"/>
                <w:lang w:val="en-GB"/>
              </w:rPr>
              <w:t>45.96</w:t>
            </w:r>
          </w:p>
        </w:tc>
        <w:tc>
          <w:tcPr>
            <w:tcW w:w="1417" w:type="dxa"/>
            <w:tcBorders>
              <w:top w:val="nil"/>
              <w:left w:val="nil"/>
              <w:bottom w:val="single" w:sz="4" w:space="0" w:color="auto"/>
              <w:right w:val="nil"/>
            </w:tcBorders>
          </w:tcPr>
          <w:p w14:paraId="3EBD330C" w14:textId="260161A4" w:rsidR="00FA2079" w:rsidRPr="00D712DE" w:rsidRDefault="00C97933" w:rsidP="004C6016">
            <w:pPr>
              <w:tabs>
                <w:tab w:val="decimal" w:pos="1451"/>
              </w:tabs>
              <w:rPr>
                <w:sz w:val="20"/>
                <w:szCs w:val="20"/>
                <w:lang w:val="en-GB"/>
              </w:rPr>
            </w:pPr>
            <w:r>
              <w:rPr>
                <w:sz w:val="20"/>
                <w:szCs w:val="20"/>
                <w:lang w:val="en-GB"/>
              </w:rPr>
              <w:t>37</w:t>
            </w:r>
          </w:p>
        </w:tc>
        <w:tc>
          <w:tcPr>
            <w:tcW w:w="992" w:type="dxa"/>
            <w:tcBorders>
              <w:top w:val="nil"/>
              <w:left w:val="nil"/>
              <w:bottom w:val="single" w:sz="4" w:space="0" w:color="auto"/>
            </w:tcBorders>
          </w:tcPr>
          <w:p w14:paraId="7B5C257A" w14:textId="3533E483" w:rsidR="00FA2079" w:rsidRPr="00D712DE" w:rsidRDefault="00B95044" w:rsidP="002F194E">
            <w:pPr>
              <w:jc w:val="center"/>
              <w:rPr>
                <w:sz w:val="20"/>
                <w:szCs w:val="20"/>
                <w:lang w:val="en-GB"/>
              </w:rPr>
            </w:pPr>
            <w:r>
              <w:rPr>
                <w:sz w:val="20"/>
                <w:szCs w:val="20"/>
                <w:lang w:val="en-GB"/>
              </w:rPr>
              <w:fldChar w:fldCharType="begin"/>
            </w:r>
            <w:r>
              <w:rPr>
                <w:sz w:val="20"/>
                <w:szCs w:val="20"/>
                <w:lang w:val="en-GB"/>
              </w:rPr>
              <w:instrText xml:space="preserve"> ADDIN ZOTERO_ITEM CSL_CITATION {"citationID":"6T13E2AS","properties":{"formattedCitation":"\\super 22\\nosupersub{}","plainCitation":"22","noteIndex":0},"citationItems":[{"id":145,"uris":["http://zotero.org/users/local/tKhEs3aL/items/NWTVIAB3"],"uri":["http://zotero.org/users/local/tKhEs3aL/items/NWTVIAB3"],"itemData":{"id":145,"type":"article","language":"Dutch","title":"Algemene achtergrondtekst Farmacogenetica - UGT1A1","title-short":"Achtergrondtekst UGT1A1","author":[{"family":"Koninklijke Nederlandse Maatschappij ter bevordering der Pharmacie","given":""}],"accessed":{"date-parts":[["2020",9,11]]},"issued":{"date-parts":[["2014",4,16]]}}}],"schema":"https://github.com/citation-style-language/schema/raw/master/csl-citation.json"} </w:instrText>
            </w:r>
            <w:r>
              <w:rPr>
                <w:sz w:val="20"/>
                <w:szCs w:val="20"/>
                <w:lang w:val="en-GB"/>
              </w:rPr>
              <w:fldChar w:fldCharType="separate"/>
            </w:r>
            <w:r w:rsidRPr="00B95044">
              <w:rPr>
                <w:rFonts w:ascii="Calibri" w:cs="Times New Roman"/>
                <w:sz w:val="20"/>
                <w:vertAlign w:val="superscript"/>
              </w:rPr>
              <w:t>22</w:t>
            </w:r>
            <w:r>
              <w:rPr>
                <w:sz w:val="20"/>
                <w:szCs w:val="20"/>
                <w:lang w:val="en-GB"/>
              </w:rPr>
              <w:fldChar w:fldCharType="end"/>
            </w:r>
          </w:p>
        </w:tc>
      </w:tr>
      <w:tr w:rsidR="00045285" w:rsidRPr="00D712DE" w14:paraId="570A59A6" w14:textId="77777777" w:rsidTr="002F194E">
        <w:trPr>
          <w:trHeight w:val="454"/>
        </w:trPr>
        <w:tc>
          <w:tcPr>
            <w:tcW w:w="2269" w:type="dxa"/>
            <w:tcBorders>
              <w:bottom w:val="nil"/>
              <w:right w:val="nil"/>
            </w:tcBorders>
          </w:tcPr>
          <w:p w14:paraId="19D103DC" w14:textId="77777777" w:rsidR="00FA2079" w:rsidRPr="00194E48" w:rsidRDefault="00FA2079" w:rsidP="004C6016">
            <w:pPr>
              <w:rPr>
                <w:b/>
                <w:i/>
                <w:sz w:val="20"/>
                <w:szCs w:val="20"/>
                <w:lang w:val="en-GB"/>
              </w:rPr>
            </w:pPr>
            <w:r w:rsidRPr="00194E48">
              <w:rPr>
                <w:b/>
                <w:i/>
                <w:sz w:val="20"/>
                <w:szCs w:val="20"/>
                <w:lang w:val="en-GB"/>
              </w:rPr>
              <w:t>VKORC1</w:t>
            </w:r>
          </w:p>
        </w:tc>
        <w:tc>
          <w:tcPr>
            <w:tcW w:w="3402" w:type="dxa"/>
            <w:tcBorders>
              <w:left w:val="nil"/>
              <w:bottom w:val="nil"/>
              <w:right w:val="nil"/>
            </w:tcBorders>
          </w:tcPr>
          <w:p w14:paraId="028DC3E6" w14:textId="72FC1EEA" w:rsidR="00FA2079" w:rsidRPr="00D712DE" w:rsidRDefault="00FA2079" w:rsidP="004C6016">
            <w:pPr>
              <w:rPr>
                <w:sz w:val="20"/>
                <w:szCs w:val="20"/>
                <w:lang w:val="en-GB"/>
              </w:rPr>
            </w:pPr>
            <w:r w:rsidRPr="00D712DE">
              <w:rPr>
                <w:sz w:val="20"/>
                <w:szCs w:val="20"/>
                <w:lang w:val="en-GB"/>
              </w:rPr>
              <w:t>*1 (wildtype)</w:t>
            </w:r>
          </w:p>
        </w:tc>
        <w:tc>
          <w:tcPr>
            <w:tcW w:w="1701" w:type="dxa"/>
            <w:tcBorders>
              <w:left w:val="nil"/>
              <w:bottom w:val="nil"/>
              <w:right w:val="nil"/>
            </w:tcBorders>
          </w:tcPr>
          <w:p w14:paraId="13A11225" w14:textId="4A35A762" w:rsidR="00FA2079" w:rsidRPr="00D712DE" w:rsidRDefault="00FA2079" w:rsidP="004C6016">
            <w:pPr>
              <w:tabs>
                <w:tab w:val="decimal" w:pos="1310"/>
              </w:tabs>
              <w:rPr>
                <w:sz w:val="20"/>
                <w:szCs w:val="20"/>
                <w:lang w:val="en-GB"/>
              </w:rPr>
            </w:pPr>
            <w:r>
              <w:rPr>
                <w:sz w:val="20"/>
                <w:szCs w:val="20"/>
                <w:lang w:val="en-GB"/>
              </w:rPr>
              <w:t>60.98</w:t>
            </w:r>
          </w:p>
        </w:tc>
        <w:tc>
          <w:tcPr>
            <w:tcW w:w="1417" w:type="dxa"/>
            <w:tcBorders>
              <w:left w:val="nil"/>
              <w:bottom w:val="nil"/>
              <w:right w:val="nil"/>
            </w:tcBorders>
          </w:tcPr>
          <w:p w14:paraId="2541C2C7" w14:textId="77777777" w:rsidR="00FA2079" w:rsidRPr="00D712DE" w:rsidRDefault="00FA2079" w:rsidP="004C6016">
            <w:pPr>
              <w:tabs>
                <w:tab w:val="decimal" w:pos="1451"/>
              </w:tabs>
              <w:rPr>
                <w:sz w:val="20"/>
                <w:szCs w:val="20"/>
                <w:lang w:val="en-GB"/>
              </w:rPr>
            </w:pPr>
            <w:r w:rsidRPr="00D712DE">
              <w:rPr>
                <w:sz w:val="20"/>
                <w:szCs w:val="20"/>
                <w:lang w:val="en-GB"/>
              </w:rPr>
              <w:t>58</w:t>
            </w:r>
          </w:p>
        </w:tc>
        <w:tc>
          <w:tcPr>
            <w:tcW w:w="992" w:type="dxa"/>
            <w:tcBorders>
              <w:left w:val="nil"/>
              <w:bottom w:val="nil"/>
            </w:tcBorders>
          </w:tcPr>
          <w:p w14:paraId="66DA12A6" w14:textId="67AECECF" w:rsidR="00FA2079" w:rsidRPr="008878C3" w:rsidRDefault="008878C3" w:rsidP="002F194E">
            <w:pPr>
              <w:jc w:val="center"/>
              <w:rPr>
                <w:sz w:val="20"/>
                <w:szCs w:val="20"/>
                <w:lang w:val="en-GB"/>
              </w:rPr>
            </w:pPr>
            <w:r w:rsidRPr="008878C3">
              <w:rPr>
                <w:sz w:val="20"/>
                <w:szCs w:val="20"/>
                <w:lang w:val="en-GB"/>
              </w:rPr>
              <w:fldChar w:fldCharType="begin"/>
            </w:r>
            <w:r w:rsidR="00B95044">
              <w:rPr>
                <w:sz w:val="20"/>
                <w:szCs w:val="20"/>
                <w:lang w:val="en-GB"/>
              </w:rPr>
              <w:instrText xml:space="preserve"> ADDIN ZOTERO_ITEM CSL_CITATION {"citationID":"AYlscenw","properties":{"formattedCitation":"\\super 23\\nosupersub{}","plainCitation":"23","noteIndex":0},"citationItems":[{"id":129,"uris":["http://zotero.org/users/local/tKhEs3aL/items/MXEFLVJB"],"uri":["http://zotero.org/users/local/tKhEs3aL/items/MXEFLVJB"],"itemData":{"id":129,"type":"article-journal","container-title":"New England Journal of Medicine","DOI":"10.1056/NEJMoa044503","ISSN":"0028-4793, 1533-4406","issue":"22","journalAbbreviation":"N Engl J Med","language":"en","page":"2285-2293","source":"DOI.org (Crossref)","title":"Effect of &lt;i&gt;VKORC1&lt;/i&gt; Haplotypes on Transcriptional Regulation and Warfarin Dose","volume":"352","author":[{"family":"Rieder","given":"Mark J."},{"family":"Reiner","given":"Alexander P."},{"family":"Gage","given":"Brian F."},{"family":"Nickerson","given":"Deborah A."},{"family":"Eby","given":"Charles S."},{"family":"McLeod","given":"Howard L."},{"family":"Blough","given":"David K."},{"family":"Thummel","given":"Kenneth E."},{"family":"Veenstra","given":"David L."},{"family":"Rettie","given":"Allan E."}],"issued":{"date-parts":[["2005",6,2]]}}}],"schema":"https://github.com/citation-style-language/schema/raw/master/csl-citation.json"} </w:instrText>
            </w:r>
            <w:r w:rsidRPr="008878C3">
              <w:rPr>
                <w:sz w:val="20"/>
                <w:szCs w:val="20"/>
                <w:lang w:val="en-GB"/>
              </w:rPr>
              <w:fldChar w:fldCharType="separate"/>
            </w:r>
            <w:r w:rsidR="00B95044" w:rsidRPr="00B95044">
              <w:rPr>
                <w:rFonts w:ascii="Calibri" w:cs="Times New Roman"/>
                <w:sz w:val="20"/>
                <w:vertAlign w:val="superscript"/>
              </w:rPr>
              <w:t>23</w:t>
            </w:r>
            <w:r w:rsidRPr="008878C3">
              <w:rPr>
                <w:sz w:val="20"/>
                <w:szCs w:val="20"/>
                <w:lang w:val="en-GB"/>
              </w:rPr>
              <w:fldChar w:fldCharType="end"/>
            </w:r>
          </w:p>
        </w:tc>
      </w:tr>
      <w:tr w:rsidR="00FA2079" w:rsidRPr="00D712DE" w14:paraId="50F49614" w14:textId="77777777" w:rsidTr="002F194E">
        <w:trPr>
          <w:trHeight w:val="454"/>
        </w:trPr>
        <w:tc>
          <w:tcPr>
            <w:tcW w:w="2269" w:type="dxa"/>
            <w:tcBorders>
              <w:top w:val="nil"/>
              <w:bottom w:val="nil"/>
              <w:right w:val="nil"/>
            </w:tcBorders>
          </w:tcPr>
          <w:p w14:paraId="431E0BFF" w14:textId="26578E5B" w:rsidR="00FA2079" w:rsidRPr="00194E48" w:rsidRDefault="00FA2079" w:rsidP="004C6016">
            <w:pPr>
              <w:rPr>
                <w:sz w:val="20"/>
                <w:szCs w:val="20"/>
                <w:lang w:val="en-GB"/>
              </w:rPr>
            </w:pPr>
            <w:r>
              <w:rPr>
                <w:sz w:val="20"/>
                <w:szCs w:val="20"/>
                <w:lang w:val="en-GB"/>
              </w:rPr>
              <w:t>(n = 164)</w:t>
            </w:r>
          </w:p>
        </w:tc>
        <w:tc>
          <w:tcPr>
            <w:tcW w:w="3402" w:type="dxa"/>
            <w:tcBorders>
              <w:top w:val="nil"/>
              <w:left w:val="nil"/>
              <w:bottom w:val="single" w:sz="4" w:space="0" w:color="auto"/>
              <w:right w:val="nil"/>
            </w:tcBorders>
          </w:tcPr>
          <w:p w14:paraId="72BF158B" w14:textId="68BBCF30" w:rsidR="00FA2079" w:rsidRPr="00D712DE" w:rsidRDefault="00FA2079" w:rsidP="004C6016">
            <w:pPr>
              <w:rPr>
                <w:sz w:val="20"/>
                <w:szCs w:val="20"/>
                <w:lang w:val="en-GB"/>
              </w:rPr>
            </w:pPr>
            <w:r w:rsidRPr="00D712DE">
              <w:rPr>
                <w:sz w:val="20"/>
                <w:szCs w:val="20"/>
                <w:lang w:val="en-GB"/>
              </w:rPr>
              <w:t>*2 (risk allele)</w:t>
            </w:r>
          </w:p>
        </w:tc>
        <w:tc>
          <w:tcPr>
            <w:tcW w:w="1701" w:type="dxa"/>
            <w:tcBorders>
              <w:top w:val="nil"/>
              <w:left w:val="nil"/>
              <w:bottom w:val="single" w:sz="4" w:space="0" w:color="auto"/>
              <w:right w:val="nil"/>
            </w:tcBorders>
          </w:tcPr>
          <w:p w14:paraId="27AA6285" w14:textId="05E50D73" w:rsidR="00FA2079" w:rsidRPr="00D712DE" w:rsidRDefault="00FA2079" w:rsidP="004C6016">
            <w:pPr>
              <w:tabs>
                <w:tab w:val="decimal" w:pos="1310"/>
              </w:tabs>
              <w:rPr>
                <w:sz w:val="20"/>
                <w:szCs w:val="20"/>
                <w:lang w:val="en-GB"/>
              </w:rPr>
            </w:pPr>
            <w:r>
              <w:rPr>
                <w:sz w:val="20"/>
                <w:szCs w:val="20"/>
                <w:lang w:val="en-GB"/>
              </w:rPr>
              <w:t>39.02</w:t>
            </w:r>
          </w:p>
        </w:tc>
        <w:tc>
          <w:tcPr>
            <w:tcW w:w="1417" w:type="dxa"/>
            <w:tcBorders>
              <w:top w:val="nil"/>
              <w:left w:val="nil"/>
              <w:bottom w:val="single" w:sz="4" w:space="0" w:color="auto"/>
              <w:right w:val="nil"/>
            </w:tcBorders>
          </w:tcPr>
          <w:p w14:paraId="4E9246E2" w14:textId="77777777" w:rsidR="00FA2079" w:rsidRPr="00D712DE" w:rsidRDefault="00FA2079" w:rsidP="004C6016">
            <w:pPr>
              <w:tabs>
                <w:tab w:val="decimal" w:pos="1451"/>
              </w:tabs>
              <w:rPr>
                <w:sz w:val="20"/>
                <w:szCs w:val="20"/>
                <w:lang w:val="en-GB"/>
              </w:rPr>
            </w:pPr>
            <w:r w:rsidRPr="00D712DE">
              <w:rPr>
                <w:sz w:val="20"/>
                <w:szCs w:val="20"/>
                <w:lang w:val="en-GB"/>
              </w:rPr>
              <w:t>37</w:t>
            </w:r>
          </w:p>
        </w:tc>
        <w:tc>
          <w:tcPr>
            <w:tcW w:w="992" w:type="dxa"/>
            <w:tcBorders>
              <w:top w:val="nil"/>
              <w:left w:val="nil"/>
              <w:bottom w:val="single" w:sz="4" w:space="0" w:color="auto"/>
            </w:tcBorders>
          </w:tcPr>
          <w:p w14:paraId="5CB61947" w14:textId="04E8B556" w:rsidR="00FA2079" w:rsidRPr="00D712DE" w:rsidRDefault="008878C3" w:rsidP="002F194E">
            <w:pPr>
              <w:jc w:val="center"/>
              <w:rPr>
                <w:sz w:val="20"/>
                <w:szCs w:val="20"/>
                <w:lang w:val="en-GB"/>
              </w:rPr>
            </w:pPr>
            <w:r w:rsidRPr="008878C3">
              <w:rPr>
                <w:sz w:val="20"/>
                <w:szCs w:val="20"/>
                <w:lang w:val="en-GB"/>
              </w:rPr>
              <w:fldChar w:fldCharType="begin"/>
            </w:r>
            <w:r w:rsidR="00B95044">
              <w:rPr>
                <w:sz w:val="20"/>
                <w:szCs w:val="20"/>
                <w:lang w:val="en-GB"/>
              </w:rPr>
              <w:instrText xml:space="preserve"> ADDIN ZOTERO_ITEM CSL_CITATION {"citationID":"06scn4sP","properties":{"formattedCitation":"\\super 23\\nosupersub{}","plainCitation":"23","noteIndex":0},"citationItems":[{"id":129,"uris":["http://zotero.org/users/local/tKhEs3aL/items/MXEFLVJB"],"uri":["http://zotero.org/users/local/tKhEs3aL/items/MXEFLVJB"],"itemData":{"id":129,"type":"article-journal","container-title":"New England Journal of Medicine","DOI":"10.1056/NEJMoa044503","ISSN":"0028-4793, 1533-4406","issue":"22","journalAbbreviation":"N Engl J Med","language":"en","page":"2285-2293","source":"DOI.org (Crossref)","title":"Effect of &lt;i&gt;VKORC1&lt;/i&gt; Haplotypes on Transcriptional Regulation and Warfarin Dose","volume":"352","author":[{"family":"Rieder","given":"Mark J."},{"family":"Reiner","given":"Alexander P."},{"family":"Gage","given":"Brian F."},{"family":"Nickerson","given":"Deborah A."},{"family":"Eby","given":"Charles S."},{"family":"McLeod","given":"Howard L."},{"family":"Blough","given":"David K."},{"family":"Thummel","given":"Kenneth E."},{"family":"Veenstra","given":"David L."},{"family":"Rettie","given":"Allan E."}],"issued":{"date-parts":[["2005",6,2]]}}}],"schema":"https://github.com/citation-style-language/schema/raw/master/csl-citation.json"} </w:instrText>
            </w:r>
            <w:r w:rsidRPr="008878C3">
              <w:rPr>
                <w:sz w:val="20"/>
                <w:szCs w:val="20"/>
                <w:lang w:val="en-GB"/>
              </w:rPr>
              <w:fldChar w:fldCharType="separate"/>
            </w:r>
            <w:r w:rsidR="00B95044" w:rsidRPr="00B95044">
              <w:rPr>
                <w:rFonts w:ascii="Calibri" w:cs="Times New Roman"/>
                <w:sz w:val="20"/>
                <w:vertAlign w:val="superscript"/>
              </w:rPr>
              <w:t>23</w:t>
            </w:r>
            <w:r w:rsidRPr="008878C3">
              <w:rPr>
                <w:sz w:val="20"/>
                <w:szCs w:val="20"/>
                <w:lang w:val="en-GB"/>
              </w:rPr>
              <w:fldChar w:fldCharType="end"/>
            </w:r>
          </w:p>
        </w:tc>
      </w:tr>
      <w:tr w:rsidR="00FA2079" w:rsidRPr="00D712DE" w14:paraId="0AF5CDD6" w14:textId="77777777" w:rsidTr="002F194E">
        <w:trPr>
          <w:trHeight w:val="454"/>
        </w:trPr>
        <w:tc>
          <w:tcPr>
            <w:tcW w:w="2269" w:type="dxa"/>
            <w:tcBorders>
              <w:top w:val="nil"/>
              <w:bottom w:val="nil"/>
              <w:right w:val="nil"/>
            </w:tcBorders>
          </w:tcPr>
          <w:p w14:paraId="482D7C1E" w14:textId="77777777" w:rsidR="00FA2079" w:rsidRDefault="00FA2079" w:rsidP="004C6016">
            <w:pPr>
              <w:rPr>
                <w:sz w:val="20"/>
                <w:szCs w:val="20"/>
                <w:lang w:val="en-GB"/>
              </w:rPr>
            </w:pPr>
          </w:p>
        </w:tc>
        <w:tc>
          <w:tcPr>
            <w:tcW w:w="3402" w:type="dxa"/>
            <w:tcBorders>
              <w:left w:val="nil"/>
              <w:bottom w:val="nil"/>
              <w:right w:val="nil"/>
            </w:tcBorders>
          </w:tcPr>
          <w:p w14:paraId="13FF77FF" w14:textId="0C2A0325" w:rsidR="00FA2079" w:rsidRPr="00D712DE" w:rsidRDefault="00FA2079" w:rsidP="004C6016">
            <w:pPr>
              <w:rPr>
                <w:sz w:val="20"/>
                <w:szCs w:val="20"/>
                <w:lang w:val="en-GB"/>
              </w:rPr>
            </w:pPr>
            <w:r w:rsidRPr="00D712DE">
              <w:rPr>
                <w:sz w:val="20"/>
                <w:szCs w:val="20"/>
                <w:lang w:val="en-GB"/>
              </w:rPr>
              <w:t>No risk</w:t>
            </w:r>
          </w:p>
        </w:tc>
        <w:tc>
          <w:tcPr>
            <w:tcW w:w="1701" w:type="dxa"/>
            <w:tcBorders>
              <w:left w:val="nil"/>
              <w:bottom w:val="nil"/>
              <w:right w:val="nil"/>
            </w:tcBorders>
          </w:tcPr>
          <w:p w14:paraId="4AAB3718" w14:textId="42C75DEF" w:rsidR="00FA2079" w:rsidRDefault="00FA2079" w:rsidP="004C6016">
            <w:pPr>
              <w:tabs>
                <w:tab w:val="decimal" w:pos="1310"/>
              </w:tabs>
              <w:rPr>
                <w:sz w:val="20"/>
                <w:szCs w:val="20"/>
                <w:lang w:val="en-GB"/>
              </w:rPr>
            </w:pPr>
            <w:r>
              <w:rPr>
                <w:sz w:val="20"/>
                <w:szCs w:val="20"/>
                <w:lang w:val="en-GB"/>
              </w:rPr>
              <w:t>40.24</w:t>
            </w:r>
          </w:p>
        </w:tc>
        <w:tc>
          <w:tcPr>
            <w:tcW w:w="1417" w:type="dxa"/>
            <w:tcBorders>
              <w:left w:val="nil"/>
              <w:bottom w:val="nil"/>
              <w:right w:val="nil"/>
            </w:tcBorders>
          </w:tcPr>
          <w:p w14:paraId="256D7C2C" w14:textId="756B7C34" w:rsidR="00FA2079" w:rsidRPr="00D712DE" w:rsidRDefault="00FA2079" w:rsidP="004C6016">
            <w:pPr>
              <w:tabs>
                <w:tab w:val="decimal" w:pos="1451"/>
              </w:tabs>
              <w:rPr>
                <w:sz w:val="20"/>
                <w:szCs w:val="20"/>
                <w:lang w:val="en-GB"/>
              </w:rPr>
            </w:pPr>
            <w:r w:rsidRPr="00D712DE">
              <w:rPr>
                <w:sz w:val="20"/>
                <w:szCs w:val="20"/>
                <w:lang w:val="en-GB"/>
              </w:rPr>
              <w:t>36.3</w:t>
            </w:r>
          </w:p>
        </w:tc>
        <w:tc>
          <w:tcPr>
            <w:tcW w:w="992" w:type="dxa"/>
            <w:tcBorders>
              <w:left w:val="nil"/>
              <w:bottom w:val="nil"/>
            </w:tcBorders>
          </w:tcPr>
          <w:p w14:paraId="74415F66" w14:textId="78C12F17" w:rsidR="00FA2079" w:rsidRPr="008878C3" w:rsidRDefault="008878C3" w:rsidP="002F194E">
            <w:pPr>
              <w:jc w:val="center"/>
              <w:rPr>
                <w:sz w:val="20"/>
                <w:szCs w:val="20"/>
                <w:lang w:val="en-GB"/>
              </w:rPr>
            </w:pPr>
            <w:r w:rsidRPr="008878C3">
              <w:rPr>
                <w:sz w:val="20"/>
                <w:szCs w:val="20"/>
                <w:lang w:val="en-GB"/>
              </w:rPr>
              <w:fldChar w:fldCharType="begin"/>
            </w:r>
            <w:r w:rsidR="00B95044">
              <w:rPr>
                <w:sz w:val="20"/>
                <w:szCs w:val="20"/>
                <w:lang w:val="en-GB"/>
              </w:rPr>
              <w:instrText xml:space="preserve"> ADDIN ZOTERO_ITEM CSL_CITATION {"citationID":"37h3f9Ow","properties":{"formattedCitation":"\\super 24\\nosupersub{}","plainCitation":"24","noteIndex":0},"citationItems":[{"id":131,"uris":["http://zotero.org/users/local/tKhEs3aL/items/SJSH9I77"],"uri":["http://zotero.org/users/local/tKhEs3aL/items/SJSH9I77"],"itemData":{"id":131,"type":"article-journal","container-title":"Clinical Pharmacology &amp; Therapeutics","DOI":"10.1038/clpt.2008.294","ISSN":"0009-9236, 1532-6535","issue":"4","journalAbbreviation":"Clin Pharmacol Ther","page":"379-386","source":"DOI.org (Crossref)","title":"Genotypes Associated With Reduced Activity of VKORC1 and CYP2C9 and Their Modification of Acenocoumarol Anticoagulation During the Initial Treatment Period","volume":"85","author":[{"family":"Teichert","given":"M"},{"family":"Schaik","given":"Rhn","non-dropping-particle":"van"},{"family":"Hofman","given":"A"},{"family":"Uitterlinden","given":"Ag"},{"family":"Smet","given":"Pagm","non-dropping-particle":"de"},{"family":"Stricker","given":"BHCh"},{"family":"Visser","given":"Le"}],"issued":{"date-parts":[["2009",4]]}}}],"schema":"https://github.com/citation-style-language/schema/raw/master/csl-citation.json"} </w:instrText>
            </w:r>
            <w:r w:rsidRPr="008878C3">
              <w:rPr>
                <w:sz w:val="20"/>
                <w:szCs w:val="20"/>
                <w:lang w:val="en-GB"/>
              </w:rPr>
              <w:fldChar w:fldCharType="separate"/>
            </w:r>
            <w:r w:rsidR="00B95044" w:rsidRPr="00B95044">
              <w:rPr>
                <w:rFonts w:ascii="Calibri" w:cs="Times New Roman"/>
                <w:sz w:val="20"/>
                <w:vertAlign w:val="superscript"/>
              </w:rPr>
              <w:t>24</w:t>
            </w:r>
            <w:r w:rsidRPr="008878C3">
              <w:rPr>
                <w:sz w:val="20"/>
                <w:szCs w:val="20"/>
                <w:lang w:val="en-GB"/>
              </w:rPr>
              <w:fldChar w:fldCharType="end"/>
            </w:r>
          </w:p>
        </w:tc>
      </w:tr>
      <w:tr w:rsidR="00FA2079" w:rsidRPr="00D712DE" w14:paraId="13B36F8E" w14:textId="77777777" w:rsidTr="002F194E">
        <w:trPr>
          <w:trHeight w:val="454"/>
        </w:trPr>
        <w:tc>
          <w:tcPr>
            <w:tcW w:w="2269" w:type="dxa"/>
            <w:tcBorders>
              <w:top w:val="nil"/>
              <w:bottom w:val="nil"/>
              <w:right w:val="nil"/>
            </w:tcBorders>
          </w:tcPr>
          <w:p w14:paraId="206D21A9" w14:textId="77777777" w:rsidR="00FA2079" w:rsidRDefault="00FA2079" w:rsidP="004C6016">
            <w:pPr>
              <w:rPr>
                <w:sz w:val="20"/>
                <w:szCs w:val="20"/>
                <w:lang w:val="en-GB"/>
              </w:rPr>
            </w:pPr>
          </w:p>
        </w:tc>
        <w:tc>
          <w:tcPr>
            <w:tcW w:w="3402" w:type="dxa"/>
            <w:tcBorders>
              <w:top w:val="nil"/>
              <w:left w:val="nil"/>
              <w:bottom w:val="nil"/>
              <w:right w:val="nil"/>
            </w:tcBorders>
          </w:tcPr>
          <w:p w14:paraId="15B1272A" w14:textId="65CB6763" w:rsidR="00FA2079" w:rsidRPr="00D712DE" w:rsidRDefault="00FA2079" w:rsidP="004C6016">
            <w:pPr>
              <w:rPr>
                <w:sz w:val="20"/>
                <w:szCs w:val="20"/>
                <w:lang w:val="en-GB"/>
              </w:rPr>
            </w:pPr>
            <w:r w:rsidRPr="00D712DE">
              <w:rPr>
                <w:sz w:val="20"/>
                <w:szCs w:val="20"/>
                <w:lang w:val="en-GB"/>
              </w:rPr>
              <w:t>Intermediate risk</w:t>
            </w:r>
          </w:p>
        </w:tc>
        <w:tc>
          <w:tcPr>
            <w:tcW w:w="1701" w:type="dxa"/>
            <w:tcBorders>
              <w:top w:val="nil"/>
              <w:left w:val="nil"/>
              <w:bottom w:val="nil"/>
              <w:right w:val="nil"/>
            </w:tcBorders>
          </w:tcPr>
          <w:p w14:paraId="483836C5" w14:textId="474A21C6" w:rsidR="00FA2079" w:rsidRDefault="00FA2079" w:rsidP="004C6016">
            <w:pPr>
              <w:tabs>
                <w:tab w:val="decimal" w:pos="1310"/>
              </w:tabs>
              <w:rPr>
                <w:sz w:val="20"/>
                <w:szCs w:val="20"/>
                <w:lang w:val="en-GB"/>
              </w:rPr>
            </w:pPr>
            <w:r>
              <w:rPr>
                <w:sz w:val="20"/>
                <w:szCs w:val="20"/>
                <w:lang w:val="en-GB"/>
              </w:rPr>
              <w:t>41.46</w:t>
            </w:r>
          </w:p>
        </w:tc>
        <w:tc>
          <w:tcPr>
            <w:tcW w:w="1417" w:type="dxa"/>
            <w:tcBorders>
              <w:top w:val="nil"/>
              <w:left w:val="nil"/>
              <w:bottom w:val="nil"/>
              <w:right w:val="nil"/>
            </w:tcBorders>
          </w:tcPr>
          <w:p w14:paraId="2F9A0C78" w14:textId="01FE767C" w:rsidR="00FA2079" w:rsidRPr="00D712DE" w:rsidRDefault="00FA2079" w:rsidP="004C6016">
            <w:pPr>
              <w:tabs>
                <w:tab w:val="decimal" w:pos="1451"/>
              </w:tabs>
              <w:rPr>
                <w:sz w:val="20"/>
                <w:szCs w:val="20"/>
                <w:lang w:val="en-GB"/>
              </w:rPr>
            </w:pPr>
            <w:r w:rsidRPr="00D712DE">
              <w:rPr>
                <w:sz w:val="20"/>
                <w:szCs w:val="20"/>
                <w:lang w:val="en-GB"/>
              </w:rPr>
              <w:t>48.7</w:t>
            </w:r>
          </w:p>
        </w:tc>
        <w:tc>
          <w:tcPr>
            <w:tcW w:w="992" w:type="dxa"/>
            <w:tcBorders>
              <w:top w:val="nil"/>
              <w:left w:val="nil"/>
              <w:bottom w:val="nil"/>
            </w:tcBorders>
          </w:tcPr>
          <w:p w14:paraId="43DD1675" w14:textId="15434776" w:rsidR="00FA2079" w:rsidRPr="00D712DE" w:rsidRDefault="008878C3" w:rsidP="002F194E">
            <w:pPr>
              <w:jc w:val="center"/>
              <w:rPr>
                <w:sz w:val="20"/>
                <w:szCs w:val="20"/>
                <w:lang w:val="en-GB"/>
              </w:rPr>
            </w:pPr>
            <w:r w:rsidRPr="008878C3">
              <w:rPr>
                <w:sz w:val="20"/>
                <w:szCs w:val="20"/>
                <w:lang w:val="en-GB"/>
              </w:rPr>
              <w:fldChar w:fldCharType="begin"/>
            </w:r>
            <w:r w:rsidR="00B95044">
              <w:rPr>
                <w:sz w:val="20"/>
                <w:szCs w:val="20"/>
                <w:lang w:val="en-GB"/>
              </w:rPr>
              <w:instrText xml:space="preserve"> ADDIN ZOTERO_ITEM CSL_CITATION {"citationID":"BgaYT0KC","properties":{"formattedCitation":"\\super 24\\nosupersub{}","plainCitation":"24","noteIndex":0},"citationItems":[{"id":131,"uris":["http://zotero.org/users/local/tKhEs3aL/items/SJSH9I77"],"uri":["http://zotero.org/users/local/tKhEs3aL/items/SJSH9I77"],"itemData":{"id":131,"type":"article-journal","container-title":"Clinical Pharmacology &amp; Therapeutics","DOI":"10.1038/clpt.2008.294","ISSN":"0009-9236, 1532-6535","issue":"4","journalAbbreviation":"Clin Pharmacol Ther","page":"379-386","source":"DOI.org (Crossref)","title":"Genotypes Associated With Reduced Activity of VKORC1 and CYP2C9 and Their Modification of Acenocoumarol Anticoagulation During the Initial Treatment Period","volume":"85","author":[{"family":"Teichert","given":"M"},{"family":"Schaik","given":"Rhn","non-dropping-particle":"van"},{"family":"Hofman","given":"A"},{"family":"Uitterlinden","given":"Ag"},{"family":"Smet","given":"Pagm","non-dropping-particle":"de"},{"family":"Stricker","given":"BHCh"},{"family":"Visser","given":"Le"}],"issued":{"date-parts":[["2009",4]]}}}],"schema":"https://github.com/citation-style-language/schema/raw/master/csl-citation.json"} </w:instrText>
            </w:r>
            <w:r w:rsidRPr="008878C3">
              <w:rPr>
                <w:sz w:val="20"/>
                <w:szCs w:val="20"/>
                <w:lang w:val="en-GB"/>
              </w:rPr>
              <w:fldChar w:fldCharType="separate"/>
            </w:r>
            <w:r w:rsidR="00B95044" w:rsidRPr="00B95044">
              <w:rPr>
                <w:rFonts w:ascii="Calibri" w:cs="Times New Roman"/>
                <w:sz w:val="20"/>
                <w:vertAlign w:val="superscript"/>
              </w:rPr>
              <w:t>24</w:t>
            </w:r>
            <w:r w:rsidRPr="008878C3">
              <w:rPr>
                <w:sz w:val="20"/>
                <w:szCs w:val="20"/>
                <w:lang w:val="en-GB"/>
              </w:rPr>
              <w:fldChar w:fldCharType="end"/>
            </w:r>
          </w:p>
        </w:tc>
      </w:tr>
      <w:tr w:rsidR="00FA2079" w:rsidRPr="00D712DE" w14:paraId="4005E51D" w14:textId="77777777" w:rsidTr="002F194E">
        <w:trPr>
          <w:trHeight w:val="454"/>
        </w:trPr>
        <w:tc>
          <w:tcPr>
            <w:tcW w:w="2269" w:type="dxa"/>
            <w:tcBorders>
              <w:top w:val="nil"/>
              <w:right w:val="nil"/>
            </w:tcBorders>
          </w:tcPr>
          <w:p w14:paraId="5A833175" w14:textId="77777777" w:rsidR="00FA2079" w:rsidRDefault="00FA2079" w:rsidP="004C6016">
            <w:pPr>
              <w:rPr>
                <w:sz w:val="20"/>
                <w:szCs w:val="20"/>
                <w:lang w:val="en-GB"/>
              </w:rPr>
            </w:pPr>
          </w:p>
        </w:tc>
        <w:tc>
          <w:tcPr>
            <w:tcW w:w="3402" w:type="dxa"/>
            <w:tcBorders>
              <w:top w:val="nil"/>
              <w:left w:val="nil"/>
              <w:right w:val="nil"/>
            </w:tcBorders>
          </w:tcPr>
          <w:p w14:paraId="760D3FC0" w14:textId="3D336014" w:rsidR="00FA2079" w:rsidRPr="00D712DE" w:rsidRDefault="00FA2079" w:rsidP="004C6016">
            <w:pPr>
              <w:rPr>
                <w:sz w:val="20"/>
                <w:szCs w:val="20"/>
                <w:lang w:val="en-GB"/>
              </w:rPr>
            </w:pPr>
            <w:r w:rsidRPr="00D712DE">
              <w:rPr>
                <w:sz w:val="20"/>
                <w:szCs w:val="20"/>
                <w:lang w:val="en-GB"/>
              </w:rPr>
              <w:t>High risk</w:t>
            </w:r>
          </w:p>
        </w:tc>
        <w:tc>
          <w:tcPr>
            <w:tcW w:w="1701" w:type="dxa"/>
            <w:tcBorders>
              <w:top w:val="nil"/>
              <w:left w:val="nil"/>
              <w:right w:val="nil"/>
            </w:tcBorders>
          </w:tcPr>
          <w:p w14:paraId="75539851" w14:textId="76F9B13C" w:rsidR="00FA2079" w:rsidRDefault="00FA2079" w:rsidP="004C6016">
            <w:pPr>
              <w:tabs>
                <w:tab w:val="decimal" w:pos="1310"/>
              </w:tabs>
              <w:rPr>
                <w:sz w:val="20"/>
                <w:szCs w:val="20"/>
                <w:lang w:val="en-GB"/>
              </w:rPr>
            </w:pPr>
            <w:r>
              <w:rPr>
                <w:sz w:val="20"/>
                <w:szCs w:val="20"/>
                <w:lang w:val="en-GB"/>
              </w:rPr>
              <w:t>18.29</w:t>
            </w:r>
          </w:p>
        </w:tc>
        <w:tc>
          <w:tcPr>
            <w:tcW w:w="1417" w:type="dxa"/>
            <w:tcBorders>
              <w:top w:val="nil"/>
              <w:left w:val="nil"/>
              <w:right w:val="nil"/>
            </w:tcBorders>
          </w:tcPr>
          <w:p w14:paraId="2307471A" w14:textId="6411400F" w:rsidR="00FA2079" w:rsidRPr="00D712DE" w:rsidRDefault="00FA2079" w:rsidP="004C6016">
            <w:pPr>
              <w:tabs>
                <w:tab w:val="decimal" w:pos="1451"/>
              </w:tabs>
              <w:rPr>
                <w:sz w:val="20"/>
                <w:szCs w:val="20"/>
                <w:lang w:val="en-GB"/>
              </w:rPr>
            </w:pPr>
            <w:r w:rsidRPr="00D712DE">
              <w:rPr>
                <w:sz w:val="20"/>
                <w:szCs w:val="20"/>
                <w:lang w:val="en-GB"/>
              </w:rPr>
              <w:t>15.0</w:t>
            </w:r>
          </w:p>
        </w:tc>
        <w:tc>
          <w:tcPr>
            <w:tcW w:w="992" w:type="dxa"/>
            <w:tcBorders>
              <w:top w:val="nil"/>
              <w:left w:val="nil"/>
            </w:tcBorders>
          </w:tcPr>
          <w:p w14:paraId="693F64AB" w14:textId="3CE4022A" w:rsidR="00FA2079" w:rsidRPr="00D712DE" w:rsidRDefault="008878C3" w:rsidP="002F194E">
            <w:pPr>
              <w:jc w:val="center"/>
              <w:rPr>
                <w:sz w:val="20"/>
                <w:szCs w:val="20"/>
                <w:lang w:val="en-GB"/>
              </w:rPr>
            </w:pPr>
            <w:r w:rsidRPr="008878C3">
              <w:rPr>
                <w:sz w:val="20"/>
                <w:szCs w:val="20"/>
                <w:lang w:val="en-GB"/>
              </w:rPr>
              <w:fldChar w:fldCharType="begin"/>
            </w:r>
            <w:r w:rsidR="00B95044">
              <w:rPr>
                <w:sz w:val="20"/>
                <w:szCs w:val="20"/>
                <w:lang w:val="en-GB"/>
              </w:rPr>
              <w:instrText xml:space="preserve"> ADDIN ZOTERO_ITEM CSL_CITATION {"citationID":"Vin5Hxof","properties":{"formattedCitation":"\\super 24\\nosupersub{}","plainCitation":"24","noteIndex":0},"citationItems":[{"id":131,"uris":["http://zotero.org/users/local/tKhEs3aL/items/SJSH9I77"],"uri":["http://zotero.org/users/local/tKhEs3aL/items/SJSH9I77"],"itemData":{"id":131,"type":"article-journal","container-title":"Clinical Pharmacology &amp; Therapeutics","DOI":"10.1038/clpt.2008.294","ISSN":"0009-9236, 1532-6535","issue":"4","journalAbbreviation":"Clin Pharmacol Ther","page":"379-386","source":"DOI.org (Crossref)","title":"Genotypes Associated With Reduced Activity of VKORC1 and CYP2C9 and Their Modification of Acenocoumarol Anticoagulation During the Initial Treatment Period","volume":"85","author":[{"family":"Teichert","given":"M"},{"family":"Schaik","given":"Rhn","non-dropping-particle":"van"},{"family":"Hofman","given":"A"},{"family":"Uitterlinden","given":"Ag"},{"family":"Smet","given":"Pagm","non-dropping-particle":"de"},{"family":"Stricker","given":"BHCh"},{"family":"Visser","given":"Le"}],"issued":{"date-parts":[["2009",4]]}}}],"schema":"https://github.com/citation-style-language/schema/raw/master/csl-citation.json"} </w:instrText>
            </w:r>
            <w:r w:rsidRPr="008878C3">
              <w:rPr>
                <w:sz w:val="20"/>
                <w:szCs w:val="20"/>
                <w:lang w:val="en-GB"/>
              </w:rPr>
              <w:fldChar w:fldCharType="separate"/>
            </w:r>
            <w:r w:rsidR="00B95044" w:rsidRPr="00B95044">
              <w:rPr>
                <w:rFonts w:ascii="Calibri" w:cs="Times New Roman"/>
                <w:sz w:val="20"/>
                <w:vertAlign w:val="superscript"/>
              </w:rPr>
              <w:t>24</w:t>
            </w:r>
            <w:r w:rsidRPr="008878C3">
              <w:rPr>
                <w:sz w:val="20"/>
                <w:szCs w:val="20"/>
                <w:lang w:val="en-GB"/>
              </w:rPr>
              <w:fldChar w:fldCharType="end"/>
            </w:r>
          </w:p>
        </w:tc>
      </w:tr>
    </w:tbl>
    <w:p w14:paraId="032C436C" w14:textId="64D402E7" w:rsidR="00092EB5" w:rsidRDefault="00092EB5" w:rsidP="00FA2079">
      <w:pPr>
        <w:spacing w:after="0" w:line="240" w:lineRule="auto"/>
        <w:rPr>
          <w:lang w:val="en-GB"/>
        </w:rPr>
      </w:pPr>
    </w:p>
    <w:p w14:paraId="34804431" w14:textId="357E4B6F" w:rsidR="00045285" w:rsidRPr="00045285" w:rsidRDefault="00045285" w:rsidP="002F194E">
      <w:pPr>
        <w:spacing w:after="120" w:line="240" w:lineRule="auto"/>
        <w:rPr>
          <w:sz w:val="16"/>
          <w:szCs w:val="16"/>
          <w:lang w:val="en-GB"/>
        </w:rPr>
      </w:pPr>
      <w:r w:rsidRPr="00045285">
        <w:rPr>
          <w:sz w:val="16"/>
          <w:szCs w:val="16"/>
          <w:vertAlign w:val="superscript"/>
          <w:lang w:val="en-GB"/>
        </w:rPr>
        <w:t xml:space="preserve">a </w:t>
      </w:r>
      <w:r w:rsidR="004C6016">
        <w:rPr>
          <w:sz w:val="16"/>
          <w:szCs w:val="16"/>
          <w:lang w:val="en-GB"/>
        </w:rPr>
        <w:t>N</w:t>
      </w:r>
      <w:r>
        <w:rPr>
          <w:sz w:val="16"/>
          <w:szCs w:val="16"/>
          <w:lang w:val="en-GB"/>
        </w:rPr>
        <w:t>umber of genotyped individuals that passed QC thresholds</w:t>
      </w:r>
      <w:r w:rsidR="004C6016">
        <w:rPr>
          <w:sz w:val="16"/>
          <w:szCs w:val="16"/>
          <w:lang w:val="en-GB"/>
        </w:rPr>
        <w:t>.</w:t>
      </w:r>
    </w:p>
    <w:p w14:paraId="57827C69" w14:textId="4920A103" w:rsidR="00FA2079" w:rsidRPr="00F56853" w:rsidRDefault="00045285" w:rsidP="002F194E">
      <w:pPr>
        <w:spacing w:after="120" w:line="240" w:lineRule="auto"/>
        <w:rPr>
          <w:sz w:val="16"/>
          <w:szCs w:val="16"/>
          <w:lang w:val="en-US"/>
        </w:rPr>
      </w:pPr>
      <w:r>
        <w:rPr>
          <w:sz w:val="16"/>
          <w:szCs w:val="16"/>
          <w:vertAlign w:val="superscript"/>
          <w:lang w:val="en-US"/>
        </w:rPr>
        <w:t>b</w:t>
      </w:r>
      <w:r w:rsidR="00FA2079" w:rsidRPr="00F56853">
        <w:rPr>
          <w:sz w:val="16"/>
          <w:szCs w:val="16"/>
          <w:lang w:val="en-US"/>
        </w:rPr>
        <w:t xml:space="preserve"> </w:t>
      </w:r>
      <w:r w:rsidR="004C6016">
        <w:rPr>
          <w:sz w:val="16"/>
          <w:szCs w:val="16"/>
          <w:lang w:val="en-US"/>
        </w:rPr>
        <w:t>I</w:t>
      </w:r>
      <w:r w:rsidR="00FA2079" w:rsidRPr="00F56853">
        <w:rPr>
          <w:sz w:val="16"/>
          <w:szCs w:val="16"/>
          <w:lang w:val="en-US"/>
        </w:rPr>
        <w:t>t was not possible to discriminate between *10, *14, *37, *47, *49, *52, *54, *56B, *57, *65, *72, *87, *94, *95, *100 and *101. The haplotype reported was *10. It was not possible to discriminate between *41 and *91. The haplotype reported was *41.</w:t>
      </w:r>
    </w:p>
    <w:p w14:paraId="43EB9B2A" w14:textId="03CDD912" w:rsidR="00FA2079" w:rsidRDefault="00045285" w:rsidP="002F194E">
      <w:pPr>
        <w:spacing w:after="120" w:line="240" w:lineRule="auto"/>
        <w:rPr>
          <w:sz w:val="16"/>
          <w:szCs w:val="16"/>
          <w:lang w:val="en-US"/>
        </w:rPr>
      </w:pPr>
      <w:r>
        <w:rPr>
          <w:sz w:val="16"/>
          <w:szCs w:val="16"/>
          <w:vertAlign w:val="superscript"/>
          <w:lang w:val="en-US"/>
        </w:rPr>
        <w:t>c</w:t>
      </w:r>
      <w:r w:rsidR="00FA2079" w:rsidRPr="00F56853">
        <w:rPr>
          <w:sz w:val="16"/>
          <w:szCs w:val="16"/>
          <w:lang w:val="en-US"/>
        </w:rPr>
        <w:t xml:space="preserve"> </w:t>
      </w:r>
      <w:r w:rsidR="004C6016">
        <w:rPr>
          <w:sz w:val="16"/>
          <w:szCs w:val="16"/>
          <w:lang w:val="en-US"/>
        </w:rPr>
        <w:t>I</w:t>
      </w:r>
      <w:r w:rsidR="00FA2079" w:rsidRPr="00F56853">
        <w:rPr>
          <w:sz w:val="16"/>
          <w:szCs w:val="16"/>
          <w:lang w:val="en-US"/>
        </w:rPr>
        <w:t>t was not possible to discriminate between *1/*4 and *4M/*10</w:t>
      </w:r>
      <w:r w:rsidR="00BD65D6">
        <w:rPr>
          <w:sz w:val="16"/>
          <w:szCs w:val="16"/>
          <w:lang w:val="en-US"/>
        </w:rPr>
        <w:t>, and</w:t>
      </w:r>
      <w:r w:rsidR="00FA2079" w:rsidRPr="00F56853">
        <w:rPr>
          <w:sz w:val="16"/>
          <w:szCs w:val="16"/>
          <w:lang w:val="en-US"/>
        </w:rPr>
        <w:t xml:space="preserve"> *4/*41 and *4M/*69.</w:t>
      </w:r>
      <w:r w:rsidR="00FA2079">
        <w:rPr>
          <w:sz w:val="16"/>
          <w:szCs w:val="16"/>
          <w:lang w:val="en-US"/>
        </w:rPr>
        <w:t xml:space="preserve"> F</w:t>
      </w:r>
      <w:r w:rsidR="00FA2079" w:rsidRPr="00F56853">
        <w:rPr>
          <w:sz w:val="16"/>
          <w:szCs w:val="16"/>
          <w:lang w:val="en-US"/>
        </w:rPr>
        <w:t xml:space="preserve">or these </w:t>
      </w:r>
      <w:proofErr w:type="spellStart"/>
      <w:r w:rsidR="00FA2079" w:rsidRPr="00F56853">
        <w:rPr>
          <w:sz w:val="16"/>
          <w:szCs w:val="16"/>
          <w:lang w:val="en-US"/>
        </w:rPr>
        <w:t>diplotypes</w:t>
      </w:r>
      <w:proofErr w:type="spellEnd"/>
      <w:r w:rsidR="00FA2079" w:rsidRPr="00F56853">
        <w:rPr>
          <w:sz w:val="16"/>
          <w:szCs w:val="16"/>
          <w:lang w:val="en-US"/>
        </w:rPr>
        <w:t xml:space="preserve"> only</w:t>
      </w:r>
      <w:r w:rsidR="004C6016">
        <w:rPr>
          <w:sz w:val="16"/>
          <w:szCs w:val="16"/>
          <w:lang w:val="en-US"/>
        </w:rPr>
        <w:t>,</w:t>
      </w:r>
      <w:r w:rsidR="00FA2079" w:rsidRPr="00F56853">
        <w:rPr>
          <w:sz w:val="16"/>
          <w:szCs w:val="16"/>
          <w:lang w:val="en-US"/>
        </w:rPr>
        <w:t xml:space="preserve"> the predicted phenotypes were reported.</w:t>
      </w:r>
    </w:p>
    <w:p w14:paraId="40AC7DFD" w14:textId="0B0D2703" w:rsidR="00FA2079" w:rsidRPr="00FF6300" w:rsidRDefault="00045285" w:rsidP="002F194E">
      <w:pPr>
        <w:spacing w:after="120" w:line="240" w:lineRule="auto"/>
        <w:rPr>
          <w:sz w:val="16"/>
          <w:szCs w:val="16"/>
          <w:lang w:val="en-US"/>
        </w:rPr>
      </w:pPr>
      <w:r>
        <w:rPr>
          <w:sz w:val="16"/>
          <w:szCs w:val="16"/>
          <w:vertAlign w:val="superscript"/>
          <w:lang w:val="en-US"/>
        </w:rPr>
        <w:t>d</w:t>
      </w:r>
      <w:r w:rsidR="00FA2079">
        <w:rPr>
          <w:sz w:val="16"/>
          <w:szCs w:val="16"/>
          <w:vertAlign w:val="superscript"/>
          <w:lang w:val="en-US"/>
        </w:rPr>
        <w:t xml:space="preserve"> </w:t>
      </w:r>
      <w:r w:rsidR="004C6016">
        <w:rPr>
          <w:sz w:val="16"/>
          <w:szCs w:val="16"/>
          <w:lang w:val="en-US"/>
        </w:rPr>
        <w:t>I</w:t>
      </w:r>
      <w:r w:rsidR="00FA2079">
        <w:rPr>
          <w:sz w:val="16"/>
          <w:szCs w:val="16"/>
          <w:lang w:val="en-US"/>
        </w:rPr>
        <w:t>t was not possible to discriminate which star alleles were located in tandem configuration. For this individual only</w:t>
      </w:r>
      <w:r w:rsidR="004C6016">
        <w:rPr>
          <w:sz w:val="16"/>
          <w:szCs w:val="16"/>
          <w:lang w:val="en-US"/>
        </w:rPr>
        <w:t>,</w:t>
      </w:r>
      <w:r w:rsidR="00FA2079">
        <w:rPr>
          <w:sz w:val="16"/>
          <w:szCs w:val="16"/>
          <w:lang w:val="en-US"/>
        </w:rPr>
        <w:t xml:space="preserve"> the predicted phenotype was reported. </w:t>
      </w:r>
    </w:p>
    <w:p w14:paraId="6FDB2D5B" w14:textId="129E5CA8" w:rsidR="00F1622E" w:rsidRDefault="00045285" w:rsidP="002F194E">
      <w:pPr>
        <w:spacing w:after="120" w:line="240" w:lineRule="auto"/>
        <w:rPr>
          <w:sz w:val="16"/>
          <w:szCs w:val="16"/>
          <w:lang w:val="en-US"/>
        </w:rPr>
      </w:pPr>
      <w:r>
        <w:rPr>
          <w:sz w:val="16"/>
          <w:szCs w:val="16"/>
          <w:vertAlign w:val="superscript"/>
          <w:lang w:val="en-US"/>
        </w:rPr>
        <w:t>e</w:t>
      </w:r>
      <w:r w:rsidR="00FA2079" w:rsidRPr="00F56853">
        <w:rPr>
          <w:sz w:val="16"/>
          <w:szCs w:val="16"/>
          <w:lang w:val="en-US"/>
        </w:rPr>
        <w:t xml:space="preserve"> </w:t>
      </w:r>
      <w:r w:rsidR="004C6016">
        <w:rPr>
          <w:sz w:val="16"/>
          <w:szCs w:val="16"/>
          <w:lang w:val="en-US"/>
        </w:rPr>
        <w:t>I</w:t>
      </w:r>
      <w:r w:rsidR="00FA2079" w:rsidRPr="00F56853">
        <w:rPr>
          <w:sz w:val="16"/>
          <w:szCs w:val="16"/>
          <w:lang w:val="en-US"/>
        </w:rPr>
        <w:t xml:space="preserve">t was not possible to discriminate between *1/*3A and *3B/*3C. The </w:t>
      </w:r>
      <w:proofErr w:type="spellStart"/>
      <w:r>
        <w:rPr>
          <w:sz w:val="16"/>
          <w:szCs w:val="16"/>
          <w:lang w:val="en-US"/>
        </w:rPr>
        <w:t>diplotype</w:t>
      </w:r>
      <w:proofErr w:type="spellEnd"/>
      <w:r w:rsidR="00FA2079" w:rsidRPr="00F56853">
        <w:rPr>
          <w:sz w:val="16"/>
          <w:szCs w:val="16"/>
          <w:lang w:val="en-US"/>
        </w:rPr>
        <w:t xml:space="preserve"> reported was *1/*3A.</w:t>
      </w:r>
    </w:p>
    <w:p w14:paraId="0C1E16BE" w14:textId="60556635" w:rsidR="00B95044" w:rsidRPr="00B95044" w:rsidRDefault="002021E2" w:rsidP="00B95044">
      <w:pPr>
        <w:pStyle w:val="Bibliography"/>
        <w:rPr>
          <w:rFonts w:ascii="Calibri"/>
          <w:lang w:val="en-US"/>
        </w:rPr>
      </w:pPr>
      <w:r>
        <w:rPr>
          <w:rFonts w:ascii="Calibri"/>
          <w:lang w:val="en-US"/>
        </w:rPr>
        <w:lastRenderedPageBreak/>
        <w:fldChar w:fldCharType="begin"/>
      </w:r>
      <w:r w:rsidR="002706D5">
        <w:rPr>
          <w:rFonts w:ascii="Calibri"/>
          <w:lang w:val="en-US"/>
        </w:rPr>
        <w:instrText xml:space="preserve"> ADDIN ZOTERO_BIBL {"uncited":[],"omitted":[],"custom":[]} CSL_BIBLIOGRAPHY </w:instrText>
      </w:r>
      <w:r>
        <w:rPr>
          <w:rFonts w:ascii="Calibri"/>
          <w:lang w:val="en-US"/>
        </w:rPr>
        <w:fldChar w:fldCharType="separate"/>
      </w:r>
      <w:r w:rsidR="00B95044" w:rsidRPr="00B95044">
        <w:rPr>
          <w:rFonts w:ascii="Calibri"/>
          <w:lang w:val="en-US"/>
        </w:rPr>
        <w:t>1.</w:t>
      </w:r>
      <w:r w:rsidR="00B95044" w:rsidRPr="00B95044">
        <w:rPr>
          <w:rFonts w:ascii="Calibri"/>
          <w:lang w:val="en-US"/>
        </w:rPr>
        <w:tab/>
        <w:t xml:space="preserve">Ghotbi, R. </w:t>
      </w:r>
      <w:r w:rsidR="00B95044" w:rsidRPr="00B95044">
        <w:rPr>
          <w:rFonts w:ascii="Calibri"/>
          <w:i/>
          <w:iCs/>
          <w:lang w:val="en-US"/>
        </w:rPr>
        <w:t>et al.</w:t>
      </w:r>
      <w:r w:rsidR="00B95044" w:rsidRPr="00B95044">
        <w:rPr>
          <w:rFonts w:ascii="Calibri"/>
          <w:lang w:val="en-US"/>
        </w:rPr>
        <w:t xml:space="preserve"> Comparisons of CYP1A2 genetic polymorphisms, enzyme activity and the genotype-phenotype relationship in Swedes and Koreans. </w:t>
      </w:r>
      <w:r w:rsidR="00B95044" w:rsidRPr="00B95044">
        <w:rPr>
          <w:rFonts w:ascii="Calibri"/>
          <w:i/>
          <w:iCs/>
          <w:lang w:val="en-US"/>
        </w:rPr>
        <w:t>Eur. J. Clin. Pharmacol.</w:t>
      </w:r>
      <w:r w:rsidR="00B95044" w:rsidRPr="00B95044">
        <w:rPr>
          <w:rFonts w:ascii="Calibri"/>
          <w:lang w:val="en-US"/>
        </w:rPr>
        <w:t xml:space="preserve"> </w:t>
      </w:r>
      <w:r w:rsidR="00B95044" w:rsidRPr="00B95044">
        <w:rPr>
          <w:rFonts w:ascii="Calibri"/>
          <w:b/>
          <w:bCs/>
          <w:lang w:val="en-US"/>
        </w:rPr>
        <w:t>63</w:t>
      </w:r>
      <w:r w:rsidR="00B95044" w:rsidRPr="00B95044">
        <w:rPr>
          <w:rFonts w:ascii="Calibri"/>
          <w:lang w:val="en-US"/>
        </w:rPr>
        <w:t>, 537–546 (2007).</w:t>
      </w:r>
    </w:p>
    <w:p w14:paraId="795B318A" w14:textId="77777777" w:rsidR="00B95044" w:rsidRPr="00B95044" w:rsidRDefault="00B95044" w:rsidP="00B95044">
      <w:pPr>
        <w:pStyle w:val="Bibliography"/>
        <w:rPr>
          <w:rFonts w:ascii="Calibri"/>
          <w:lang w:val="en-US"/>
        </w:rPr>
      </w:pPr>
      <w:r w:rsidRPr="00B95044">
        <w:rPr>
          <w:rFonts w:ascii="Calibri"/>
          <w:lang w:val="en-US"/>
        </w:rPr>
        <w:t>2.</w:t>
      </w:r>
      <w:r w:rsidRPr="00B95044">
        <w:rPr>
          <w:rFonts w:ascii="Calibri"/>
          <w:lang w:val="en-US"/>
        </w:rPr>
        <w:tab/>
        <w:t xml:space="preserve">Zhou, S.-F., Wang, B., Yang, L.-P. &amp; Liu, J.-P. Structure, function, regulation and polymorphism and the clinical significance of human cytochrome P450 1A2. </w:t>
      </w:r>
      <w:r w:rsidRPr="00B95044">
        <w:rPr>
          <w:rFonts w:ascii="Calibri"/>
          <w:i/>
          <w:iCs/>
          <w:lang w:val="en-US"/>
        </w:rPr>
        <w:t>Drug Metab. Rev.</w:t>
      </w:r>
      <w:r w:rsidRPr="00B95044">
        <w:rPr>
          <w:rFonts w:ascii="Calibri"/>
          <w:lang w:val="en-US"/>
        </w:rPr>
        <w:t xml:space="preserve"> </w:t>
      </w:r>
      <w:r w:rsidRPr="00B95044">
        <w:rPr>
          <w:rFonts w:ascii="Calibri"/>
          <w:b/>
          <w:bCs/>
          <w:lang w:val="en-US"/>
        </w:rPr>
        <w:t>42</w:t>
      </w:r>
      <w:r w:rsidRPr="00B95044">
        <w:rPr>
          <w:rFonts w:ascii="Calibri"/>
          <w:lang w:val="en-US"/>
        </w:rPr>
        <w:t>, 268–354 (2010).</w:t>
      </w:r>
    </w:p>
    <w:p w14:paraId="3A887604" w14:textId="77777777" w:rsidR="00B95044" w:rsidRPr="00B95044" w:rsidRDefault="00B95044" w:rsidP="00B95044">
      <w:pPr>
        <w:pStyle w:val="Bibliography"/>
        <w:rPr>
          <w:rFonts w:ascii="Calibri"/>
          <w:lang w:val="en-US"/>
        </w:rPr>
      </w:pPr>
      <w:r w:rsidRPr="00B95044">
        <w:rPr>
          <w:rFonts w:ascii="Calibri"/>
          <w:lang w:val="en-US"/>
        </w:rPr>
        <w:t>3.</w:t>
      </w:r>
      <w:r w:rsidRPr="00B95044">
        <w:rPr>
          <w:rFonts w:ascii="Calibri"/>
          <w:lang w:val="en-US"/>
        </w:rPr>
        <w:tab/>
        <w:t xml:space="preserve">Weide, J. van der, Steijns, L. S. &amp; Weelden, M. J. van The effect of smoking and cytochrome P450 CYP1A2 genetic polymorphism on clozapine clearance and dose requirement. </w:t>
      </w:r>
      <w:r w:rsidRPr="00B95044">
        <w:rPr>
          <w:rFonts w:ascii="Calibri"/>
          <w:i/>
          <w:iCs/>
          <w:lang w:val="en-US"/>
        </w:rPr>
        <w:t>Pharmacogenetics</w:t>
      </w:r>
      <w:r w:rsidRPr="00B95044">
        <w:rPr>
          <w:rFonts w:ascii="Calibri"/>
          <w:lang w:val="en-US"/>
        </w:rPr>
        <w:t xml:space="preserve"> </w:t>
      </w:r>
      <w:r w:rsidRPr="00B95044">
        <w:rPr>
          <w:rFonts w:ascii="Calibri"/>
          <w:b/>
          <w:bCs/>
          <w:lang w:val="en-US"/>
        </w:rPr>
        <w:t>13</w:t>
      </w:r>
      <w:r w:rsidRPr="00B95044">
        <w:rPr>
          <w:rFonts w:ascii="Calibri"/>
          <w:lang w:val="en-US"/>
        </w:rPr>
        <w:t>, 169–172 (2003).</w:t>
      </w:r>
    </w:p>
    <w:p w14:paraId="20244D19" w14:textId="77777777" w:rsidR="00B95044" w:rsidRPr="00B95044" w:rsidRDefault="00B95044" w:rsidP="00B95044">
      <w:pPr>
        <w:pStyle w:val="Bibliography"/>
        <w:rPr>
          <w:rFonts w:ascii="Calibri"/>
          <w:lang w:val="en-US"/>
        </w:rPr>
      </w:pPr>
      <w:r w:rsidRPr="00B95044">
        <w:rPr>
          <w:rFonts w:ascii="Calibri"/>
          <w:lang w:val="en-US"/>
        </w:rPr>
        <w:t>4.</w:t>
      </w:r>
      <w:r w:rsidRPr="00B95044">
        <w:rPr>
          <w:rFonts w:ascii="Calibri"/>
          <w:lang w:val="en-US"/>
        </w:rPr>
        <w:tab/>
        <w:t xml:space="preserve">Söderberg, M. M., Haslemo, T., Molden, E. &amp; Dahl, M.-L. Influence of CYP1A1/CYP1A2 and AHR polymorphisms on systemic olanzapine exposure. </w:t>
      </w:r>
      <w:r w:rsidRPr="00B95044">
        <w:rPr>
          <w:rFonts w:ascii="Calibri"/>
          <w:i/>
          <w:iCs/>
          <w:lang w:val="en-US"/>
        </w:rPr>
        <w:t>Pharmacogenet. Genomics</w:t>
      </w:r>
      <w:r w:rsidRPr="00B95044">
        <w:rPr>
          <w:rFonts w:ascii="Calibri"/>
          <w:lang w:val="en-US"/>
        </w:rPr>
        <w:t xml:space="preserve"> </w:t>
      </w:r>
      <w:r w:rsidRPr="00B95044">
        <w:rPr>
          <w:rFonts w:ascii="Calibri"/>
          <w:b/>
          <w:bCs/>
          <w:lang w:val="en-US"/>
        </w:rPr>
        <w:t>23</w:t>
      </w:r>
      <w:r w:rsidRPr="00B95044">
        <w:rPr>
          <w:rFonts w:ascii="Calibri"/>
          <w:lang w:val="en-US"/>
        </w:rPr>
        <w:t>, 279–285 (2013).</w:t>
      </w:r>
    </w:p>
    <w:p w14:paraId="2BAE8329" w14:textId="77777777" w:rsidR="00B95044" w:rsidRPr="00B95044" w:rsidRDefault="00B95044" w:rsidP="00B95044">
      <w:pPr>
        <w:pStyle w:val="Bibliography"/>
        <w:rPr>
          <w:rFonts w:ascii="Calibri"/>
        </w:rPr>
      </w:pPr>
      <w:r w:rsidRPr="00B95044">
        <w:rPr>
          <w:rFonts w:ascii="Calibri"/>
          <w:lang w:val="en-US"/>
        </w:rPr>
        <w:t>5.</w:t>
      </w:r>
      <w:r w:rsidRPr="00B95044">
        <w:rPr>
          <w:rFonts w:ascii="Calibri"/>
          <w:lang w:val="en-US"/>
        </w:rPr>
        <w:tab/>
        <w:t xml:space="preserve">Zhou, Y., Ingelman-Sundberg, M. &amp; Lauschke, V. Worldwide Distribution of Cytochrome P450 Alleles: A Meta-analysis of Population-scale Sequencing Projects. </w:t>
      </w:r>
      <w:r w:rsidRPr="00B95044">
        <w:rPr>
          <w:rFonts w:ascii="Calibri"/>
          <w:i/>
          <w:iCs/>
        </w:rPr>
        <w:t>Clin. Pharmacol. Ther.</w:t>
      </w:r>
      <w:r w:rsidRPr="00B95044">
        <w:rPr>
          <w:rFonts w:ascii="Calibri"/>
        </w:rPr>
        <w:t xml:space="preserve"> </w:t>
      </w:r>
      <w:r w:rsidRPr="00B95044">
        <w:rPr>
          <w:rFonts w:ascii="Calibri"/>
          <w:b/>
          <w:bCs/>
        </w:rPr>
        <w:t>102</w:t>
      </w:r>
      <w:r w:rsidRPr="00B95044">
        <w:rPr>
          <w:rFonts w:ascii="Calibri"/>
        </w:rPr>
        <w:t>, 688–700 (2017).</w:t>
      </w:r>
    </w:p>
    <w:p w14:paraId="60EA95E2" w14:textId="77777777" w:rsidR="00B95044" w:rsidRPr="00B95044" w:rsidRDefault="00B95044" w:rsidP="00B95044">
      <w:pPr>
        <w:pStyle w:val="Bibliography"/>
        <w:rPr>
          <w:rFonts w:ascii="Calibri"/>
          <w:lang w:val="en-US"/>
        </w:rPr>
      </w:pPr>
      <w:r w:rsidRPr="00B95044">
        <w:rPr>
          <w:rFonts w:ascii="Calibri"/>
        </w:rPr>
        <w:t>6.</w:t>
      </w:r>
      <w:r w:rsidRPr="00B95044">
        <w:rPr>
          <w:rFonts w:ascii="Calibri"/>
        </w:rPr>
        <w:tab/>
        <w:t xml:space="preserve">Koninklijke Nederlandse Maatschappij ter bevordering der Pharmacie Algemene achtergrondtekst Farmacogenetica - CYP2B6. </w:t>
      </w:r>
      <w:r w:rsidRPr="00B95044">
        <w:rPr>
          <w:rFonts w:ascii="Calibri"/>
          <w:lang w:val="en-US"/>
        </w:rPr>
        <w:t>(2017).</w:t>
      </w:r>
    </w:p>
    <w:p w14:paraId="2284DEB6" w14:textId="77777777" w:rsidR="00B95044" w:rsidRPr="00B95044" w:rsidRDefault="00B95044" w:rsidP="00B95044">
      <w:pPr>
        <w:pStyle w:val="Bibliography"/>
        <w:rPr>
          <w:rFonts w:ascii="Calibri"/>
          <w:lang w:val="en-US"/>
        </w:rPr>
      </w:pPr>
      <w:r w:rsidRPr="00B95044">
        <w:rPr>
          <w:rFonts w:ascii="Calibri"/>
          <w:lang w:val="en-US"/>
        </w:rPr>
        <w:t>7.</w:t>
      </w:r>
      <w:r w:rsidRPr="00B95044">
        <w:rPr>
          <w:rFonts w:ascii="Calibri"/>
          <w:lang w:val="en-US"/>
        </w:rPr>
        <w:tab/>
        <w:t xml:space="preserve">Caudle, K. E. </w:t>
      </w:r>
      <w:r w:rsidRPr="00B95044">
        <w:rPr>
          <w:rFonts w:ascii="Calibri"/>
          <w:i/>
          <w:iCs/>
          <w:lang w:val="en-US"/>
        </w:rPr>
        <w:t>et al.</w:t>
      </w:r>
      <w:r w:rsidRPr="00B95044">
        <w:rPr>
          <w:rFonts w:ascii="Calibri"/>
          <w:lang w:val="en-US"/>
        </w:rPr>
        <w:t xml:space="preserve"> Clinical Pharmacogenetics Implementation Consortium Guidelines for CYP2C9 and HLA-B Genotypes and Phenytoin Dosing. </w:t>
      </w:r>
      <w:r w:rsidRPr="00B95044">
        <w:rPr>
          <w:rFonts w:ascii="Calibri"/>
          <w:i/>
          <w:iCs/>
          <w:lang w:val="en-US"/>
        </w:rPr>
        <w:t>Clin. Pharmacol. Ther.</w:t>
      </w:r>
      <w:r w:rsidRPr="00B95044">
        <w:rPr>
          <w:rFonts w:ascii="Calibri"/>
          <w:lang w:val="en-US"/>
        </w:rPr>
        <w:t xml:space="preserve"> </w:t>
      </w:r>
      <w:r w:rsidRPr="00B95044">
        <w:rPr>
          <w:rFonts w:ascii="Calibri"/>
          <w:b/>
          <w:bCs/>
          <w:lang w:val="en-US"/>
        </w:rPr>
        <w:t>96</w:t>
      </w:r>
      <w:r w:rsidRPr="00B95044">
        <w:rPr>
          <w:rFonts w:ascii="Calibri"/>
          <w:lang w:val="en-US"/>
        </w:rPr>
        <w:t>, 542–548 (2014).</w:t>
      </w:r>
    </w:p>
    <w:p w14:paraId="5E60BD43" w14:textId="77777777" w:rsidR="00B95044" w:rsidRPr="00B95044" w:rsidRDefault="00B95044" w:rsidP="00B95044">
      <w:pPr>
        <w:pStyle w:val="Bibliography"/>
        <w:rPr>
          <w:rFonts w:ascii="Calibri"/>
          <w:lang w:val="en-US"/>
        </w:rPr>
      </w:pPr>
      <w:r w:rsidRPr="00B95044">
        <w:rPr>
          <w:rFonts w:ascii="Calibri"/>
          <w:lang w:val="en-US"/>
        </w:rPr>
        <w:t>8.</w:t>
      </w:r>
      <w:r w:rsidRPr="00B95044">
        <w:rPr>
          <w:rFonts w:ascii="Calibri"/>
          <w:lang w:val="en-US"/>
        </w:rPr>
        <w:tab/>
        <w:t xml:space="preserve">Scott, S. A. </w:t>
      </w:r>
      <w:r w:rsidRPr="00B95044">
        <w:rPr>
          <w:rFonts w:ascii="Calibri"/>
          <w:i/>
          <w:iCs/>
          <w:lang w:val="en-US"/>
        </w:rPr>
        <w:t>et al.</w:t>
      </w:r>
      <w:r w:rsidRPr="00B95044">
        <w:rPr>
          <w:rFonts w:ascii="Calibri"/>
          <w:lang w:val="en-US"/>
        </w:rPr>
        <w:t xml:space="preserve"> Clinical Pharmacogenetics Implementation Consortium Guidelines for CYP2C19 Genotype and Clopidogrel Therapy: 2013 Update. </w:t>
      </w:r>
      <w:r w:rsidRPr="00B95044">
        <w:rPr>
          <w:rFonts w:ascii="Calibri"/>
          <w:i/>
          <w:iCs/>
          <w:lang w:val="en-US"/>
        </w:rPr>
        <w:t>Clin. Pharmacol. Ther.</w:t>
      </w:r>
      <w:r w:rsidRPr="00B95044">
        <w:rPr>
          <w:rFonts w:ascii="Calibri"/>
          <w:lang w:val="en-US"/>
        </w:rPr>
        <w:t xml:space="preserve"> </w:t>
      </w:r>
      <w:r w:rsidRPr="00B95044">
        <w:rPr>
          <w:rFonts w:ascii="Calibri"/>
          <w:b/>
          <w:bCs/>
          <w:lang w:val="en-US"/>
        </w:rPr>
        <w:t>94</w:t>
      </w:r>
      <w:r w:rsidRPr="00B95044">
        <w:rPr>
          <w:rFonts w:ascii="Calibri"/>
          <w:lang w:val="en-US"/>
        </w:rPr>
        <w:t>, 317–323 (2013).</w:t>
      </w:r>
    </w:p>
    <w:p w14:paraId="4049A8AE" w14:textId="77777777" w:rsidR="00B95044" w:rsidRPr="00B95044" w:rsidRDefault="00B95044" w:rsidP="00B95044">
      <w:pPr>
        <w:pStyle w:val="Bibliography"/>
        <w:rPr>
          <w:rFonts w:ascii="Calibri"/>
          <w:lang w:val="en-US"/>
        </w:rPr>
      </w:pPr>
      <w:r w:rsidRPr="00B95044">
        <w:rPr>
          <w:rFonts w:ascii="Calibri"/>
          <w:lang w:val="en-US"/>
        </w:rPr>
        <w:t>9.</w:t>
      </w:r>
      <w:r w:rsidRPr="00B95044">
        <w:rPr>
          <w:rFonts w:ascii="Calibri"/>
          <w:lang w:val="en-US"/>
        </w:rPr>
        <w:tab/>
        <w:t xml:space="preserve">Ionova, Y. </w:t>
      </w:r>
      <w:r w:rsidRPr="00B95044">
        <w:rPr>
          <w:rFonts w:ascii="Calibri"/>
          <w:i/>
          <w:iCs/>
          <w:lang w:val="en-US"/>
        </w:rPr>
        <w:t>et al.</w:t>
      </w:r>
      <w:r w:rsidRPr="00B95044">
        <w:rPr>
          <w:rFonts w:ascii="Calibri"/>
          <w:lang w:val="en-US"/>
        </w:rPr>
        <w:t xml:space="preserve"> CYP2C19 Allele Frequencies in Over 2.2 Million Direct</w:t>
      </w:r>
      <w:r w:rsidRPr="00B95044">
        <w:rPr>
          <w:rFonts w:ascii="Calibri" w:cs="Cambria Math"/>
          <w:lang w:val="en-US"/>
        </w:rPr>
        <w:t>‐</w:t>
      </w:r>
      <w:r w:rsidRPr="00B95044">
        <w:rPr>
          <w:rFonts w:ascii="Calibri"/>
          <w:lang w:val="en-US"/>
        </w:rPr>
        <w:t>to</w:t>
      </w:r>
      <w:r w:rsidRPr="00B95044">
        <w:rPr>
          <w:rFonts w:ascii="Calibri" w:cs="Cambria Math"/>
          <w:lang w:val="en-US"/>
        </w:rPr>
        <w:t>‐</w:t>
      </w:r>
      <w:r w:rsidRPr="00B95044">
        <w:rPr>
          <w:rFonts w:ascii="Calibri"/>
          <w:lang w:val="en-US"/>
        </w:rPr>
        <w:t xml:space="preserve">Consumer Genetics Research Participants and the Potential Implication for Prescriptions in a Large Health System. </w:t>
      </w:r>
      <w:r w:rsidRPr="00B95044">
        <w:rPr>
          <w:rFonts w:ascii="Calibri"/>
          <w:i/>
          <w:iCs/>
          <w:lang w:val="en-US"/>
        </w:rPr>
        <w:t>Clin. Transl. Sci.</w:t>
      </w:r>
      <w:r w:rsidRPr="00B95044">
        <w:rPr>
          <w:rFonts w:ascii="Calibri"/>
          <w:lang w:val="en-US"/>
        </w:rPr>
        <w:t xml:space="preserve"> cts.12830 (2020).doi:10.1111/cts.12830</w:t>
      </w:r>
    </w:p>
    <w:p w14:paraId="64D8DFEB" w14:textId="77777777" w:rsidR="00B95044" w:rsidRPr="00B95044" w:rsidRDefault="00B95044" w:rsidP="00B95044">
      <w:pPr>
        <w:pStyle w:val="Bibliography"/>
        <w:rPr>
          <w:rFonts w:ascii="Calibri"/>
        </w:rPr>
      </w:pPr>
      <w:r w:rsidRPr="00B95044">
        <w:rPr>
          <w:rFonts w:ascii="Calibri"/>
          <w:lang w:val="en-US"/>
        </w:rPr>
        <w:t>10.</w:t>
      </w:r>
      <w:r w:rsidRPr="00B95044">
        <w:rPr>
          <w:rFonts w:ascii="Calibri"/>
          <w:lang w:val="en-US"/>
        </w:rPr>
        <w:tab/>
        <w:t xml:space="preserve">Whirl-Carrillo, M. </w:t>
      </w:r>
      <w:r w:rsidRPr="00B95044">
        <w:rPr>
          <w:rFonts w:ascii="Calibri"/>
          <w:i/>
          <w:iCs/>
          <w:lang w:val="en-US"/>
        </w:rPr>
        <w:t>et al.</w:t>
      </w:r>
      <w:r w:rsidRPr="00B95044">
        <w:rPr>
          <w:rFonts w:ascii="Calibri"/>
          <w:lang w:val="en-US"/>
        </w:rPr>
        <w:t xml:space="preserve"> Pharmacogenomics Knowledge for Personalized Medicine. </w:t>
      </w:r>
      <w:r w:rsidRPr="00B95044">
        <w:rPr>
          <w:rFonts w:ascii="Calibri"/>
          <w:i/>
          <w:iCs/>
        </w:rPr>
        <w:t>Clin. Pharmacol. Ther.</w:t>
      </w:r>
      <w:r w:rsidRPr="00B95044">
        <w:rPr>
          <w:rFonts w:ascii="Calibri"/>
        </w:rPr>
        <w:t xml:space="preserve"> </w:t>
      </w:r>
      <w:r w:rsidRPr="00B95044">
        <w:rPr>
          <w:rFonts w:ascii="Calibri"/>
          <w:b/>
          <w:bCs/>
        </w:rPr>
        <w:t>92</w:t>
      </w:r>
      <w:r w:rsidRPr="00B95044">
        <w:rPr>
          <w:rFonts w:ascii="Calibri"/>
        </w:rPr>
        <w:t>, 414–417 (2012).</w:t>
      </w:r>
    </w:p>
    <w:p w14:paraId="6F1329DD" w14:textId="77777777" w:rsidR="00B95044" w:rsidRPr="00B95044" w:rsidRDefault="00B95044" w:rsidP="00B95044">
      <w:pPr>
        <w:pStyle w:val="Bibliography"/>
        <w:rPr>
          <w:rFonts w:ascii="Calibri"/>
          <w:lang w:val="en-US"/>
        </w:rPr>
      </w:pPr>
      <w:r w:rsidRPr="00B95044">
        <w:rPr>
          <w:rFonts w:ascii="Calibri"/>
        </w:rPr>
        <w:t>11.</w:t>
      </w:r>
      <w:r w:rsidRPr="00B95044">
        <w:rPr>
          <w:rFonts w:ascii="Calibri"/>
        </w:rPr>
        <w:tab/>
        <w:t xml:space="preserve">Koninklijke Nederlandse Maatschappij ter bevordering der Pharmacie Algemene achtergrondtekst Farmacogenetica - CYP2D6. </w:t>
      </w:r>
      <w:r w:rsidRPr="00B95044">
        <w:rPr>
          <w:rFonts w:ascii="Calibri"/>
          <w:lang w:val="en-US"/>
        </w:rPr>
        <w:t>(2020).</w:t>
      </w:r>
    </w:p>
    <w:p w14:paraId="4D39E7EA" w14:textId="77777777" w:rsidR="00B95044" w:rsidRPr="00B95044" w:rsidRDefault="00B95044" w:rsidP="00B95044">
      <w:pPr>
        <w:pStyle w:val="Bibliography"/>
        <w:rPr>
          <w:rFonts w:ascii="Calibri"/>
        </w:rPr>
      </w:pPr>
      <w:r w:rsidRPr="00B95044">
        <w:rPr>
          <w:rFonts w:ascii="Calibri"/>
          <w:lang w:val="en-US"/>
        </w:rPr>
        <w:lastRenderedPageBreak/>
        <w:t>12.</w:t>
      </w:r>
      <w:r w:rsidRPr="00B95044">
        <w:rPr>
          <w:rFonts w:ascii="Calibri"/>
          <w:lang w:val="en-US"/>
        </w:rPr>
        <w:tab/>
        <w:t xml:space="preserve">Elens, L. </w:t>
      </w:r>
      <w:r w:rsidRPr="00B95044">
        <w:rPr>
          <w:rFonts w:ascii="Calibri"/>
          <w:i/>
          <w:iCs/>
          <w:lang w:val="en-US"/>
        </w:rPr>
        <w:t>et al.</w:t>
      </w:r>
      <w:r w:rsidRPr="00B95044">
        <w:rPr>
          <w:rFonts w:ascii="Calibri"/>
          <w:lang w:val="en-US"/>
        </w:rPr>
        <w:t xml:space="preserve"> The new CYP3A4 intron 6 C&gt;T polymorphism (CYP3A4*22) is associated with an increased risk of delayed graft function and worse renal function in cyclosporine-treated kidney transplant patients: </w:t>
      </w:r>
      <w:r w:rsidRPr="00B95044">
        <w:rPr>
          <w:rFonts w:ascii="Calibri"/>
          <w:i/>
          <w:iCs/>
          <w:lang w:val="en-US"/>
        </w:rPr>
        <w:t xml:space="preserve">Pharmacogenet. </w:t>
      </w:r>
      <w:r w:rsidRPr="00B95044">
        <w:rPr>
          <w:rFonts w:ascii="Calibri"/>
          <w:i/>
          <w:iCs/>
        </w:rPr>
        <w:t>Genomics</w:t>
      </w:r>
      <w:r w:rsidRPr="00B95044">
        <w:rPr>
          <w:rFonts w:ascii="Calibri"/>
        </w:rPr>
        <w:t xml:space="preserve"> 1 (2012).doi:10.1097/FPC.0b013e328351f3c1</w:t>
      </w:r>
    </w:p>
    <w:p w14:paraId="4182D3C0" w14:textId="77777777" w:rsidR="00B95044" w:rsidRPr="00B95044" w:rsidRDefault="00B95044" w:rsidP="00B95044">
      <w:pPr>
        <w:pStyle w:val="Bibliography"/>
        <w:rPr>
          <w:rFonts w:ascii="Calibri"/>
          <w:lang w:val="en-US"/>
        </w:rPr>
      </w:pPr>
      <w:r w:rsidRPr="00B95044">
        <w:rPr>
          <w:rFonts w:ascii="Calibri"/>
        </w:rPr>
        <w:t>13.</w:t>
      </w:r>
      <w:r w:rsidRPr="00B95044">
        <w:rPr>
          <w:rFonts w:ascii="Calibri"/>
        </w:rPr>
        <w:tab/>
        <w:t xml:space="preserve">Schaik, R. H. N. van, Heiden, I. P. van der, Anker, J. N. van den &amp; Lindemans, J. CYP3A5 variant allele frequencies in Dutch Caucasians. </w:t>
      </w:r>
      <w:r w:rsidRPr="00B95044">
        <w:rPr>
          <w:rFonts w:ascii="Calibri"/>
          <w:i/>
          <w:iCs/>
          <w:lang w:val="en-US"/>
        </w:rPr>
        <w:t>Clin. Chem.</w:t>
      </w:r>
      <w:r w:rsidRPr="00B95044">
        <w:rPr>
          <w:rFonts w:ascii="Calibri"/>
          <w:lang w:val="en-US"/>
        </w:rPr>
        <w:t xml:space="preserve"> </w:t>
      </w:r>
      <w:r w:rsidRPr="00B95044">
        <w:rPr>
          <w:rFonts w:ascii="Calibri"/>
          <w:b/>
          <w:bCs/>
          <w:lang w:val="en-US"/>
        </w:rPr>
        <w:t>48</w:t>
      </w:r>
      <w:r w:rsidRPr="00B95044">
        <w:rPr>
          <w:rFonts w:ascii="Calibri"/>
          <w:lang w:val="en-US"/>
        </w:rPr>
        <w:t>, 1668–1671 (2002).</w:t>
      </w:r>
    </w:p>
    <w:p w14:paraId="53023B20" w14:textId="77777777" w:rsidR="00B95044" w:rsidRPr="00B95044" w:rsidRDefault="00B95044" w:rsidP="00B95044">
      <w:pPr>
        <w:pStyle w:val="Bibliography"/>
        <w:rPr>
          <w:rFonts w:ascii="Calibri"/>
          <w:lang w:val="en-US"/>
        </w:rPr>
      </w:pPr>
      <w:r w:rsidRPr="00B95044">
        <w:rPr>
          <w:rFonts w:ascii="Calibri"/>
          <w:lang w:val="en-US"/>
        </w:rPr>
        <w:t>14.</w:t>
      </w:r>
      <w:r w:rsidRPr="00B95044">
        <w:rPr>
          <w:rFonts w:ascii="Calibri"/>
          <w:lang w:val="en-US"/>
        </w:rPr>
        <w:tab/>
        <w:t xml:space="preserve">Rees, D. C., Cox, M. &amp; Clegg, J. B. World distribution of factor V Leiden. </w:t>
      </w:r>
      <w:r w:rsidRPr="00B95044">
        <w:rPr>
          <w:rFonts w:ascii="Calibri"/>
          <w:i/>
          <w:iCs/>
          <w:lang w:val="en-US"/>
        </w:rPr>
        <w:t>The Lancet</w:t>
      </w:r>
      <w:r w:rsidRPr="00B95044">
        <w:rPr>
          <w:rFonts w:ascii="Calibri"/>
          <w:lang w:val="en-US"/>
        </w:rPr>
        <w:t xml:space="preserve"> </w:t>
      </w:r>
      <w:r w:rsidRPr="00B95044">
        <w:rPr>
          <w:rFonts w:ascii="Calibri"/>
          <w:b/>
          <w:bCs/>
          <w:lang w:val="en-US"/>
        </w:rPr>
        <w:t>346</w:t>
      </w:r>
      <w:r w:rsidRPr="00B95044">
        <w:rPr>
          <w:rFonts w:ascii="Calibri"/>
          <w:lang w:val="en-US"/>
        </w:rPr>
        <w:t>, 1133–1134 (1995).</w:t>
      </w:r>
    </w:p>
    <w:p w14:paraId="17A31451" w14:textId="77777777" w:rsidR="00B95044" w:rsidRPr="002F194E" w:rsidRDefault="00B95044" w:rsidP="00B95044">
      <w:pPr>
        <w:pStyle w:val="Bibliography"/>
        <w:rPr>
          <w:rFonts w:ascii="Calibri"/>
          <w:lang w:val="en-US"/>
        </w:rPr>
      </w:pPr>
      <w:r w:rsidRPr="00B95044">
        <w:rPr>
          <w:rFonts w:ascii="Calibri"/>
          <w:lang w:val="en-US"/>
        </w:rPr>
        <w:t>15.</w:t>
      </w:r>
      <w:r w:rsidRPr="00B95044">
        <w:rPr>
          <w:rFonts w:ascii="Calibri"/>
          <w:lang w:val="en-US"/>
        </w:rPr>
        <w:tab/>
        <w:t xml:space="preserve">Rosendaal, F. R., Koster, T., Vandenbroucke, J. P. &amp; Reitsma, P. H. High risk of thrombosis in patients homozygous for factor V Leiden (activated protein C resistance). </w:t>
      </w:r>
      <w:r w:rsidRPr="002F194E">
        <w:rPr>
          <w:rFonts w:ascii="Calibri"/>
          <w:i/>
          <w:iCs/>
          <w:lang w:val="en-US"/>
        </w:rPr>
        <w:t>Blood</w:t>
      </w:r>
      <w:r w:rsidRPr="002F194E">
        <w:rPr>
          <w:rFonts w:ascii="Calibri"/>
          <w:lang w:val="en-US"/>
        </w:rPr>
        <w:t xml:space="preserve"> </w:t>
      </w:r>
      <w:r w:rsidRPr="002F194E">
        <w:rPr>
          <w:rFonts w:ascii="Calibri"/>
          <w:b/>
          <w:bCs/>
          <w:lang w:val="en-US"/>
        </w:rPr>
        <w:t>85</w:t>
      </w:r>
      <w:r w:rsidRPr="002F194E">
        <w:rPr>
          <w:rFonts w:ascii="Calibri"/>
          <w:lang w:val="en-US"/>
        </w:rPr>
        <w:t>, 1504–1508 (1995).</w:t>
      </w:r>
    </w:p>
    <w:p w14:paraId="664F2B29" w14:textId="77777777" w:rsidR="00B95044" w:rsidRPr="002F194E" w:rsidRDefault="00B95044" w:rsidP="00B95044">
      <w:pPr>
        <w:pStyle w:val="Bibliography"/>
        <w:rPr>
          <w:rFonts w:ascii="Calibri"/>
          <w:lang w:val="en-US"/>
        </w:rPr>
      </w:pPr>
      <w:r w:rsidRPr="002F194E">
        <w:rPr>
          <w:rFonts w:ascii="Calibri"/>
          <w:lang w:val="en-US"/>
        </w:rPr>
        <w:t>16.</w:t>
      </w:r>
      <w:r w:rsidRPr="002F194E">
        <w:rPr>
          <w:rFonts w:ascii="Calibri"/>
          <w:lang w:val="en-US"/>
        </w:rPr>
        <w:tab/>
        <w:t xml:space="preserve">Gonzalez-Galarza, F. F. </w:t>
      </w:r>
      <w:r w:rsidRPr="002F194E">
        <w:rPr>
          <w:rFonts w:ascii="Calibri"/>
          <w:i/>
          <w:iCs/>
          <w:lang w:val="en-US"/>
        </w:rPr>
        <w:t>et al.</w:t>
      </w:r>
      <w:r w:rsidRPr="002F194E">
        <w:rPr>
          <w:rFonts w:ascii="Calibri"/>
          <w:lang w:val="en-US"/>
        </w:rPr>
        <w:t xml:space="preserve"> Allele frequency net database (AFND) 2020 update: gold-standard data classification, open access genotype data and new query tools. </w:t>
      </w:r>
      <w:r w:rsidRPr="002F194E">
        <w:rPr>
          <w:rFonts w:ascii="Calibri"/>
          <w:i/>
          <w:iCs/>
          <w:lang w:val="en-US"/>
        </w:rPr>
        <w:t>Nucleic Acids Res.</w:t>
      </w:r>
      <w:r w:rsidRPr="002F194E">
        <w:rPr>
          <w:rFonts w:ascii="Calibri"/>
          <w:lang w:val="en-US"/>
        </w:rPr>
        <w:t xml:space="preserve"> gkz1029 (2019).doi:10.1093/nar/gkz1029</w:t>
      </w:r>
    </w:p>
    <w:p w14:paraId="0637A588" w14:textId="77777777" w:rsidR="00B95044" w:rsidRPr="00B95044" w:rsidRDefault="00B95044" w:rsidP="00B95044">
      <w:pPr>
        <w:pStyle w:val="Bibliography"/>
        <w:rPr>
          <w:rFonts w:ascii="Calibri"/>
        </w:rPr>
      </w:pPr>
      <w:r w:rsidRPr="002F194E">
        <w:rPr>
          <w:rFonts w:ascii="Calibri"/>
          <w:lang w:val="en-US"/>
        </w:rPr>
        <w:t>17.</w:t>
      </w:r>
      <w:r w:rsidRPr="002F194E">
        <w:rPr>
          <w:rFonts w:ascii="Calibri"/>
          <w:lang w:val="en-US"/>
        </w:rPr>
        <w:tab/>
        <w:t xml:space="preserve">Schneider, J. A., Rees, D. C., Liu, Y.-T. &amp; Clegg, J. B. Worldwide Distribution of a Common Methylenetetrahydrofolate Reductase Mutation. </w:t>
      </w:r>
      <w:r w:rsidRPr="00B95044">
        <w:rPr>
          <w:rFonts w:ascii="Calibri"/>
          <w:i/>
          <w:iCs/>
        </w:rPr>
        <w:t>Am. J. Hum. Genet.</w:t>
      </w:r>
      <w:r w:rsidRPr="00B95044">
        <w:rPr>
          <w:rFonts w:ascii="Calibri"/>
        </w:rPr>
        <w:t xml:space="preserve"> </w:t>
      </w:r>
      <w:r w:rsidRPr="00B95044">
        <w:rPr>
          <w:rFonts w:ascii="Calibri"/>
          <w:b/>
          <w:bCs/>
        </w:rPr>
        <w:t>62</w:t>
      </w:r>
      <w:r w:rsidRPr="00B95044">
        <w:rPr>
          <w:rFonts w:ascii="Calibri"/>
        </w:rPr>
        <w:t>, 1258–1260 (1998).</w:t>
      </w:r>
    </w:p>
    <w:p w14:paraId="1FD5F985" w14:textId="77777777" w:rsidR="00B95044" w:rsidRPr="002F194E" w:rsidRDefault="00B95044" w:rsidP="00B95044">
      <w:pPr>
        <w:pStyle w:val="Bibliography"/>
        <w:rPr>
          <w:rFonts w:ascii="Calibri"/>
          <w:lang w:val="en-US"/>
        </w:rPr>
      </w:pPr>
      <w:r w:rsidRPr="00B95044">
        <w:rPr>
          <w:rFonts w:ascii="Calibri"/>
        </w:rPr>
        <w:t>18.</w:t>
      </w:r>
      <w:r w:rsidRPr="00B95044">
        <w:rPr>
          <w:rFonts w:ascii="Calibri"/>
        </w:rPr>
        <w:tab/>
        <w:t xml:space="preserve">Ede, A. E. van </w:t>
      </w:r>
      <w:r w:rsidRPr="00B95044">
        <w:rPr>
          <w:rFonts w:ascii="Calibri"/>
          <w:i/>
          <w:iCs/>
        </w:rPr>
        <w:t>et al.</w:t>
      </w:r>
      <w:r w:rsidRPr="00B95044">
        <w:rPr>
          <w:rFonts w:ascii="Calibri"/>
        </w:rPr>
        <w:t xml:space="preserve"> </w:t>
      </w:r>
      <w:r w:rsidRPr="002F194E">
        <w:rPr>
          <w:rFonts w:ascii="Calibri"/>
          <w:lang w:val="en-US"/>
        </w:rPr>
        <w:t xml:space="preserve">The C677T mutation in the methylenetetrahydrofolate reductase gene: a genetic risk factor for methotrexate-related elevation of liver enzymes in rheumatoid arthritis patients. </w:t>
      </w:r>
      <w:r w:rsidRPr="002F194E">
        <w:rPr>
          <w:rFonts w:ascii="Calibri"/>
          <w:i/>
          <w:iCs/>
          <w:lang w:val="en-US"/>
        </w:rPr>
        <w:t>Arthritis Rheum.</w:t>
      </w:r>
      <w:r w:rsidRPr="002F194E">
        <w:rPr>
          <w:rFonts w:ascii="Calibri"/>
          <w:lang w:val="en-US"/>
        </w:rPr>
        <w:t xml:space="preserve"> </w:t>
      </w:r>
      <w:r w:rsidRPr="002F194E">
        <w:rPr>
          <w:rFonts w:ascii="Calibri"/>
          <w:b/>
          <w:bCs/>
          <w:lang w:val="en-US"/>
        </w:rPr>
        <w:t>44</w:t>
      </w:r>
      <w:r w:rsidRPr="002F194E">
        <w:rPr>
          <w:rFonts w:ascii="Calibri"/>
          <w:lang w:val="en-US"/>
        </w:rPr>
        <w:t>, 2525–2530 (2001).</w:t>
      </w:r>
    </w:p>
    <w:p w14:paraId="6ED2361C" w14:textId="77777777" w:rsidR="00B95044" w:rsidRPr="00B95044" w:rsidRDefault="00B95044" w:rsidP="00B95044">
      <w:pPr>
        <w:pStyle w:val="Bibliography"/>
        <w:rPr>
          <w:rFonts w:ascii="Calibri"/>
        </w:rPr>
      </w:pPr>
      <w:r w:rsidRPr="002F194E">
        <w:rPr>
          <w:rFonts w:ascii="Calibri"/>
          <w:lang w:val="en-US"/>
        </w:rPr>
        <w:t>19.</w:t>
      </w:r>
      <w:r w:rsidRPr="002F194E">
        <w:rPr>
          <w:rFonts w:ascii="Calibri"/>
          <w:lang w:val="en-US"/>
        </w:rPr>
        <w:tab/>
        <w:t xml:space="preserve">Brunham, L. R. </w:t>
      </w:r>
      <w:r w:rsidRPr="002F194E">
        <w:rPr>
          <w:rFonts w:ascii="Calibri"/>
          <w:i/>
          <w:iCs/>
          <w:lang w:val="en-US"/>
        </w:rPr>
        <w:t>et al.</w:t>
      </w:r>
      <w:r w:rsidRPr="002F194E">
        <w:rPr>
          <w:rFonts w:ascii="Calibri"/>
          <w:lang w:val="en-US"/>
        </w:rPr>
        <w:t xml:space="preserve"> Differential effect of the rs4149056 variant in SLCO1B1 on myopathy associated with simvastatin and atorvastatin. </w:t>
      </w:r>
      <w:r w:rsidRPr="00B95044">
        <w:rPr>
          <w:rFonts w:ascii="Calibri"/>
          <w:i/>
          <w:iCs/>
        </w:rPr>
        <w:t>Pharmacogenomics J.</w:t>
      </w:r>
      <w:r w:rsidRPr="00B95044">
        <w:rPr>
          <w:rFonts w:ascii="Calibri"/>
        </w:rPr>
        <w:t xml:space="preserve"> </w:t>
      </w:r>
      <w:r w:rsidRPr="00B95044">
        <w:rPr>
          <w:rFonts w:ascii="Calibri"/>
          <w:b/>
          <w:bCs/>
        </w:rPr>
        <w:t>12</w:t>
      </w:r>
      <w:r w:rsidRPr="00B95044">
        <w:rPr>
          <w:rFonts w:ascii="Calibri"/>
        </w:rPr>
        <w:t>, 233–237 (2012).</w:t>
      </w:r>
    </w:p>
    <w:p w14:paraId="1172C55D" w14:textId="77777777" w:rsidR="00B95044" w:rsidRPr="002F194E" w:rsidRDefault="00B95044" w:rsidP="00B95044">
      <w:pPr>
        <w:pStyle w:val="Bibliography"/>
        <w:rPr>
          <w:rFonts w:ascii="Calibri"/>
          <w:lang w:val="en-US"/>
        </w:rPr>
      </w:pPr>
      <w:r w:rsidRPr="00B95044">
        <w:rPr>
          <w:rFonts w:ascii="Calibri"/>
        </w:rPr>
        <w:t>20.</w:t>
      </w:r>
      <w:r w:rsidRPr="00B95044">
        <w:rPr>
          <w:rFonts w:ascii="Calibri"/>
        </w:rPr>
        <w:tab/>
        <w:t xml:space="preserve">Koninklijke Nederlandse Maatschappij ter bevordering der Pharmacie Algemene achtergrondtekst Farmacogenetica - Thiopurine-S-methyltransferase (TPMT). </w:t>
      </w:r>
      <w:r w:rsidRPr="002F194E">
        <w:rPr>
          <w:rFonts w:ascii="Calibri"/>
          <w:lang w:val="en-US"/>
        </w:rPr>
        <w:t>(2019).</w:t>
      </w:r>
    </w:p>
    <w:p w14:paraId="7B0A378E" w14:textId="77777777" w:rsidR="00B95044" w:rsidRPr="00B95044" w:rsidRDefault="00B95044" w:rsidP="00B95044">
      <w:pPr>
        <w:pStyle w:val="Bibliography"/>
        <w:rPr>
          <w:rFonts w:ascii="Calibri"/>
        </w:rPr>
      </w:pPr>
      <w:r w:rsidRPr="002F194E">
        <w:rPr>
          <w:rFonts w:ascii="Calibri"/>
          <w:lang w:val="en-US"/>
        </w:rPr>
        <w:t>21.</w:t>
      </w:r>
      <w:r w:rsidRPr="002F194E">
        <w:rPr>
          <w:rFonts w:ascii="Calibri"/>
          <w:lang w:val="en-US"/>
        </w:rPr>
        <w:tab/>
        <w:t xml:space="preserve">Beutler, E., Gelbart, T. &amp; Demina, A. Racial variability in the UDP-glucuronosyltransferase 1 (UGT1A1) promoter: A balanced polymorphism for regulation of bilirubin metabolism? </w:t>
      </w:r>
      <w:r w:rsidRPr="00B95044">
        <w:rPr>
          <w:rFonts w:ascii="Calibri"/>
          <w:i/>
          <w:iCs/>
        </w:rPr>
        <w:t>Proc. Natl. Acad. Sci.</w:t>
      </w:r>
      <w:r w:rsidRPr="00B95044">
        <w:rPr>
          <w:rFonts w:ascii="Calibri"/>
        </w:rPr>
        <w:t xml:space="preserve"> </w:t>
      </w:r>
      <w:r w:rsidRPr="00B95044">
        <w:rPr>
          <w:rFonts w:ascii="Calibri"/>
          <w:b/>
          <w:bCs/>
        </w:rPr>
        <w:t>95</w:t>
      </w:r>
      <w:r w:rsidRPr="00B95044">
        <w:rPr>
          <w:rFonts w:ascii="Calibri"/>
        </w:rPr>
        <w:t>, 8170–8174 (1998).</w:t>
      </w:r>
    </w:p>
    <w:p w14:paraId="52023A52" w14:textId="77777777" w:rsidR="00B95044" w:rsidRPr="002F194E" w:rsidRDefault="00B95044" w:rsidP="00B95044">
      <w:pPr>
        <w:pStyle w:val="Bibliography"/>
        <w:rPr>
          <w:rFonts w:ascii="Calibri"/>
          <w:lang w:val="en-US"/>
        </w:rPr>
      </w:pPr>
      <w:r w:rsidRPr="00B95044">
        <w:rPr>
          <w:rFonts w:ascii="Calibri"/>
        </w:rPr>
        <w:lastRenderedPageBreak/>
        <w:t>22.</w:t>
      </w:r>
      <w:r w:rsidRPr="00B95044">
        <w:rPr>
          <w:rFonts w:ascii="Calibri"/>
        </w:rPr>
        <w:tab/>
        <w:t xml:space="preserve">Koninklijke Nederlandse Maatschappij ter bevordering der Pharmacie Algemene achtergrondtekst Farmacogenetica - UGT1A1. </w:t>
      </w:r>
      <w:r w:rsidRPr="002F194E">
        <w:rPr>
          <w:rFonts w:ascii="Calibri"/>
          <w:lang w:val="en-US"/>
        </w:rPr>
        <w:t>(2014).</w:t>
      </w:r>
    </w:p>
    <w:p w14:paraId="3A843FD2" w14:textId="77777777" w:rsidR="00B95044" w:rsidRPr="002F194E" w:rsidRDefault="00B95044" w:rsidP="00B95044">
      <w:pPr>
        <w:pStyle w:val="Bibliography"/>
        <w:rPr>
          <w:rFonts w:ascii="Calibri"/>
          <w:lang w:val="en-US"/>
        </w:rPr>
      </w:pPr>
      <w:r w:rsidRPr="002F194E">
        <w:rPr>
          <w:rFonts w:ascii="Calibri"/>
          <w:lang w:val="en-US"/>
        </w:rPr>
        <w:t>23.</w:t>
      </w:r>
      <w:r w:rsidRPr="002F194E">
        <w:rPr>
          <w:rFonts w:ascii="Calibri"/>
          <w:lang w:val="en-US"/>
        </w:rPr>
        <w:tab/>
        <w:t xml:space="preserve">Rieder, M. J. </w:t>
      </w:r>
      <w:r w:rsidRPr="002F194E">
        <w:rPr>
          <w:rFonts w:ascii="Calibri"/>
          <w:i/>
          <w:iCs/>
          <w:lang w:val="en-US"/>
        </w:rPr>
        <w:t>et al.</w:t>
      </w:r>
      <w:r w:rsidRPr="002F194E">
        <w:rPr>
          <w:rFonts w:ascii="Calibri"/>
          <w:lang w:val="en-US"/>
        </w:rPr>
        <w:t xml:space="preserve"> Effect of </w:t>
      </w:r>
      <w:r w:rsidRPr="002F194E">
        <w:rPr>
          <w:rFonts w:ascii="Calibri"/>
          <w:i/>
          <w:iCs/>
          <w:lang w:val="en-US"/>
        </w:rPr>
        <w:t>VKORC1</w:t>
      </w:r>
      <w:r w:rsidRPr="002F194E">
        <w:rPr>
          <w:rFonts w:ascii="Calibri"/>
          <w:lang w:val="en-US"/>
        </w:rPr>
        <w:t xml:space="preserve"> Haplotypes on Transcriptional Regulation and Warfarin Dose. </w:t>
      </w:r>
      <w:r w:rsidRPr="002F194E">
        <w:rPr>
          <w:rFonts w:ascii="Calibri"/>
          <w:i/>
          <w:iCs/>
          <w:lang w:val="en-US"/>
        </w:rPr>
        <w:t>N. Engl. J. Med.</w:t>
      </w:r>
      <w:r w:rsidRPr="002F194E">
        <w:rPr>
          <w:rFonts w:ascii="Calibri"/>
          <w:lang w:val="en-US"/>
        </w:rPr>
        <w:t xml:space="preserve"> </w:t>
      </w:r>
      <w:r w:rsidRPr="002F194E">
        <w:rPr>
          <w:rFonts w:ascii="Calibri"/>
          <w:b/>
          <w:bCs/>
          <w:lang w:val="en-US"/>
        </w:rPr>
        <w:t>352</w:t>
      </w:r>
      <w:r w:rsidRPr="002F194E">
        <w:rPr>
          <w:rFonts w:ascii="Calibri"/>
          <w:lang w:val="en-US"/>
        </w:rPr>
        <w:t>, 2285–2293 (2005).</w:t>
      </w:r>
    </w:p>
    <w:p w14:paraId="7E912191" w14:textId="77777777" w:rsidR="00B95044" w:rsidRPr="00B95044" w:rsidRDefault="00B95044" w:rsidP="00B95044">
      <w:pPr>
        <w:pStyle w:val="Bibliography"/>
        <w:rPr>
          <w:rFonts w:ascii="Calibri"/>
        </w:rPr>
      </w:pPr>
      <w:r w:rsidRPr="002F194E">
        <w:rPr>
          <w:rFonts w:ascii="Calibri"/>
          <w:lang w:val="en-US"/>
        </w:rPr>
        <w:t>24.</w:t>
      </w:r>
      <w:r w:rsidRPr="002F194E">
        <w:rPr>
          <w:rFonts w:ascii="Calibri"/>
          <w:lang w:val="en-US"/>
        </w:rPr>
        <w:tab/>
        <w:t xml:space="preserve">Teichert, M. </w:t>
      </w:r>
      <w:r w:rsidRPr="002F194E">
        <w:rPr>
          <w:rFonts w:ascii="Calibri"/>
          <w:i/>
          <w:iCs/>
          <w:lang w:val="en-US"/>
        </w:rPr>
        <w:t>et al.</w:t>
      </w:r>
      <w:r w:rsidRPr="002F194E">
        <w:rPr>
          <w:rFonts w:ascii="Calibri"/>
          <w:lang w:val="en-US"/>
        </w:rPr>
        <w:t xml:space="preserve"> Genotypes Associated With Reduced Activity of VKORC1 and CYP2C9 and Their Modification of Acenocoumarol Anticoagulation During the Initial Treatment Period. </w:t>
      </w:r>
      <w:r w:rsidRPr="00B95044">
        <w:rPr>
          <w:rFonts w:ascii="Calibri"/>
          <w:i/>
          <w:iCs/>
        </w:rPr>
        <w:t>Clin. Pharmacol. Ther.</w:t>
      </w:r>
      <w:r w:rsidRPr="00B95044">
        <w:rPr>
          <w:rFonts w:ascii="Calibri"/>
        </w:rPr>
        <w:t xml:space="preserve"> </w:t>
      </w:r>
      <w:r w:rsidRPr="00B95044">
        <w:rPr>
          <w:rFonts w:ascii="Calibri"/>
          <w:b/>
          <w:bCs/>
        </w:rPr>
        <w:t>85</w:t>
      </w:r>
      <w:r w:rsidRPr="00B95044">
        <w:rPr>
          <w:rFonts w:ascii="Calibri"/>
        </w:rPr>
        <w:t>, 379–386 (2009).</w:t>
      </w:r>
    </w:p>
    <w:p w14:paraId="7ECD313F" w14:textId="5D467A2D" w:rsidR="000768B0" w:rsidRPr="00D712DE" w:rsidRDefault="002021E2" w:rsidP="00BD65D6">
      <w:pPr>
        <w:spacing w:after="0" w:line="240" w:lineRule="auto"/>
        <w:rPr>
          <w:lang w:val="en-GB"/>
        </w:rPr>
      </w:pPr>
      <w:r>
        <w:rPr>
          <w:rFonts w:ascii="Calibri"/>
          <w:lang w:val="en-US"/>
        </w:rPr>
        <w:fldChar w:fldCharType="end"/>
      </w:r>
    </w:p>
    <w:sectPr w:rsidR="000768B0" w:rsidRPr="00D712DE" w:rsidSect="005E785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EB5"/>
    <w:rsid w:val="00041529"/>
    <w:rsid w:val="00045285"/>
    <w:rsid w:val="000768B0"/>
    <w:rsid w:val="00092EB5"/>
    <w:rsid w:val="000C6EFB"/>
    <w:rsid w:val="000D5AAD"/>
    <w:rsid w:val="00164BA2"/>
    <w:rsid w:val="00194E48"/>
    <w:rsid w:val="002021E2"/>
    <w:rsid w:val="002706D5"/>
    <w:rsid w:val="002F194E"/>
    <w:rsid w:val="002F6F45"/>
    <w:rsid w:val="00302E54"/>
    <w:rsid w:val="00395834"/>
    <w:rsid w:val="003E72D0"/>
    <w:rsid w:val="004310CE"/>
    <w:rsid w:val="00432578"/>
    <w:rsid w:val="004C6016"/>
    <w:rsid w:val="004F6C80"/>
    <w:rsid w:val="00561774"/>
    <w:rsid w:val="005676AC"/>
    <w:rsid w:val="005C4AEB"/>
    <w:rsid w:val="005C4FC4"/>
    <w:rsid w:val="005E785E"/>
    <w:rsid w:val="00612CA7"/>
    <w:rsid w:val="00622E02"/>
    <w:rsid w:val="0064446A"/>
    <w:rsid w:val="006D6764"/>
    <w:rsid w:val="007300E5"/>
    <w:rsid w:val="00780B59"/>
    <w:rsid w:val="00822226"/>
    <w:rsid w:val="00854D74"/>
    <w:rsid w:val="008878C3"/>
    <w:rsid w:val="00897AB4"/>
    <w:rsid w:val="00A67968"/>
    <w:rsid w:val="00B95044"/>
    <w:rsid w:val="00BD65D6"/>
    <w:rsid w:val="00C02DFC"/>
    <w:rsid w:val="00C14024"/>
    <w:rsid w:val="00C97933"/>
    <w:rsid w:val="00CE5042"/>
    <w:rsid w:val="00D16148"/>
    <w:rsid w:val="00D712DE"/>
    <w:rsid w:val="00E055DA"/>
    <w:rsid w:val="00E47402"/>
    <w:rsid w:val="00EC1059"/>
    <w:rsid w:val="00F1622E"/>
    <w:rsid w:val="00F52D57"/>
    <w:rsid w:val="00F56853"/>
    <w:rsid w:val="00FA2079"/>
    <w:rsid w:val="00FF6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34605"/>
  <w15:chartTrackingRefBased/>
  <w15:docId w15:val="{C13C5152-53AA-8C4A-B954-97BAC19F6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EB5"/>
    <w:pPr>
      <w:spacing w:after="200" w:line="276" w:lineRule="auto"/>
    </w:pPr>
    <w:rPr>
      <w:sz w:val="22"/>
      <w:szCs w:val="22"/>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2EB5"/>
    <w:rPr>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7402"/>
    <w:rPr>
      <w:sz w:val="16"/>
      <w:szCs w:val="16"/>
    </w:rPr>
  </w:style>
  <w:style w:type="paragraph" w:styleId="CommentText">
    <w:name w:val="annotation text"/>
    <w:basedOn w:val="Normal"/>
    <w:link w:val="CommentTextChar"/>
    <w:uiPriority w:val="99"/>
    <w:semiHidden/>
    <w:unhideWhenUsed/>
    <w:rsid w:val="00E47402"/>
    <w:pPr>
      <w:spacing w:line="240" w:lineRule="auto"/>
    </w:pPr>
    <w:rPr>
      <w:sz w:val="20"/>
      <w:szCs w:val="20"/>
    </w:rPr>
  </w:style>
  <w:style w:type="character" w:customStyle="1" w:styleId="CommentTextChar">
    <w:name w:val="Comment Text Char"/>
    <w:basedOn w:val="DefaultParagraphFont"/>
    <w:link w:val="CommentText"/>
    <w:uiPriority w:val="99"/>
    <w:semiHidden/>
    <w:rsid w:val="00E47402"/>
    <w:rPr>
      <w:sz w:val="20"/>
      <w:szCs w:val="20"/>
      <w:lang w:val="nl-NL"/>
    </w:rPr>
  </w:style>
  <w:style w:type="paragraph" w:styleId="CommentSubject">
    <w:name w:val="annotation subject"/>
    <w:basedOn w:val="CommentText"/>
    <w:next w:val="CommentText"/>
    <w:link w:val="CommentSubjectChar"/>
    <w:uiPriority w:val="99"/>
    <w:semiHidden/>
    <w:unhideWhenUsed/>
    <w:rsid w:val="00E47402"/>
    <w:rPr>
      <w:b/>
      <w:bCs/>
    </w:rPr>
  </w:style>
  <w:style w:type="character" w:customStyle="1" w:styleId="CommentSubjectChar">
    <w:name w:val="Comment Subject Char"/>
    <w:basedOn w:val="CommentTextChar"/>
    <w:link w:val="CommentSubject"/>
    <w:uiPriority w:val="99"/>
    <w:semiHidden/>
    <w:rsid w:val="00E47402"/>
    <w:rPr>
      <w:b/>
      <w:bCs/>
      <w:sz w:val="20"/>
      <w:szCs w:val="20"/>
      <w:lang w:val="nl-NL"/>
    </w:rPr>
  </w:style>
  <w:style w:type="paragraph" w:styleId="BalloonText">
    <w:name w:val="Balloon Text"/>
    <w:basedOn w:val="Normal"/>
    <w:link w:val="BalloonTextChar"/>
    <w:uiPriority w:val="99"/>
    <w:semiHidden/>
    <w:unhideWhenUsed/>
    <w:rsid w:val="00E4740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47402"/>
    <w:rPr>
      <w:rFonts w:ascii="Times New Roman" w:hAnsi="Times New Roman" w:cs="Times New Roman"/>
      <w:sz w:val="18"/>
      <w:szCs w:val="18"/>
      <w:lang w:val="nl-NL"/>
    </w:rPr>
  </w:style>
  <w:style w:type="paragraph" w:styleId="Bibliography">
    <w:name w:val="Bibliography"/>
    <w:basedOn w:val="Normal"/>
    <w:next w:val="Normal"/>
    <w:uiPriority w:val="37"/>
    <w:unhideWhenUsed/>
    <w:rsid w:val="000768B0"/>
    <w:pPr>
      <w:tabs>
        <w:tab w:val="left" w:pos="260"/>
      </w:tabs>
      <w:spacing w:after="0"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538227">
      <w:bodyDiv w:val="1"/>
      <w:marLeft w:val="0"/>
      <w:marRight w:val="0"/>
      <w:marTop w:val="0"/>
      <w:marBottom w:val="0"/>
      <w:divBdr>
        <w:top w:val="none" w:sz="0" w:space="0" w:color="auto"/>
        <w:left w:val="none" w:sz="0" w:space="0" w:color="auto"/>
        <w:bottom w:val="none" w:sz="0" w:space="0" w:color="auto"/>
        <w:right w:val="none" w:sz="0" w:space="0" w:color="auto"/>
      </w:divBdr>
    </w:div>
    <w:div w:id="213393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8AEEC50D-D483-4E40-9B27-E770E1C8C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20795</Words>
  <Characters>118538</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Lanting</dc:creator>
  <cp:keywords/>
  <dc:description/>
  <cp:lastModifiedBy>Lanting, P (medgen)</cp:lastModifiedBy>
  <cp:revision>2</cp:revision>
  <dcterms:created xsi:type="dcterms:W3CDTF">2020-11-10T09:57:00Z</dcterms:created>
  <dcterms:modified xsi:type="dcterms:W3CDTF">2020-11-10T09:57:00Z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zotero-version="5.0.90"&gt;&lt;session id="jIw3D0VB"/&gt;&lt;style id="http://www.zotero.org/styles/clinical-pharmacology-and-therapeutics" hasBibliography="1" bibliographyStyleHasBeenSet="1"/&gt;&lt;prefs&gt;&lt;pref name="fieldType" value="Field"/&gt;&lt;pref </vt:lpwstr>
  </property>
  <property fmtid="{D5CDD505-2E9C-101B-9397-08002B2CF9AE}" pid="3" name="ZOTERO_PREF_2">
    <vt:lpwstr>name="automaticJournalAbbreviations" value="true"/&gt;&lt;pref name="dontAskDelayCitationUpdates" value="true"/&gt;&lt;/prefs&gt;&lt;/data&gt;</vt:lpwstr>
  </property>
</Properties>
</file>