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C3018" w14:textId="77777777" w:rsidR="005B792D" w:rsidRPr="00341F76" w:rsidRDefault="005B792D" w:rsidP="005B792D">
      <w:pPr>
        <w:rPr>
          <w:rFonts w:ascii="Calibri" w:hAnsi="Calibri" w:cs="Times New Roman"/>
          <w:b/>
          <w:sz w:val="22"/>
          <w:szCs w:val="22"/>
        </w:rPr>
      </w:pPr>
    </w:p>
    <w:p w14:paraId="45FE045A" w14:textId="77777777" w:rsidR="005B792D" w:rsidRDefault="005B792D" w:rsidP="005B792D">
      <w:pPr>
        <w:jc w:val="center"/>
        <w:rPr>
          <w:rFonts w:ascii="Calibri" w:hAnsi="Calibri"/>
          <w:sz w:val="22"/>
          <w:szCs w:val="22"/>
        </w:rPr>
      </w:pPr>
      <w:r w:rsidRPr="00341F76">
        <w:rPr>
          <w:rFonts w:ascii="Calibri" w:hAnsi="Calibri"/>
          <w:sz w:val="22"/>
          <w:szCs w:val="22"/>
        </w:rPr>
        <w:t>Supplement to:</w:t>
      </w:r>
    </w:p>
    <w:p w14:paraId="3CF9BF72" w14:textId="77777777" w:rsidR="005B792D" w:rsidRPr="00341F76" w:rsidRDefault="005B792D" w:rsidP="005B792D">
      <w:pPr>
        <w:jc w:val="center"/>
        <w:rPr>
          <w:rFonts w:ascii="Calibri" w:hAnsi="Calibri"/>
          <w:sz w:val="22"/>
          <w:szCs w:val="22"/>
        </w:rPr>
      </w:pPr>
    </w:p>
    <w:p w14:paraId="28FD7FA0" w14:textId="2A1A2C7E" w:rsidR="005B792D" w:rsidRDefault="00995EF4" w:rsidP="005B792D">
      <w:pPr>
        <w:jc w:val="center"/>
        <w:rPr>
          <w:rFonts w:ascii="Calibri" w:hAnsi="Calibri"/>
          <w:b/>
          <w:sz w:val="22"/>
          <w:szCs w:val="22"/>
        </w:rPr>
      </w:pPr>
      <w:r>
        <w:rPr>
          <w:rFonts w:ascii="Calibri" w:hAnsi="Calibri"/>
          <w:b/>
          <w:sz w:val="22"/>
          <w:szCs w:val="22"/>
        </w:rPr>
        <w:t>Practical b</w:t>
      </w:r>
      <w:r w:rsidRPr="007D0FC7">
        <w:rPr>
          <w:rFonts w:ascii="Calibri" w:hAnsi="Calibri"/>
          <w:b/>
          <w:sz w:val="22"/>
          <w:szCs w:val="22"/>
        </w:rPr>
        <w:t xml:space="preserve">arriers and facilitators experienced by patients, pharmacists and physicians to the implementation of pharmacogenomic screening in </w:t>
      </w:r>
      <w:r>
        <w:rPr>
          <w:rFonts w:ascii="Calibri" w:hAnsi="Calibri"/>
          <w:b/>
          <w:sz w:val="22"/>
          <w:szCs w:val="22"/>
        </w:rPr>
        <w:t xml:space="preserve">Dutch </w:t>
      </w:r>
      <w:r w:rsidRPr="007D0FC7">
        <w:rPr>
          <w:rFonts w:ascii="Calibri" w:hAnsi="Calibri"/>
          <w:b/>
          <w:sz w:val="22"/>
          <w:szCs w:val="22"/>
        </w:rPr>
        <w:t xml:space="preserve">outpatient </w:t>
      </w:r>
      <w:r>
        <w:rPr>
          <w:rFonts w:ascii="Calibri" w:hAnsi="Calibri"/>
          <w:b/>
          <w:sz w:val="22"/>
          <w:szCs w:val="22"/>
        </w:rPr>
        <w:t>hospital care – an explorative pilot study</w:t>
      </w:r>
    </w:p>
    <w:p w14:paraId="6B3C3533" w14:textId="77777777" w:rsidR="00995EF4" w:rsidRPr="00341F76" w:rsidRDefault="00995EF4" w:rsidP="005B792D">
      <w:pPr>
        <w:jc w:val="center"/>
        <w:rPr>
          <w:rFonts w:ascii="Calibri" w:hAnsi="Calibri"/>
          <w:b/>
          <w:sz w:val="22"/>
          <w:szCs w:val="22"/>
        </w:rPr>
      </w:pPr>
    </w:p>
    <w:p w14:paraId="2015DA45" w14:textId="621B16A9" w:rsidR="005B792D" w:rsidRDefault="005B792D" w:rsidP="005B792D">
      <w:pPr>
        <w:rPr>
          <w:rFonts w:ascii="Calibri" w:hAnsi="Calibri"/>
          <w:sz w:val="22"/>
          <w:szCs w:val="22"/>
          <w:vertAlign w:val="superscript"/>
        </w:rPr>
      </w:pPr>
      <w:r w:rsidRPr="00DE7A2A">
        <w:rPr>
          <w:rFonts w:ascii="Calibri" w:hAnsi="Calibri"/>
          <w:sz w:val="22"/>
          <w:szCs w:val="22"/>
        </w:rPr>
        <w:t>P. Lanting</w:t>
      </w:r>
      <w:r w:rsidRPr="00DE7A2A">
        <w:rPr>
          <w:rFonts w:ascii="Calibri" w:hAnsi="Calibri"/>
          <w:sz w:val="22"/>
          <w:szCs w:val="22"/>
          <w:vertAlign w:val="superscript"/>
        </w:rPr>
        <w:t>1</w:t>
      </w:r>
      <w:r w:rsidRPr="00DE7A2A">
        <w:rPr>
          <w:rFonts w:ascii="Calibri" w:hAnsi="Calibri"/>
          <w:sz w:val="22"/>
          <w:szCs w:val="22"/>
        </w:rPr>
        <w:t>; W.H. Drenth</w:t>
      </w:r>
      <w:r w:rsidRPr="00DE7A2A">
        <w:rPr>
          <w:rFonts w:ascii="Calibri" w:hAnsi="Calibri"/>
          <w:sz w:val="22"/>
          <w:szCs w:val="22"/>
          <w:vertAlign w:val="superscript"/>
        </w:rPr>
        <w:t>1</w:t>
      </w:r>
      <w:r w:rsidRPr="00DE7A2A">
        <w:rPr>
          <w:rFonts w:ascii="Calibri" w:hAnsi="Calibri"/>
          <w:sz w:val="22"/>
          <w:szCs w:val="22"/>
        </w:rPr>
        <w:t>; L.G. Boven</w:t>
      </w:r>
      <w:r w:rsidRPr="00DE7A2A">
        <w:rPr>
          <w:rFonts w:ascii="Calibri" w:hAnsi="Calibri"/>
          <w:sz w:val="22"/>
          <w:szCs w:val="22"/>
          <w:vertAlign w:val="superscript"/>
        </w:rPr>
        <w:t>1</w:t>
      </w:r>
      <w:r w:rsidRPr="00DE7A2A">
        <w:rPr>
          <w:rFonts w:ascii="Calibri" w:hAnsi="Calibri"/>
          <w:sz w:val="22"/>
          <w:szCs w:val="22"/>
        </w:rPr>
        <w:t>; A. van Hoek</w:t>
      </w:r>
      <w:r w:rsidRPr="00DE7A2A">
        <w:rPr>
          <w:rFonts w:ascii="Calibri" w:hAnsi="Calibri"/>
          <w:sz w:val="22"/>
          <w:szCs w:val="22"/>
          <w:vertAlign w:val="superscript"/>
        </w:rPr>
        <w:t>1</w:t>
      </w:r>
      <w:r w:rsidRPr="00DE7A2A">
        <w:rPr>
          <w:rFonts w:ascii="Calibri" w:hAnsi="Calibri"/>
          <w:sz w:val="22"/>
          <w:szCs w:val="22"/>
        </w:rPr>
        <w:t>; A.M.A. Hijlkema</w:t>
      </w:r>
      <w:r w:rsidRPr="00DE7A2A">
        <w:rPr>
          <w:rFonts w:ascii="Calibri" w:hAnsi="Calibri"/>
          <w:sz w:val="22"/>
          <w:szCs w:val="22"/>
          <w:vertAlign w:val="superscript"/>
        </w:rPr>
        <w:t>1</w:t>
      </w:r>
      <w:r w:rsidRPr="00DE7A2A">
        <w:rPr>
          <w:rFonts w:ascii="Calibri" w:hAnsi="Calibri"/>
          <w:sz w:val="22"/>
          <w:szCs w:val="22"/>
        </w:rPr>
        <w:t>; A.E. Poot</w:t>
      </w:r>
      <w:r w:rsidRPr="00DE7A2A">
        <w:rPr>
          <w:rFonts w:ascii="Calibri" w:hAnsi="Calibri"/>
          <w:sz w:val="22"/>
          <w:szCs w:val="22"/>
          <w:vertAlign w:val="superscript"/>
        </w:rPr>
        <w:t>1</w:t>
      </w:r>
      <w:r w:rsidRPr="00DE7A2A">
        <w:rPr>
          <w:rFonts w:ascii="Calibri" w:hAnsi="Calibri"/>
          <w:sz w:val="22"/>
          <w:szCs w:val="22"/>
        </w:rPr>
        <w:t>; G.</w:t>
      </w:r>
      <w:r w:rsidR="007D33CC">
        <w:rPr>
          <w:rFonts w:ascii="Calibri" w:hAnsi="Calibri"/>
          <w:sz w:val="22"/>
          <w:szCs w:val="22"/>
        </w:rPr>
        <w:t>B.</w:t>
      </w:r>
      <w:r w:rsidRPr="00DE7A2A">
        <w:rPr>
          <w:rFonts w:ascii="Calibri" w:hAnsi="Calibri"/>
          <w:sz w:val="22"/>
          <w:szCs w:val="22"/>
        </w:rPr>
        <w:t xml:space="preserve"> van der Vries</w:t>
      </w:r>
      <w:r w:rsidRPr="00DE7A2A">
        <w:rPr>
          <w:rFonts w:ascii="Calibri" w:hAnsi="Calibri"/>
          <w:sz w:val="22"/>
          <w:szCs w:val="22"/>
          <w:vertAlign w:val="superscript"/>
        </w:rPr>
        <w:t>1</w:t>
      </w:r>
      <w:r w:rsidRPr="00DE7A2A">
        <w:rPr>
          <w:rFonts w:ascii="Calibri" w:hAnsi="Calibri"/>
          <w:sz w:val="22"/>
          <w:szCs w:val="22"/>
        </w:rPr>
        <w:t>, R.A. Schoevers</w:t>
      </w:r>
      <w:r w:rsidR="00482348">
        <w:rPr>
          <w:rFonts w:ascii="Calibri" w:hAnsi="Calibri"/>
          <w:sz w:val="22"/>
          <w:szCs w:val="22"/>
          <w:vertAlign w:val="superscript"/>
        </w:rPr>
        <w:t>2</w:t>
      </w:r>
      <w:r w:rsidRPr="00DE7A2A">
        <w:rPr>
          <w:rFonts w:ascii="Calibri" w:hAnsi="Calibri"/>
          <w:sz w:val="22"/>
          <w:szCs w:val="22"/>
        </w:rPr>
        <w:t>,</w:t>
      </w:r>
      <w:r w:rsidR="00482348">
        <w:rPr>
          <w:rFonts w:ascii="Calibri" w:hAnsi="Calibri"/>
          <w:sz w:val="22"/>
          <w:szCs w:val="22"/>
        </w:rPr>
        <w:t xml:space="preserve"> E. Horwitz</w:t>
      </w:r>
      <w:r w:rsidR="00482348">
        <w:rPr>
          <w:rFonts w:ascii="Calibri" w:hAnsi="Calibri"/>
          <w:sz w:val="22"/>
          <w:szCs w:val="22"/>
          <w:vertAlign w:val="superscript"/>
        </w:rPr>
        <w:t>2</w:t>
      </w:r>
      <w:r w:rsidR="00482348">
        <w:rPr>
          <w:rFonts w:ascii="Calibri" w:hAnsi="Calibri"/>
          <w:sz w:val="22"/>
          <w:szCs w:val="22"/>
        </w:rPr>
        <w:t>,</w:t>
      </w:r>
      <w:r w:rsidRPr="00DE7A2A">
        <w:rPr>
          <w:rFonts w:ascii="Calibri" w:hAnsi="Calibri"/>
          <w:sz w:val="22"/>
          <w:szCs w:val="22"/>
        </w:rPr>
        <w:t xml:space="preserve"> R.O.B. Gans</w:t>
      </w:r>
      <w:r w:rsidR="00482348">
        <w:rPr>
          <w:rFonts w:ascii="Calibri" w:hAnsi="Calibri"/>
          <w:sz w:val="22"/>
          <w:szCs w:val="22"/>
          <w:vertAlign w:val="superscript"/>
        </w:rPr>
        <w:t>3</w:t>
      </w:r>
      <w:r w:rsidRPr="00DE7A2A">
        <w:rPr>
          <w:rFonts w:ascii="Calibri" w:hAnsi="Calibri"/>
          <w:sz w:val="22"/>
          <w:szCs w:val="22"/>
        </w:rPr>
        <w:t>, J.G.W. Kosterink</w:t>
      </w:r>
      <w:r w:rsidR="00482348">
        <w:rPr>
          <w:rFonts w:ascii="Calibri" w:hAnsi="Calibri"/>
          <w:sz w:val="22"/>
          <w:szCs w:val="22"/>
          <w:vertAlign w:val="superscript"/>
        </w:rPr>
        <w:t>4</w:t>
      </w:r>
      <w:r w:rsidRPr="00DE7A2A">
        <w:rPr>
          <w:rFonts w:ascii="Calibri" w:hAnsi="Calibri"/>
          <w:sz w:val="22"/>
          <w:szCs w:val="22"/>
          <w:vertAlign w:val="superscript"/>
        </w:rPr>
        <w:t>,</w:t>
      </w:r>
      <w:r w:rsidR="00482348">
        <w:rPr>
          <w:rFonts w:ascii="Calibri" w:hAnsi="Calibri"/>
          <w:sz w:val="22"/>
          <w:szCs w:val="22"/>
          <w:vertAlign w:val="superscript"/>
        </w:rPr>
        <w:t>5</w:t>
      </w:r>
      <w:r w:rsidRPr="00DE7A2A">
        <w:rPr>
          <w:rFonts w:ascii="Calibri" w:hAnsi="Calibri"/>
          <w:sz w:val="22"/>
          <w:szCs w:val="22"/>
        </w:rPr>
        <w:t>, M. Plantinga</w:t>
      </w:r>
      <w:r w:rsidRPr="00DE7A2A">
        <w:rPr>
          <w:rFonts w:ascii="Calibri" w:hAnsi="Calibri"/>
          <w:sz w:val="22"/>
          <w:szCs w:val="22"/>
          <w:vertAlign w:val="superscript"/>
        </w:rPr>
        <w:t>1</w:t>
      </w:r>
      <w:r w:rsidRPr="00DE7A2A">
        <w:rPr>
          <w:rFonts w:ascii="Calibri" w:hAnsi="Calibri"/>
          <w:sz w:val="22"/>
          <w:szCs w:val="22"/>
        </w:rPr>
        <w:t>; I.M. van Langen</w:t>
      </w:r>
      <w:r w:rsidRPr="00DE7A2A">
        <w:rPr>
          <w:rFonts w:ascii="Calibri" w:hAnsi="Calibri"/>
          <w:sz w:val="22"/>
          <w:szCs w:val="22"/>
          <w:vertAlign w:val="superscript"/>
        </w:rPr>
        <w:t>1</w:t>
      </w:r>
      <w:r w:rsidRPr="00DE7A2A">
        <w:rPr>
          <w:rFonts w:ascii="Calibri" w:hAnsi="Calibri"/>
          <w:sz w:val="22"/>
          <w:szCs w:val="22"/>
        </w:rPr>
        <w:t>; A.V. Ranchor</w:t>
      </w:r>
      <w:r w:rsidR="00482348">
        <w:rPr>
          <w:rFonts w:ascii="Calibri" w:hAnsi="Calibri"/>
          <w:sz w:val="22"/>
          <w:szCs w:val="22"/>
          <w:vertAlign w:val="superscript"/>
        </w:rPr>
        <w:t>6</w:t>
      </w:r>
      <w:r w:rsidRPr="00DE7A2A">
        <w:rPr>
          <w:rFonts w:ascii="Calibri" w:hAnsi="Calibri"/>
          <w:sz w:val="22"/>
          <w:szCs w:val="22"/>
        </w:rPr>
        <w:t>; C. Wijmenga</w:t>
      </w:r>
      <w:r w:rsidRPr="00DE7A2A">
        <w:rPr>
          <w:rFonts w:ascii="Calibri" w:hAnsi="Calibri"/>
          <w:sz w:val="22"/>
          <w:szCs w:val="22"/>
          <w:vertAlign w:val="superscript"/>
        </w:rPr>
        <w:t>1</w:t>
      </w:r>
      <w:r w:rsidRPr="00DE7A2A">
        <w:rPr>
          <w:rFonts w:ascii="Calibri" w:hAnsi="Calibri"/>
          <w:sz w:val="22"/>
          <w:szCs w:val="22"/>
        </w:rPr>
        <w:t>; L.H. Franke</w:t>
      </w:r>
      <w:r w:rsidRPr="00DE7A2A">
        <w:rPr>
          <w:rFonts w:ascii="Calibri" w:hAnsi="Calibri"/>
          <w:sz w:val="22"/>
          <w:szCs w:val="22"/>
          <w:vertAlign w:val="superscript"/>
        </w:rPr>
        <w:t>1</w:t>
      </w:r>
      <w:r w:rsidRPr="00DE7A2A">
        <w:rPr>
          <w:rFonts w:ascii="Calibri" w:hAnsi="Calibri"/>
          <w:sz w:val="22"/>
          <w:szCs w:val="22"/>
        </w:rPr>
        <w:t>; B. Wilffert</w:t>
      </w:r>
      <w:r w:rsidR="00482348">
        <w:rPr>
          <w:rFonts w:ascii="Calibri" w:hAnsi="Calibri"/>
          <w:sz w:val="22"/>
          <w:szCs w:val="22"/>
          <w:vertAlign w:val="superscript"/>
        </w:rPr>
        <w:t>4</w:t>
      </w:r>
      <w:r w:rsidRPr="00DE7A2A">
        <w:rPr>
          <w:rFonts w:ascii="Calibri" w:hAnsi="Calibri"/>
          <w:sz w:val="22"/>
          <w:szCs w:val="22"/>
          <w:vertAlign w:val="superscript"/>
        </w:rPr>
        <w:t>,</w:t>
      </w:r>
      <w:r w:rsidR="00482348">
        <w:rPr>
          <w:rFonts w:ascii="Calibri" w:hAnsi="Calibri"/>
          <w:sz w:val="22"/>
          <w:szCs w:val="22"/>
          <w:vertAlign w:val="superscript"/>
        </w:rPr>
        <w:t>5</w:t>
      </w:r>
      <w:r w:rsidRPr="00DE7A2A">
        <w:rPr>
          <w:rFonts w:ascii="Calibri" w:hAnsi="Calibri"/>
          <w:sz w:val="22"/>
          <w:szCs w:val="22"/>
        </w:rPr>
        <w:t>; R.H. Sijmons</w:t>
      </w:r>
      <w:r w:rsidRPr="00DE7A2A">
        <w:rPr>
          <w:rFonts w:ascii="Calibri" w:hAnsi="Calibri"/>
          <w:sz w:val="22"/>
          <w:szCs w:val="22"/>
          <w:vertAlign w:val="superscript"/>
        </w:rPr>
        <w:t>1</w:t>
      </w:r>
    </w:p>
    <w:p w14:paraId="016344F0" w14:textId="77777777" w:rsidR="005B792D" w:rsidRPr="006C0942" w:rsidRDefault="005B792D" w:rsidP="005B792D">
      <w:pPr>
        <w:rPr>
          <w:rFonts w:ascii="Calibri" w:hAnsi="Calibri"/>
          <w:b/>
          <w:sz w:val="22"/>
          <w:szCs w:val="22"/>
        </w:rPr>
      </w:pPr>
    </w:p>
    <w:p w14:paraId="585863AF" w14:textId="0EC40288" w:rsidR="005B792D" w:rsidRPr="006C0942" w:rsidRDefault="005B792D" w:rsidP="005B792D">
      <w:pPr>
        <w:jc w:val="both"/>
        <w:rPr>
          <w:sz w:val="22"/>
          <w:szCs w:val="22"/>
        </w:rPr>
      </w:pPr>
      <w:r w:rsidRPr="006C0942">
        <w:rPr>
          <w:sz w:val="22"/>
          <w:szCs w:val="22"/>
          <w:vertAlign w:val="superscript"/>
        </w:rPr>
        <w:t xml:space="preserve">1 </w:t>
      </w:r>
      <w:r w:rsidRPr="006C0942">
        <w:rPr>
          <w:sz w:val="22"/>
          <w:szCs w:val="22"/>
        </w:rPr>
        <w:t xml:space="preserve">University of Groningen, University Medical Center Groningen, Department of Genetics, </w:t>
      </w:r>
      <w:r w:rsidR="005D07B6">
        <w:rPr>
          <w:sz w:val="22"/>
          <w:szCs w:val="22"/>
        </w:rPr>
        <w:t xml:space="preserve">9713 GZ </w:t>
      </w:r>
      <w:r w:rsidRPr="006C0942">
        <w:rPr>
          <w:sz w:val="22"/>
          <w:szCs w:val="22"/>
        </w:rPr>
        <w:t>Groningen, The Netherlands</w:t>
      </w:r>
    </w:p>
    <w:p w14:paraId="51F508C4" w14:textId="742C19D8" w:rsidR="005B792D" w:rsidRPr="006C0942" w:rsidRDefault="005B792D" w:rsidP="005B792D">
      <w:pPr>
        <w:rPr>
          <w:sz w:val="22"/>
          <w:szCs w:val="22"/>
        </w:rPr>
      </w:pPr>
      <w:r w:rsidRPr="006C0942">
        <w:rPr>
          <w:sz w:val="22"/>
          <w:szCs w:val="22"/>
          <w:vertAlign w:val="superscript"/>
        </w:rPr>
        <w:t>2</w:t>
      </w:r>
      <w:r w:rsidRPr="006C0942">
        <w:rPr>
          <w:sz w:val="22"/>
          <w:szCs w:val="22"/>
        </w:rPr>
        <w:t xml:space="preserve"> University of Groningen, University Medical Center Groningen, Department of Psychiatry, </w:t>
      </w:r>
      <w:r w:rsidR="005D07B6">
        <w:rPr>
          <w:sz w:val="22"/>
          <w:szCs w:val="22"/>
        </w:rPr>
        <w:t xml:space="preserve">9713 GZ </w:t>
      </w:r>
      <w:r w:rsidRPr="006C0942">
        <w:rPr>
          <w:sz w:val="22"/>
          <w:szCs w:val="22"/>
        </w:rPr>
        <w:t>Groningen, The Netherlands</w:t>
      </w:r>
    </w:p>
    <w:p w14:paraId="405E247D" w14:textId="5AE85938" w:rsidR="005B792D" w:rsidRPr="006C0942" w:rsidRDefault="005B792D" w:rsidP="005B792D">
      <w:pPr>
        <w:rPr>
          <w:sz w:val="22"/>
          <w:szCs w:val="22"/>
        </w:rPr>
      </w:pPr>
      <w:r w:rsidRPr="006C0942">
        <w:rPr>
          <w:sz w:val="22"/>
          <w:szCs w:val="22"/>
          <w:vertAlign w:val="superscript"/>
        </w:rPr>
        <w:t>3</w:t>
      </w:r>
      <w:r w:rsidRPr="006C0942">
        <w:rPr>
          <w:sz w:val="22"/>
          <w:szCs w:val="22"/>
        </w:rPr>
        <w:t xml:space="preserve"> University of Groningen, University Medical Center Groningen, Department of Internal Medicine, </w:t>
      </w:r>
      <w:r w:rsidR="005D07B6">
        <w:rPr>
          <w:sz w:val="22"/>
          <w:szCs w:val="22"/>
        </w:rPr>
        <w:t xml:space="preserve">9713 GZ </w:t>
      </w:r>
      <w:r w:rsidRPr="006C0942">
        <w:rPr>
          <w:sz w:val="22"/>
          <w:szCs w:val="22"/>
        </w:rPr>
        <w:t>Groningen, The Netherlands</w:t>
      </w:r>
    </w:p>
    <w:p w14:paraId="76AAAEB7" w14:textId="1EB3ACF6" w:rsidR="005B792D" w:rsidRPr="006C0942" w:rsidRDefault="005B792D" w:rsidP="005B792D">
      <w:pPr>
        <w:rPr>
          <w:sz w:val="22"/>
          <w:szCs w:val="22"/>
          <w:vertAlign w:val="superscript"/>
        </w:rPr>
      </w:pPr>
      <w:r w:rsidRPr="006C0942">
        <w:rPr>
          <w:sz w:val="22"/>
          <w:szCs w:val="22"/>
          <w:vertAlign w:val="superscript"/>
        </w:rPr>
        <w:t xml:space="preserve">4 </w:t>
      </w:r>
      <w:r w:rsidRPr="006C0942">
        <w:rPr>
          <w:sz w:val="22"/>
          <w:szCs w:val="22"/>
        </w:rPr>
        <w:t xml:space="preserve">University of Groningen, University Medical Center Groningen, Department of Clinical Pharmacy and Pharmacology, </w:t>
      </w:r>
      <w:r w:rsidR="005D07B6">
        <w:rPr>
          <w:sz w:val="22"/>
          <w:szCs w:val="22"/>
        </w:rPr>
        <w:t xml:space="preserve">9713 GZ </w:t>
      </w:r>
      <w:r w:rsidRPr="006C0942">
        <w:rPr>
          <w:sz w:val="22"/>
          <w:szCs w:val="22"/>
        </w:rPr>
        <w:t>Groningen, The Netherlands</w:t>
      </w:r>
    </w:p>
    <w:p w14:paraId="0CFDA47C" w14:textId="295CE1B7" w:rsidR="005B792D" w:rsidRPr="006C0942" w:rsidRDefault="005B792D" w:rsidP="005B792D">
      <w:pPr>
        <w:rPr>
          <w:sz w:val="22"/>
          <w:szCs w:val="22"/>
          <w:vertAlign w:val="superscript"/>
        </w:rPr>
      </w:pPr>
      <w:r w:rsidRPr="006C0942">
        <w:rPr>
          <w:sz w:val="22"/>
          <w:szCs w:val="22"/>
          <w:vertAlign w:val="superscript"/>
        </w:rPr>
        <w:t xml:space="preserve">5 </w:t>
      </w:r>
      <w:r w:rsidRPr="006C0942">
        <w:rPr>
          <w:sz w:val="22"/>
          <w:szCs w:val="22"/>
        </w:rPr>
        <w:t xml:space="preserve">University of Groningen, Groningen Research Institute of Pharmacy, Unit of PharmacoTherapy, -Epidemiology &amp; -Economics, </w:t>
      </w:r>
      <w:r w:rsidR="005D07B6">
        <w:rPr>
          <w:sz w:val="22"/>
          <w:szCs w:val="22"/>
        </w:rPr>
        <w:t xml:space="preserve">9713 AV </w:t>
      </w:r>
      <w:r w:rsidRPr="006C0942">
        <w:rPr>
          <w:sz w:val="22"/>
          <w:szCs w:val="22"/>
        </w:rPr>
        <w:t>Groningen, The Netherlands</w:t>
      </w:r>
    </w:p>
    <w:p w14:paraId="799BE237" w14:textId="6B4BE13A" w:rsidR="005B792D" w:rsidRPr="006C0942" w:rsidRDefault="005B792D" w:rsidP="005B792D">
      <w:pPr>
        <w:spacing w:after="120"/>
        <w:jc w:val="both"/>
        <w:rPr>
          <w:sz w:val="22"/>
          <w:szCs w:val="22"/>
        </w:rPr>
      </w:pPr>
      <w:r w:rsidRPr="006C0942">
        <w:rPr>
          <w:sz w:val="22"/>
          <w:szCs w:val="22"/>
          <w:vertAlign w:val="superscript"/>
        </w:rPr>
        <w:t xml:space="preserve">6 </w:t>
      </w:r>
      <w:r w:rsidRPr="006C0942">
        <w:rPr>
          <w:sz w:val="22"/>
          <w:szCs w:val="22"/>
        </w:rPr>
        <w:t xml:space="preserve">University of Groningen, University Medical Center Groningen, Department of Health Psychology, </w:t>
      </w:r>
      <w:r w:rsidR="005D07B6">
        <w:rPr>
          <w:sz w:val="22"/>
          <w:szCs w:val="22"/>
        </w:rPr>
        <w:t xml:space="preserve">9713 GZ </w:t>
      </w:r>
      <w:bookmarkStart w:id="0" w:name="_GoBack"/>
      <w:bookmarkEnd w:id="0"/>
      <w:r w:rsidRPr="006C0942">
        <w:rPr>
          <w:sz w:val="22"/>
          <w:szCs w:val="22"/>
        </w:rPr>
        <w:t>Groningen, The Netherlands</w:t>
      </w:r>
    </w:p>
    <w:p w14:paraId="6C424885" w14:textId="77777777" w:rsidR="005B792D" w:rsidRPr="006C0942" w:rsidRDefault="005B792D" w:rsidP="005B792D">
      <w:pPr>
        <w:spacing w:after="120"/>
        <w:rPr>
          <w:sz w:val="22"/>
          <w:szCs w:val="22"/>
        </w:rPr>
      </w:pPr>
      <w:r w:rsidRPr="006C0942">
        <w:rPr>
          <w:sz w:val="22"/>
          <w:szCs w:val="22"/>
        </w:rPr>
        <w:t>Corresponding author: P. Lanting, p.lanting@umcg.nl; University Medical Center Groningen, Department of Genetics (CB50); Hanzeplein 1, 9713 GZ Groningen, The Netherlands; Phone: +31 (0)50 3617100</w:t>
      </w:r>
    </w:p>
    <w:p w14:paraId="413CA075" w14:textId="51601A18" w:rsidR="00C33C5E" w:rsidRPr="00B374FB" w:rsidRDefault="00C33C5E" w:rsidP="000919B1">
      <w:pPr>
        <w:rPr>
          <w:rFonts w:ascii="Calibri" w:hAnsi="Calibri"/>
          <w:sz w:val="22"/>
          <w:szCs w:val="22"/>
        </w:rPr>
      </w:pPr>
    </w:p>
    <w:p w14:paraId="6FD1285E" w14:textId="77777777" w:rsidR="000031BD" w:rsidRPr="00B374FB" w:rsidRDefault="000031BD" w:rsidP="000919B1">
      <w:pPr>
        <w:rPr>
          <w:rFonts w:ascii="Calibri" w:hAnsi="Calibri"/>
          <w:sz w:val="22"/>
          <w:szCs w:val="22"/>
        </w:rPr>
      </w:pPr>
      <w:r w:rsidRPr="00B374FB">
        <w:rPr>
          <w:rFonts w:ascii="Calibri" w:hAnsi="Calibri"/>
          <w:sz w:val="22"/>
          <w:szCs w:val="22"/>
        </w:rPr>
        <w:br w:type="page"/>
      </w:r>
    </w:p>
    <w:p w14:paraId="6ED5F437" w14:textId="0EA53C22" w:rsidR="00C33C5E" w:rsidRDefault="00B374FB" w:rsidP="000919B1">
      <w:pPr>
        <w:rPr>
          <w:rFonts w:ascii="Calibri" w:hAnsi="Calibri"/>
          <w:b/>
          <w:sz w:val="22"/>
          <w:szCs w:val="22"/>
        </w:rPr>
      </w:pPr>
      <w:r>
        <w:rPr>
          <w:rFonts w:ascii="Calibri" w:hAnsi="Calibri"/>
          <w:b/>
          <w:sz w:val="22"/>
          <w:szCs w:val="22"/>
        </w:rPr>
        <w:lastRenderedPageBreak/>
        <w:t>Supplementary results</w:t>
      </w:r>
    </w:p>
    <w:p w14:paraId="7400A370" w14:textId="77777777" w:rsidR="00E756A9" w:rsidRPr="00856DF9" w:rsidRDefault="00E756A9" w:rsidP="000919B1">
      <w:pPr>
        <w:rPr>
          <w:rFonts w:ascii="Calibri" w:hAnsi="Calibri"/>
          <w:i/>
          <w:sz w:val="22"/>
          <w:szCs w:val="22"/>
        </w:rPr>
      </w:pPr>
    </w:p>
    <w:p w14:paraId="0E0E9471" w14:textId="477D9156" w:rsidR="00E756A9" w:rsidRPr="00856DF9" w:rsidRDefault="00E756A9" w:rsidP="00E756A9">
      <w:pPr>
        <w:pStyle w:val="ListParagraph"/>
        <w:numPr>
          <w:ilvl w:val="0"/>
          <w:numId w:val="1"/>
        </w:numPr>
        <w:rPr>
          <w:sz w:val="22"/>
          <w:szCs w:val="22"/>
        </w:rPr>
      </w:pPr>
      <w:r w:rsidRPr="00856DF9">
        <w:rPr>
          <w:i/>
          <w:sz w:val="22"/>
          <w:szCs w:val="22"/>
        </w:rPr>
        <w:t>Review of patient drug use in response to PGx screening results</w:t>
      </w:r>
    </w:p>
    <w:p w14:paraId="52F831BE" w14:textId="153860C1" w:rsidR="00E756A9" w:rsidRPr="00856DF9" w:rsidRDefault="00E756A9" w:rsidP="00E756A9">
      <w:pPr>
        <w:rPr>
          <w:rFonts w:ascii="Calibri" w:hAnsi="Calibri"/>
          <w:i/>
          <w:sz w:val="22"/>
          <w:szCs w:val="22"/>
        </w:rPr>
      </w:pPr>
      <w:r w:rsidRPr="00856DF9">
        <w:rPr>
          <w:sz w:val="22"/>
          <w:szCs w:val="22"/>
        </w:rPr>
        <w:t>The survey study showed that 89% of patients reported using drugs at the time they received their PGx screening results, and 33% reported that their drugs were reviewed by a</w:t>
      </w:r>
      <w:r w:rsidR="00BB081D">
        <w:rPr>
          <w:sz w:val="22"/>
          <w:szCs w:val="22"/>
        </w:rPr>
        <w:t xml:space="preserve"> health care practitioner (</w:t>
      </w:r>
      <w:r w:rsidRPr="00856DF9">
        <w:rPr>
          <w:sz w:val="22"/>
          <w:szCs w:val="22"/>
        </w:rPr>
        <w:t>HCP</w:t>
      </w:r>
      <w:r w:rsidR="00BB081D">
        <w:rPr>
          <w:sz w:val="22"/>
          <w:szCs w:val="22"/>
        </w:rPr>
        <w:t>)</w:t>
      </w:r>
      <w:r w:rsidRPr="00856DF9">
        <w:rPr>
          <w:sz w:val="22"/>
          <w:szCs w:val="22"/>
        </w:rPr>
        <w:t xml:space="preserve"> in response to the results. No review was reported by 67% of patients, although 42% wanted their drugs reviewed. </w:t>
      </w:r>
      <w:r w:rsidR="00BB081D">
        <w:rPr>
          <w:sz w:val="22"/>
          <w:szCs w:val="22"/>
        </w:rPr>
        <w:t>Patient r</w:t>
      </w:r>
      <w:r w:rsidRPr="00856DF9">
        <w:rPr>
          <w:sz w:val="22"/>
          <w:szCs w:val="22"/>
        </w:rPr>
        <w:t xml:space="preserve">eported reasons for lack of review were that they had not (yet) discussed their wish with their HCP(s) (53%), it was apparently not necessary (20%), drugs were changed anyway (7%), and unknown (20%). Initiative to review drugs was taken by either the physician (44%), patient (31%), community pharmacist (9%), or attendant caregivers (16%). Reviews were reported to have been performed by the hospital physician (71%), community pharmacist (16%), </w:t>
      </w:r>
      <w:r w:rsidR="00BB081D">
        <w:rPr>
          <w:sz w:val="22"/>
          <w:szCs w:val="22"/>
        </w:rPr>
        <w:t>general practitioner (</w:t>
      </w:r>
      <w:r w:rsidRPr="00856DF9">
        <w:rPr>
          <w:sz w:val="22"/>
          <w:szCs w:val="22"/>
        </w:rPr>
        <w:t>GP</w:t>
      </w:r>
      <w:r w:rsidR="00BB081D">
        <w:rPr>
          <w:sz w:val="22"/>
          <w:szCs w:val="22"/>
        </w:rPr>
        <w:t>)</w:t>
      </w:r>
      <w:r w:rsidRPr="00856DF9">
        <w:rPr>
          <w:sz w:val="22"/>
          <w:szCs w:val="22"/>
        </w:rPr>
        <w:t xml:space="preserve"> (6%), a physician from another hospital (3%), or an unspecified HCP (3%). As a result of these reviews, 14 changes in drug treatment were reported by 36% (n=12) of the patients whose drugs were reviewed. Changes included switching to another drug (n=8), discontinuation of a drug (n=3), dose adjustments (n=2), and unspecified change (n=1). </w:t>
      </w:r>
      <w:r w:rsidR="00BB081D">
        <w:rPr>
          <w:sz w:val="22"/>
          <w:szCs w:val="22"/>
        </w:rPr>
        <w:t>Eighteen</w:t>
      </w:r>
      <w:r w:rsidR="00BB081D" w:rsidRPr="00856DF9">
        <w:rPr>
          <w:sz w:val="22"/>
          <w:szCs w:val="22"/>
        </w:rPr>
        <w:t xml:space="preserve"> </w:t>
      </w:r>
      <w:r w:rsidR="00856DF9" w:rsidRPr="00856DF9">
        <w:rPr>
          <w:sz w:val="22"/>
          <w:szCs w:val="22"/>
        </w:rPr>
        <w:t>patients</w:t>
      </w:r>
      <w:r w:rsidRPr="00856DF9">
        <w:rPr>
          <w:sz w:val="22"/>
          <w:szCs w:val="22"/>
        </w:rPr>
        <w:t xml:space="preserve"> (55%) whose drugs were reviewed but not changed reported the reason: no changes were needed (78%), risk of ADRs was unacceptable (6%), insufficient information to make a change (6%), or unspecified (11%). The remaining 9% of patients whose drugs were reviewed did not report any changes in drug treatment or why no changes were made.</w:t>
      </w:r>
    </w:p>
    <w:p w14:paraId="227866A0" w14:textId="480F5EDC" w:rsidR="00B374FB" w:rsidRPr="00856DF9" w:rsidRDefault="00B374FB" w:rsidP="00E756A9">
      <w:pPr>
        <w:pStyle w:val="ListParagraph"/>
        <w:numPr>
          <w:ilvl w:val="0"/>
          <w:numId w:val="1"/>
        </w:numPr>
        <w:spacing w:before="120"/>
        <w:rPr>
          <w:rFonts w:ascii="Calibri" w:hAnsi="Calibri"/>
          <w:i/>
          <w:sz w:val="22"/>
          <w:szCs w:val="22"/>
        </w:rPr>
      </w:pPr>
      <w:r w:rsidRPr="00856DF9">
        <w:rPr>
          <w:rFonts w:ascii="Calibri" w:hAnsi="Calibri"/>
          <w:i/>
          <w:sz w:val="22"/>
          <w:szCs w:val="22"/>
        </w:rPr>
        <w:t>Clinical Decision Support searches and output</w:t>
      </w:r>
    </w:p>
    <w:p w14:paraId="1982F200" w14:textId="73B8995C" w:rsidR="00B15511" w:rsidRDefault="00B374FB" w:rsidP="00B374FB">
      <w:pPr>
        <w:rPr>
          <w:rFonts w:ascii="Calibri" w:hAnsi="Calibri"/>
          <w:sz w:val="22"/>
          <w:szCs w:val="22"/>
        </w:rPr>
      </w:pPr>
      <w:r>
        <w:rPr>
          <w:rFonts w:ascii="Calibri" w:hAnsi="Calibri"/>
          <w:sz w:val="22"/>
          <w:szCs w:val="22"/>
        </w:rPr>
        <w:t xml:space="preserve">Details of </w:t>
      </w:r>
      <w:r w:rsidR="00BB081D">
        <w:rPr>
          <w:rFonts w:ascii="Calibri" w:hAnsi="Calibri"/>
          <w:sz w:val="22"/>
          <w:szCs w:val="22"/>
        </w:rPr>
        <w:t>drug-gene interactions (</w:t>
      </w:r>
      <w:r>
        <w:rPr>
          <w:rFonts w:ascii="Calibri" w:hAnsi="Calibri"/>
          <w:sz w:val="22"/>
          <w:szCs w:val="22"/>
        </w:rPr>
        <w:t>DGIs</w:t>
      </w:r>
      <w:r w:rsidR="00BB081D">
        <w:rPr>
          <w:rFonts w:ascii="Calibri" w:hAnsi="Calibri"/>
          <w:sz w:val="22"/>
          <w:szCs w:val="22"/>
        </w:rPr>
        <w:t>)</w:t>
      </w:r>
      <w:r>
        <w:rPr>
          <w:rFonts w:ascii="Calibri" w:hAnsi="Calibri"/>
          <w:sz w:val="22"/>
          <w:szCs w:val="22"/>
        </w:rPr>
        <w:t xml:space="preserve"> involved in </w:t>
      </w:r>
      <w:r w:rsidR="00BB081D">
        <w:rPr>
          <w:rFonts w:ascii="Calibri" w:hAnsi="Calibri"/>
          <w:sz w:val="22"/>
          <w:szCs w:val="22"/>
        </w:rPr>
        <w:t>clinical decision support (</w:t>
      </w:r>
      <w:r>
        <w:rPr>
          <w:rFonts w:ascii="Calibri" w:hAnsi="Calibri"/>
          <w:sz w:val="22"/>
          <w:szCs w:val="22"/>
        </w:rPr>
        <w:t>CDS</w:t>
      </w:r>
      <w:r w:rsidR="00BB081D">
        <w:rPr>
          <w:rFonts w:ascii="Calibri" w:hAnsi="Calibri"/>
          <w:sz w:val="22"/>
          <w:szCs w:val="22"/>
        </w:rPr>
        <w:t>)</w:t>
      </w:r>
      <w:r>
        <w:rPr>
          <w:rFonts w:ascii="Calibri" w:hAnsi="Calibri"/>
          <w:sz w:val="22"/>
          <w:szCs w:val="22"/>
        </w:rPr>
        <w:t xml:space="preserve"> searches and resulting actions taken by physicians are presented in the table below. </w:t>
      </w:r>
    </w:p>
    <w:p w14:paraId="65A974AA" w14:textId="105C9BBE" w:rsidR="00B374FB" w:rsidRDefault="00B374FB" w:rsidP="00B15511">
      <w:pPr>
        <w:ind w:firstLine="720"/>
        <w:rPr>
          <w:rFonts w:ascii="Calibri" w:hAnsi="Calibri"/>
          <w:sz w:val="22"/>
          <w:szCs w:val="22"/>
        </w:rPr>
      </w:pPr>
      <w:r>
        <w:rPr>
          <w:rFonts w:ascii="Calibri" w:hAnsi="Calibri"/>
          <w:sz w:val="22"/>
          <w:szCs w:val="22"/>
        </w:rPr>
        <w:t>One</w:t>
      </w:r>
      <w:r w:rsidRPr="00B374FB">
        <w:rPr>
          <w:rFonts w:ascii="Calibri" w:hAnsi="Calibri"/>
          <w:sz w:val="22"/>
          <w:szCs w:val="22"/>
        </w:rPr>
        <w:t xml:space="preserve"> physician prescribed no alternative despite the recommendation to do so</w:t>
      </w:r>
      <w:r>
        <w:rPr>
          <w:rFonts w:ascii="Calibri" w:hAnsi="Calibri"/>
          <w:sz w:val="22"/>
          <w:szCs w:val="22"/>
        </w:rPr>
        <w:t xml:space="preserve"> (marked with * in the table). (S)he</w:t>
      </w:r>
      <w:r w:rsidRPr="00B374FB">
        <w:rPr>
          <w:rFonts w:ascii="Calibri" w:hAnsi="Calibri"/>
          <w:sz w:val="22"/>
          <w:szCs w:val="22"/>
        </w:rPr>
        <w:t xml:space="preserve"> commented that the indication for the drug was different from the indication for which the recommendation was written, there were no adverse drug reactions (ADRs),</w:t>
      </w:r>
      <w:r w:rsidR="00BB081D">
        <w:rPr>
          <w:rFonts w:ascii="Calibri" w:hAnsi="Calibri"/>
          <w:sz w:val="22"/>
          <w:szCs w:val="22"/>
        </w:rPr>
        <w:t xml:space="preserve"> and</w:t>
      </w:r>
      <w:r w:rsidRPr="00B374FB">
        <w:rPr>
          <w:rFonts w:ascii="Calibri" w:hAnsi="Calibri"/>
          <w:sz w:val="22"/>
          <w:szCs w:val="22"/>
        </w:rPr>
        <w:t xml:space="preserve"> the treatment was effective. If this would change, an alternative would be prescribed. This comment illustrates how the practical application of PGx can transcend guideline recommendations and application is not always straightforward.</w:t>
      </w:r>
      <w:r>
        <w:rPr>
          <w:rFonts w:ascii="Calibri" w:hAnsi="Calibri"/>
          <w:sz w:val="22"/>
          <w:szCs w:val="22"/>
        </w:rPr>
        <w:t xml:space="preserve"> </w:t>
      </w:r>
    </w:p>
    <w:p w14:paraId="3FC1EAEF" w14:textId="4A5327F1" w:rsidR="00B374FB" w:rsidRPr="00B374FB" w:rsidRDefault="00B374FB" w:rsidP="00B15511">
      <w:pPr>
        <w:ind w:firstLine="720"/>
        <w:rPr>
          <w:rFonts w:ascii="Calibri" w:hAnsi="Calibri"/>
          <w:sz w:val="22"/>
          <w:szCs w:val="22"/>
        </w:rPr>
      </w:pPr>
      <w:r>
        <w:rPr>
          <w:rFonts w:ascii="Calibri" w:hAnsi="Calibri"/>
          <w:sz w:val="22"/>
          <w:szCs w:val="22"/>
        </w:rPr>
        <w:t>Another physician prescribed an alternative</w:t>
      </w:r>
      <w:r w:rsidR="00BB081D">
        <w:rPr>
          <w:rFonts w:ascii="Calibri" w:hAnsi="Calibri"/>
          <w:sz w:val="22"/>
          <w:szCs w:val="22"/>
        </w:rPr>
        <w:t xml:space="preserve"> medication</w:t>
      </w:r>
      <w:r>
        <w:rPr>
          <w:rFonts w:ascii="Calibri" w:hAnsi="Calibri"/>
          <w:sz w:val="22"/>
          <w:szCs w:val="22"/>
        </w:rPr>
        <w:t xml:space="preserve"> to a patient already using </w:t>
      </w:r>
      <w:r w:rsidR="00BB081D">
        <w:rPr>
          <w:rFonts w:ascii="Calibri" w:hAnsi="Calibri"/>
          <w:sz w:val="22"/>
          <w:szCs w:val="22"/>
        </w:rPr>
        <w:t xml:space="preserve">a </w:t>
      </w:r>
      <w:r>
        <w:rPr>
          <w:rFonts w:ascii="Calibri" w:hAnsi="Calibri"/>
          <w:sz w:val="22"/>
          <w:szCs w:val="22"/>
        </w:rPr>
        <w:t>drug, in adherence with the recommendation shown (marked with # in the table). Looking into this particular case clearly shows the potential of PGx-guided drug prescription</w:t>
      </w:r>
      <w:r w:rsidR="0095750B">
        <w:rPr>
          <w:rFonts w:ascii="Calibri" w:hAnsi="Calibri"/>
          <w:sz w:val="22"/>
          <w:szCs w:val="22"/>
        </w:rPr>
        <w:t xml:space="preserve"> on a patient level</w:t>
      </w:r>
      <w:r>
        <w:rPr>
          <w:rFonts w:ascii="Calibri" w:hAnsi="Calibri"/>
          <w:sz w:val="22"/>
          <w:szCs w:val="22"/>
        </w:rPr>
        <w:t>. In this case, a</w:t>
      </w:r>
      <w:r w:rsidRPr="00B374FB">
        <w:rPr>
          <w:rFonts w:ascii="Calibri" w:hAnsi="Calibri"/>
          <w:sz w:val="22"/>
          <w:szCs w:val="22"/>
        </w:rPr>
        <w:t xml:space="preserve"> 38-year old patient was diagnosed with small fiber peripheral neuropathy and treated with amitriptyline 30 mg. Therapy was ineffective and multipl</w:t>
      </w:r>
      <w:r w:rsidR="00BB081D">
        <w:rPr>
          <w:rFonts w:ascii="Calibri" w:hAnsi="Calibri"/>
          <w:sz w:val="22"/>
          <w:szCs w:val="22"/>
        </w:rPr>
        <w:t xml:space="preserve">e </w:t>
      </w:r>
      <w:r>
        <w:rPr>
          <w:rFonts w:ascii="Calibri" w:hAnsi="Calibri"/>
          <w:sz w:val="22"/>
          <w:szCs w:val="22"/>
        </w:rPr>
        <w:t>ADRs</w:t>
      </w:r>
      <w:r w:rsidRPr="00B374FB">
        <w:rPr>
          <w:rFonts w:ascii="Calibri" w:hAnsi="Calibri"/>
          <w:sz w:val="22"/>
          <w:szCs w:val="22"/>
        </w:rPr>
        <w:t xml:space="preserve"> were present. Genotyping revealed this patient as a CYP2D6 intermediate metabolizer, for which DPWG guidelines recommend prescribing an alternative if possible. After three weeks of pregabalin, the patient was pain-free and the ADRs were gone. The patient reported being ‘really happy’ to have participated in this study.</w:t>
      </w:r>
    </w:p>
    <w:p w14:paraId="14C31C94" w14:textId="33251C48" w:rsidR="00B374FB" w:rsidRDefault="00B374FB" w:rsidP="00730D23">
      <w:pPr>
        <w:ind w:firstLine="720"/>
        <w:rPr>
          <w:rFonts w:ascii="Calibri" w:hAnsi="Calibri"/>
          <w:sz w:val="22"/>
          <w:szCs w:val="22"/>
        </w:rPr>
      </w:pPr>
      <w:r w:rsidRPr="00B374FB">
        <w:rPr>
          <w:rFonts w:ascii="Calibri" w:hAnsi="Calibri"/>
          <w:sz w:val="22"/>
          <w:szCs w:val="22"/>
        </w:rPr>
        <w:t>Amitriptyline is metabolized by CYP2C19 into the active metabolite nortriptyline. Both amitriptyline and nortriptyline are metabolized by CYP2D6. A lower metabolic capacity of CYP2D6 causes an increase in plasma concentrations of amitriptyline and nortriptyline and a decrease in plasma concentrations of the less potent or inactive metabolites.</w:t>
      </w:r>
      <w:r>
        <w:rPr>
          <w:rFonts w:ascii="Calibri" w:hAnsi="Calibri"/>
          <w:sz w:val="22"/>
          <w:szCs w:val="22"/>
        </w:rPr>
        <w:fldChar w:fldCharType="begin"/>
      </w:r>
      <w:r>
        <w:rPr>
          <w:rFonts w:ascii="Calibri" w:hAnsi="Calibri"/>
          <w:sz w:val="22"/>
          <w:szCs w:val="22"/>
        </w:rPr>
        <w:instrText xml:space="preserve"> ADDIN ZOTERO_ITEM CSL_CITATION {"citationID":"DZlXEYwD","properties":{"formattedCitation":"\\super 1\\nosupersub{}","plainCitation":"1","noteIndex":0},"citationItems":[{"id":64,"uris":["http://zotero.org/users/local/tKhEs3aL/items/FXCXXIMR"],"uri":["http://zotero.org/users/local/tKhEs3aL/items/FXCXXIMR"],"itemData":{"id":64,"type":"article-journal","abstract":"The Pharmacogenomics Knowledgebase (PharmGKB) is a resource that collects, curates, and disseminates information about the impact of human genetic variation on drug responses. It provides clinically relevant information, including dosing guidelines, annotated drug labels, and potentially actionable gene-drug associations and genotype-phenotype relationships. Curators assign levels of evidence to variant-drug associations using well-defined criteria based on careful literature review. Thus, PharmGKB is a useful source of high-quality information supporting personalized medicine-implementation projects.","container-title":"Clin Pharmacol Ther","DOI":"10.1038/clpt.2012.96","ISSN":"1532-6535 (Electronic) 0009-9236 (Linking)","issue":"4","note":"PMCID: PMC3660037","page":"414-7","title":"Pharmacogenomics knowledge for personalized medicine","volume":"92","author":[{"family":"Whirl-Carrillo","given":"M."},{"family":"McDonagh","given":"E. M."},{"family":"Hebert","given":"J. M."},{"family":"Gong","given":"L."},{"family":"Sangkuhl","given":"K."},{"family":"Thorn","given":"C. F."},{"family":"Altman","given":"R. B."},{"family":"Klein","given":"T. E."}],"issued":{"date-parts":[["2012",10]]}}}],"schema":"https://github.com/citation-style-language/schema/raw/master/csl-citation.json"} </w:instrText>
      </w:r>
      <w:r>
        <w:rPr>
          <w:rFonts w:ascii="Calibri" w:hAnsi="Calibri"/>
          <w:sz w:val="22"/>
          <w:szCs w:val="22"/>
        </w:rPr>
        <w:fldChar w:fldCharType="separate"/>
      </w:r>
      <w:r w:rsidRPr="00B374FB">
        <w:rPr>
          <w:rFonts w:ascii="Calibri" w:hAnsi="Calibri" w:cs="Times New Roman"/>
          <w:sz w:val="22"/>
          <w:vertAlign w:val="superscript"/>
        </w:rPr>
        <w:t>1</w:t>
      </w:r>
      <w:r>
        <w:rPr>
          <w:rFonts w:ascii="Calibri" w:hAnsi="Calibri"/>
          <w:sz w:val="22"/>
          <w:szCs w:val="22"/>
        </w:rPr>
        <w:fldChar w:fldCharType="end"/>
      </w:r>
      <w:r>
        <w:rPr>
          <w:rFonts w:ascii="Calibri" w:hAnsi="Calibri"/>
          <w:noProof/>
          <w:sz w:val="22"/>
          <w:szCs w:val="22"/>
        </w:rPr>
        <w:t xml:space="preserve"> </w:t>
      </w:r>
      <w:r>
        <w:rPr>
          <w:rFonts w:ascii="Calibri" w:hAnsi="Calibri"/>
          <w:sz w:val="22"/>
          <w:szCs w:val="22"/>
        </w:rPr>
        <w:fldChar w:fldCharType="begin"/>
      </w:r>
      <w:r>
        <w:rPr>
          <w:rFonts w:ascii="Calibri" w:hAnsi="Calibri"/>
          <w:sz w:val="22"/>
          <w:szCs w:val="22"/>
        </w:rPr>
        <w:instrText xml:space="preserve"> ADDIN ZOTERO_TEMP </w:instrText>
      </w:r>
      <w:r>
        <w:rPr>
          <w:rFonts w:ascii="Calibri" w:hAnsi="Calibri"/>
          <w:sz w:val="22"/>
          <w:szCs w:val="22"/>
        </w:rPr>
        <w:fldChar w:fldCharType="separate"/>
      </w:r>
      <w:r>
        <w:rPr>
          <w:rFonts w:ascii="Calibri" w:hAnsi="Calibri"/>
          <w:noProof/>
          <w:sz w:val="22"/>
          <w:szCs w:val="22"/>
        </w:rPr>
        <w:t xml:space="preserve"> </w:t>
      </w:r>
      <w:r>
        <w:rPr>
          <w:rFonts w:ascii="Calibri" w:hAnsi="Calibri"/>
          <w:sz w:val="22"/>
          <w:szCs w:val="22"/>
        </w:rPr>
        <w:fldChar w:fldCharType="end"/>
      </w:r>
    </w:p>
    <w:p w14:paraId="615DF12F" w14:textId="77777777" w:rsidR="00B374FB" w:rsidRPr="00B374FB" w:rsidRDefault="00B374FB" w:rsidP="000919B1">
      <w:pPr>
        <w:rPr>
          <w:rFonts w:ascii="Calibri" w:hAnsi="Calibri"/>
          <w:sz w:val="22"/>
          <w:szCs w:val="22"/>
        </w:rPr>
      </w:pPr>
    </w:p>
    <w:p w14:paraId="24008F62" w14:textId="168CE9AB" w:rsidR="00B374FB" w:rsidRPr="00B374FB" w:rsidRDefault="00B374FB" w:rsidP="00B374FB">
      <w:pPr>
        <w:rPr>
          <w:rFonts w:ascii="Calibri" w:hAnsi="Calibri"/>
          <w:sz w:val="22"/>
          <w:szCs w:val="22"/>
        </w:rPr>
      </w:pPr>
      <w:r w:rsidRPr="00B374FB">
        <w:rPr>
          <w:rFonts w:ascii="Calibri" w:hAnsi="Calibri"/>
          <w:b/>
          <w:sz w:val="22"/>
          <w:szCs w:val="22"/>
        </w:rPr>
        <w:t xml:space="preserve">Table </w:t>
      </w:r>
      <w:r>
        <w:rPr>
          <w:rFonts w:ascii="Calibri" w:hAnsi="Calibri"/>
          <w:b/>
          <w:sz w:val="22"/>
          <w:szCs w:val="22"/>
        </w:rPr>
        <w:t>SR</w:t>
      </w:r>
      <w:r w:rsidRPr="00B374FB">
        <w:rPr>
          <w:rFonts w:ascii="Calibri" w:hAnsi="Calibri"/>
          <w:b/>
          <w:sz w:val="22"/>
          <w:szCs w:val="22"/>
        </w:rPr>
        <w:t xml:space="preserve">1 </w:t>
      </w:r>
      <w:r w:rsidRPr="00B374FB">
        <w:rPr>
          <w:rFonts w:ascii="Calibri" w:hAnsi="Calibri"/>
          <w:sz w:val="22"/>
          <w:szCs w:val="22"/>
        </w:rPr>
        <w:t>Details of actionable recommendations</w:t>
      </w:r>
    </w:p>
    <w:tbl>
      <w:tblPr>
        <w:tblStyle w:val="TableGrid"/>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830"/>
        <w:gridCol w:w="3402"/>
        <w:gridCol w:w="3544"/>
      </w:tblGrid>
      <w:tr w:rsidR="00B374FB" w:rsidRPr="00B374FB" w14:paraId="4A63BF8F" w14:textId="77777777" w:rsidTr="00470580">
        <w:tc>
          <w:tcPr>
            <w:tcW w:w="2830" w:type="dxa"/>
            <w:tcBorders>
              <w:top w:val="nil"/>
              <w:bottom w:val="double" w:sz="4" w:space="0" w:color="auto"/>
            </w:tcBorders>
          </w:tcPr>
          <w:p w14:paraId="448975B2" w14:textId="77777777" w:rsidR="00B374FB" w:rsidRPr="00B374FB" w:rsidRDefault="00B374FB" w:rsidP="00B374FB">
            <w:pPr>
              <w:rPr>
                <w:rFonts w:ascii="Calibri" w:hAnsi="Calibri"/>
                <w:sz w:val="22"/>
                <w:szCs w:val="22"/>
              </w:rPr>
            </w:pPr>
            <w:r w:rsidRPr="00B374FB">
              <w:rPr>
                <w:rFonts w:ascii="Calibri" w:hAnsi="Calibri"/>
                <w:sz w:val="22"/>
                <w:szCs w:val="22"/>
              </w:rPr>
              <w:t xml:space="preserve">Recommendation </w:t>
            </w:r>
          </w:p>
        </w:tc>
        <w:tc>
          <w:tcPr>
            <w:tcW w:w="3402" w:type="dxa"/>
            <w:tcBorders>
              <w:top w:val="nil"/>
              <w:bottom w:val="double" w:sz="4" w:space="0" w:color="auto"/>
            </w:tcBorders>
          </w:tcPr>
          <w:p w14:paraId="6875185C" w14:textId="262A7C64" w:rsidR="00B374FB" w:rsidRPr="00B374FB" w:rsidRDefault="00B374FB" w:rsidP="00B374FB">
            <w:pPr>
              <w:rPr>
                <w:rFonts w:ascii="Calibri" w:hAnsi="Calibri"/>
                <w:sz w:val="22"/>
                <w:szCs w:val="22"/>
              </w:rPr>
            </w:pPr>
            <w:r w:rsidRPr="00B374FB">
              <w:rPr>
                <w:rFonts w:ascii="Calibri" w:hAnsi="Calibri"/>
                <w:sz w:val="22"/>
                <w:szCs w:val="22"/>
              </w:rPr>
              <w:t xml:space="preserve">DGIs </w:t>
            </w:r>
            <w:r w:rsidR="006E3E32">
              <w:rPr>
                <w:rFonts w:ascii="Calibri" w:hAnsi="Calibri"/>
                <w:sz w:val="22"/>
                <w:szCs w:val="22"/>
              </w:rPr>
              <w:t>involved</w:t>
            </w:r>
          </w:p>
        </w:tc>
        <w:tc>
          <w:tcPr>
            <w:tcW w:w="3544" w:type="dxa"/>
            <w:tcBorders>
              <w:top w:val="nil"/>
              <w:bottom w:val="double" w:sz="4" w:space="0" w:color="auto"/>
            </w:tcBorders>
          </w:tcPr>
          <w:p w14:paraId="6F34746F" w14:textId="77777777" w:rsidR="00B374FB" w:rsidRPr="00B374FB" w:rsidRDefault="00B374FB" w:rsidP="00B374FB">
            <w:pPr>
              <w:rPr>
                <w:rFonts w:ascii="Calibri" w:hAnsi="Calibri"/>
                <w:sz w:val="22"/>
                <w:szCs w:val="22"/>
              </w:rPr>
            </w:pPr>
            <w:r w:rsidRPr="00B374FB">
              <w:rPr>
                <w:rFonts w:ascii="Calibri" w:hAnsi="Calibri"/>
                <w:sz w:val="22"/>
                <w:szCs w:val="22"/>
              </w:rPr>
              <w:t>Resulting actions</w:t>
            </w:r>
          </w:p>
        </w:tc>
      </w:tr>
      <w:tr w:rsidR="00B374FB" w:rsidRPr="00B374FB" w14:paraId="5ACD7049" w14:textId="77777777" w:rsidTr="00470580">
        <w:tc>
          <w:tcPr>
            <w:tcW w:w="2830" w:type="dxa"/>
            <w:tcBorders>
              <w:top w:val="double" w:sz="4" w:space="0" w:color="auto"/>
            </w:tcBorders>
          </w:tcPr>
          <w:p w14:paraId="6FB8A6E4" w14:textId="77777777" w:rsidR="00B374FB" w:rsidRPr="00B374FB" w:rsidRDefault="00B374FB" w:rsidP="00B374FB">
            <w:pPr>
              <w:rPr>
                <w:rFonts w:ascii="Calibri" w:hAnsi="Calibri"/>
                <w:sz w:val="22"/>
                <w:szCs w:val="22"/>
              </w:rPr>
            </w:pPr>
            <w:r w:rsidRPr="00B374FB">
              <w:rPr>
                <w:rFonts w:ascii="Calibri" w:hAnsi="Calibri"/>
                <w:sz w:val="22"/>
                <w:szCs w:val="22"/>
              </w:rPr>
              <w:t>Adhere to adjusted maximum (daily) dose or prescribe alternative (n=6)</w:t>
            </w:r>
          </w:p>
        </w:tc>
        <w:tc>
          <w:tcPr>
            <w:tcW w:w="3402" w:type="dxa"/>
            <w:tcBorders>
              <w:top w:val="double" w:sz="4" w:space="0" w:color="auto"/>
            </w:tcBorders>
          </w:tcPr>
          <w:p w14:paraId="19E75FC8" w14:textId="77777777" w:rsidR="00B374FB" w:rsidRPr="00B374FB" w:rsidRDefault="00B374FB" w:rsidP="00B374FB">
            <w:pPr>
              <w:rPr>
                <w:rFonts w:ascii="Calibri" w:hAnsi="Calibri"/>
                <w:sz w:val="22"/>
                <w:szCs w:val="22"/>
              </w:rPr>
            </w:pPr>
            <w:r w:rsidRPr="00B374FB">
              <w:rPr>
                <w:rFonts w:ascii="Calibri" w:hAnsi="Calibri"/>
                <w:sz w:val="22"/>
                <w:szCs w:val="22"/>
              </w:rPr>
              <w:t>Citalopram + CYP2C19 (n=5)</w:t>
            </w:r>
          </w:p>
          <w:p w14:paraId="5C52454F" w14:textId="77777777" w:rsidR="00B374FB" w:rsidRPr="00B374FB" w:rsidRDefault="00B374FB" w:rsidP="00B374FB">
            <w:pPr>
              <w:rPr>
                <w:rFonts w:ascii="Calibri" w:hAnsi="Calibri"/>
                <w:sz w:val="22"/>
                <w:szCs w:val="22"/>
              </w:rPr>
            </w:pPr>
            <w:r w:rsidRPr="00B374FB">
              <w:rPr>
                <w:rFonts w:ascii="Calibri" w:hAnsi="Calibri"/>
                <w:sz w:val="22"/>
                <w:szCs w:val="22"/>
              </w:rPr>
              <w:t>Escitalopram + CYP2C19 (n=3)</w:t>
            </w:r>
          </w:p>
          <w:p w14:paraId="5B39D6BE" w14:textId="77777777" w:rsidR="00B374FB" w:rsidRPr="00B374FB" w:rsidRDefault="00B374FB" w:rsidP="00B374FB">
            <w:pPr>
              <w:rPr>
                <w:rFonts w:ascii="Calibri" w:hAnsi="Calibri"/>
                <w:sz w:val="22"/>
                <w:szCs w:val="22"/>
              </w:rPr>
            </w:pPr>
            <w:r w:rsidRPr="00B374FB">
              <w:rPr>
                <w:rFonts w:ascii="Calibri" w:hAnsi="Calibri"/>
                <w:sz w:val="22"/>
                <w:szCs w:val="22"/>
              </w:rPr>
              <w:t>Imipramine CYP2D6 (n=1)</w:t>
            </w:r>
          </w:p>
        </w:tc>
        <w:tc>
          <w:tcPr>
            <w:tcW w:w="3544" w:type="dxa"/>
            <w:tcBorders>
              <w:top w:val="double" w:sz="4" w:space="0" w:color="auto"/>
            </w:tcBorders>
          </w:tcPr>
          <w:p w14:paraId="54F01834" w14:textId="77777777" w:rsidR="00B374FB" w:rsidRPr="00B374FB" w:rsidRDefault="00B374FB" w:rsidP="00B374FB">
            <w:pPr>
              <w:rPr>
                <w:rFonts w:ascii="Calibri" w:hAnsi="Calibri"/>
                <w:sz w:val="22"/>
                <w:szCs w:val="22"/>
              </w:rPr>
            </w:pPr>
            <w:r w:rsidRPr="00B374FB">
              <w:rPr>
                <w:rFonts w:ascii="Calibri" w:hAnsi="Calibri"/>
                <w:sz w:val="22"/>
                <w:szCs w:val="22"/>
              </w:rPr>
              <w:t xml:space="preserve">No drug prescribed (n=3) </w:t>
            </w:r>
          </w:p>
          <w:p w14:paraId="19DD7349" w14:textId="77777777" w:rsidR="00B374FB" w:rsidRPr="00B374FB" w:rsidRDefault="00B374FB" w:rsidP="00B374FB">
            <w:pPr>
              <w:rPr>
                <w:rFonts w:ascii="Calibri" w:hAnsi="Calibri"/>
                <w:sz w:val="22"/>
                <w:szCs w:val="22"/>
              </w:rPr>
            </w:pPr>
            <w:r w:rsidRPr="00B374FB">
              <w:rPr>
                <w:rFonts w:ascii="Calibri" w:hAnsi="Calibri"/>
                <w:sz w:val="22"/>
                <w:szCs w:val="22"/>
              </w:rPr>
              <w:t xml:space="preserve">Alternative drug prescribed (n=1)  </w:t>
            </w:r>
          </w:p>
          <w:p w14:paraId="5F9C7CAD" w14:textId="77777777" w:rsidR="00B374FB" w:rsidRPr="00B374FB" w:rsidRDefault="00B374FB" w:rsidP="00B374FB">
            <w:pPr>
              <w:rPr>
                <w:rFonts w:ascii="Calibri" w:hAnsi="Calibri"/>
                <w:sz w:val="22"/>
                <w:szCs w:val="22"/>
              </w:rPr>
            </w:pPr>
            <w:r w:rsidRPr="00B374FB">
              <w:rPr>
                <w:rFonts w:ascii="Calibri" w:hAnsi="Calibri"/>
                <w:sz w:val="22"/>
                <w:szCs w:val="22"/>
              </w:rPr>
              <w:t xml:space="preserve">Drug stopped (n=1) </w:t>
            </w:r>
          </w:p>
          <w:p w14:paraId="1167EBCA" w14:textId="77777777" w:rsidR="00B374FB" w:rsidRPr="00B374FB" w:rsidRDefault="00B374FB" w:rsidP="00B374FB">
            <w:pPr>
              <w:rPr>
                <w:rFonts w:ascii="Calibri" w:hAnsi="Calibri"/>
                <w:sz w:val="22"/>
                <w:szCs w:val="22"/>
              </w:rPr>
            </w:pPr>
            <w:r w:rsidRPr="00B374FB">
              <w:rPr>
                <w:rFonts w:ascii="Calibri" w:hAnsi="Calibri"/>
                <w:sz w:val="22"/>
                <w:szCs w:val="22"/>
              </w:rPr>
              <w:t>Drug already in use in adjusted maximum dose (n=1)</w:t>
            </w:r>
          </w:p>
        </w:tc>
      </w:tr>
      <w:tr w:rsidR="00B374FB" w:rsidRPr="00B374FB" w14:paraId="75A335DD" w14:textId="77777777" w:rsidTr="00470580">
        <w:tc>
          <w:tcPr>
            <w:tcW w:w="2830" w:type="dxa"/>
          </w:tcPr>
          <w:p w14:paraId="16597A70" w14:textId="77777777" w:rsidR="00B374FB" w:rsidRPr="00B374FB" w:rsidRDefault="00B374FB" w:rsidP="00B374FB">
            <w:pPr>
              <w:rPr>
                <w:rFonts w:ascii="Calibri" w:hAnsi="Calibri"/>
                <w:sz w:val="22"/>
                <w:szCs w:val="22"/>
              </w:rPr>
            </w:pPr>
            <w:r w:rsidRPr="00B374FB">
              <w:rPr>
                <w:rFonts w:ascii="Calibri" w:hAnsi="Calibri"/>
                <w:sz w:val="22"/>
                <w:szCs w:val="22"/>
              </w:rPr>
              <w:t>Prescribe alternative (n=5)</w:t>
            </w:r>
          </w:p>
        </w:tc>
        <w:tc>
          <w:tcPr>
            <w:tcW w:w="3402" w:type="dxa"/>
          </w:tcPr>
          <w:p w14:paraId="01BACCF8" w14:textId="77777777" w:rsidR="00B374FB" w:rsidRPr="00B374FB" w:rsidRDefault="00B374FB" w:rsidP="00B374FB">
            <w:pPr>
              <w:rPr>
                <w:rFonts w:ascii="Calibri" w:hAnsi="Calibri"/>
                <w:sz w:val="22"/>
                <w:szCs w:val="22"/>
              </w:rPr>
            </w:pPr>
            <w:r w:rsidRPr="00B374FB">
              <w:rPr>
                <w:rFonts w:ascii="Calibri" w:hAnsi="Calibri"/>
                <w:sz w:val="22"/>
                <w:szCs w:val="22"/>
              </w:rPr>
              <w:t>Venlafaxine + CYP2D6 (n=3)</w:t>
            </w:r>
          </w:p>
          <w:p w14:paraId="7655F4FF" w14:textId="77777777" w:rsidR="00B374FB" w:rsidRPr="00B374FB" w:rsidRDefault="00B374FB" w:rsidP="00B374FB">
            <w:pPr>
              <w:rPr>
                <w:rFonts w:ascii="Calibri" w:hAnsi="Calibri"/>
                <w:sz w:val="22"/>
                <w:szCs w:val="22"/>
              </w:rPr>
            </w:pPr>
            <w:r w:rsidRPr="00B374FB">
              <w:rPr>
                <w:rFonts w:ascii="Calibri" w:hAnsi="Calibri"/>
                <w:sz w:val="22"/>
                <w:szCs w:val="22"/>
              </w:rPr>
              <w:t>Amitriptyline + CYP2D6 (n=2)</w:t>
            </w:r>
          </w:p>
        </w:tc>
        <w:tc>
          <w:tcPr>
            <w:tcW w:w="3544" w:type="dxa"/>
          </w:tcPr>
          <w:p w14:paraId="5AA4CF9A" w14:textId="77777777" w:rsidR="00B374FB" w:rsidRPr="00B374FB" w:rsidRDefault="00B374FB" w:rsidP="00B374FB">
            <w:pPr>
              <w:rPr>
                <w:rFonts w:ascii="Calibri" w:hAnsi="Calibri"/>
                <w:sz w:val="22"/>
                <w:szCs w:val="22"/>
              </w:rPr>
            </w:pPr>
            <w:r w:rsidRPr="00B374FB">
              <w:rPr>
                <w:rFonts w:ascii="Calibri" w:hAnsi="Calibri"/>
                <w:sz w:val="22"/>
                <w:szCs w:val="22"/>
              </w:rPr>
              <w:t>No drug prescribed (n=2)</w:t>
            </w:r>
          </w:p>
          <w:p w14:paraId="7FBD262D" w14:textId="77777777" w:rsidR="00B374FB" w:rsidRPr="00B374FB" w:rsidRDefault="00B374FB" w:rsidP="00B374FB">
            <w:pPr>
              <w:rPr>
                <w:rFonts w:ascii="Calibri" w:hAnsi="Calibri"/>
                <w:sz w:val="22"/>
                <w:szCs w:val="22"/>
              </w:rPr>
            </w:pPr>
            <w:r w:rsidRPr="00B374FB">
              <w:rPr>
                <w:rFonts w:ascii="Calibri" w:hAnsi="Calibri"/>
                <w:sz w:val="22"/>
                <w:szCs w:val="22"/>
              </w:rPr>
              <w:t>Alternative drug prescribed (n=1)</w:t>
            </w:r>
          </w:p>
          <w:p w14:paraId="166E8762" w14:textId="58BCFEFC" w:rsidR="00B374FB" w:rsidRPr="00B374FB" w:rsidRDefault="00B374FB" w:rsidP="00B374FB">
            <w:pPr>
              <w:rPr>
                <w:rFonts w:ascii="Calibri" w:hAnsi="Calibri"/>
                <w:sz w:val="22"/>
                <w:szCs w:val="22"/>
              </w:rPr>
            </w:pPr>
            <w:r w:rsidRPr="00B374FB">
              <w:rPr>
                <w:rFonts w:ascii="Calibri" w:hAnsi="Calibri"/>
                <w:sz w:val="22"/>
                <w:szCs w:val="22"/>
              </w:rPr>
              <w:lastRenderedPageBreak/>
              <w:t>Patient already using drug</w:t>
            </w:r>
            <w:r>
              <w:rPr>
                <w:rFonts w:ascii="Calibri" w:hAnsi="Calibri"/>
                <w:sz w:val="22"/>
                <w:szCs w:val="22"/>
              </w:rPr>
              <w:t xml:space="preserve"> and </w:t>
            </w:r>
            <w:r w:rsidRPr="00B374FB">
              <w:rPr>
                <w:rFonts w:ascii="Calibri" w:hAnsi="Calibri"/>
                <w:sz w:val="22"/>
                <w:szCs w:val="22"/>
              </w:rPr>
              <w:t>switched to an alternative (n=1)</w:t>
            </w:r>
            <w:r>
              <w:rPr>
                <w:rFonts w:ascii="Calibri" w:hAnsi="Calibri"/>
                <w:sz w:val="22"/>
                <w:szCs w:val="22"/>
              </w:rPr>
              <w:t>#</w:t>
            </w:r>
          </w:p>
          <w:p w14:paraId="294C77F8" w14:textId="19E65B63" w:rsidR="00B374FB" w:rsidRPr="00B374FB" w:rsidRDefault="00B374FB" w:rsidP="00B374FB">
            <w:pPr>
              <w:rPr>
                <w:rFonts w:ascii="Calibri" w:hAnsi="Calibri"/>
                <w:sz w:val="22"/>
                <w:szCs w:val="22"/>
              </w:rPr>
            </w:pPr>
            <w:r w:rsidRPr="00B374FB">
              <w:rPr>
                <w:rFonts w:ascii="Calibri" w:hAnsi="Calibri"/>
                <w:sz w:val="22"/>
                <w:szCs w:val="22"/>
              </w:rPr>
              <w:t>No change made in patient already using drug (n=1)</w:t>
            </w:r>
            <w:r>
              <w:rPr>
                <w:rFonts w:ascii="Calibri" w:hAnsi="Calibri"/>
                <w:sz w:val="22"/>
                <w:szCs w:val="22"/>
              </w:rPr>
              <w:t>*</w:t>
            </w:r>
          </w:p>
        </w:tc>
      </w:tr>
      <w:tr w:rsidR="00B374FB" w:rsidRPr="00B374FB" w14:paraId="4BE36244" w14:textId="77777777" w:rsidTr="00470580">
        <w:tc>
          <w:tcPr>
            <w:tcW w:w="2830" w:type="dxa"/>
          </w:tcPr>
          <w:p w14:paraId="11565826" w14:textId="77777777" w:rsidR="00B374FB" w:rsidRPr="00B374FB" w:rsidRDefault="00B374FB" w:rsidP="00B374FB">
            <w:pPr>
              <w:rPr>
                <w:rFonts w:ascii="Calibri" w:hAnsi="Calibri"/>
                <w:sz w:val="22"/>
                <w:szCs w:val="22"/>
              </w:rPr>
            </w:pPr>
            <w:r w:rsidRPr="00B374FB">
              <w:rPr>
                <w:rFonts w:ascii="Calibri" w:hAnsi="Calibri"/>
                <w:sz w:val="22"/>
                <w:szCs w:val="22"/>
              </w:rPr>
              <w:lastRenderedPageBreak/>
              <w:t>Lower dose and monitor plasma concentrations (n=4)</w:t>
            </w:r>
          </w:p>
        </w:tc>
        <w:tc>
          <w:tcPr>
            <w:tcW w:w="3402" w:type="dxa"/>
          </w:tcPr>
          <w:p w14:paraId="38805CD5" w14:textId="77777777" w:rsidR="00B374FB" w:rsidRPr="00B374FB" w:rsidRDefault="00B374FB" w:rsidP="00B374FB">
            <w:pPr>
              <w:rPr>
                <w:rFonts w:ascii="Calibri" w:hAnsi="Calibri"/>
                <w:sz w:val="22"/>
                <w:szCs w:val="22"/>
              </w:rPr>
            </w:pPr>
            <w:r w:rsidRPr="00B374FB">
              <w:rPr>
                <w:rFonts w:ascii="Calibri" w:hAnsi="Calibri"/>
                <w:sz w:val="22"/>
                <w:szCs w:val="22"/>
              </w:rPr>
              <w:t>Nortriptyline + CYP2D6 (n=2) Imipramine + CYP2D6 (n=1) Clomipramine + CYP2D6 (n=1)</w:t>
            </w:r>
          </w:p>
        </w:tc>
        <w:tc>
          <w:tcPr>
            <w:tcW w:w="3544" w:type="dxa"/>
          </w:tcPr>
          <w:p w14:paraId="2F76259B" w14:textId="77777777" w:rsidR="00B374FB" w:rsidRPr="00B374FB" w:rsidRDefault="00B374FB" w:rsidP="00B374FB">
            <w:pPr>
              <w:rPr>
                <w:rFonts w:ascii="Calibri" w:hAnsi="Calibri"/>
                <w:sz w:val="22"/>
                <w:szCs w:val="22"/>
              </w:rPr>
            </w:pPr>
            <w:r w:rsidRPr="00B374FB">
              <w:rPr>
                <w:rFonts w:ascii="Calibri" w:hAnsi="Calibri"/>
                <w:sz w:val="22"/>
                <w:szCs w:val="22"/>
              </w:rPr>
              <w:t xml:space="preserve">Blood drawn to determine plasma concentrations (n=2) </w:t>
            </w:r>
          </w:p>
          <w:p w14:paraId="628D770F" w14:textId="77777777" w:rsidR="00B374FB" w:rsidRPr="00B374FB" w:rsidRDefault="00B374FB" w:rsidP="00B374FB">
            <w:pPr>
              <w:rPr>
                <w:rFonts w:ascii="Calibri" w:hAnsi="Calibri"/>
                <w:sz w:val="22"/>
                <w:szCs w:val="22"/>
              </w:rPr>
            </w:pPr>
            <w:r w:rsidRPr="00B374FB">
              <w:rPr>
                <w:rFonts w:ascii="Calibri" w:hAnsi="Calibri"/>
                <w:sz w:val="22"/>
                <w:szCs w:val="22"/>
              </w:rPr>
              <w:t>Drug prescribed (n=1)</w:t>
            </w:r>
          </w:p>
          <w:p w14:paraId="681D6CCA" w14:textId="77777777" w:rsidR="00B374FB" w:rsidRPr="00B374FB" w:rsidRDefault="00B374FB" w:rsidP="00B374FB">
            <w:pPr>
              <w:rPr>
                <w:rFonts w:ascii="Calibri" w:hAnsi="Calibri"/>
                <w:sz w:val="22"/>
                <w:szCs w:val="22"/>
              </w:rPr>
            </w:pPr>
            <w:r w:rsidRPr="00B374FB">
              <w:rPr>
                <w:rFonts w:ascii="Calibri" w:hAnsi="Calibri"/>
                <w:sz w:val="22"/>
                <w:szCs w:val="22"/>
              </w:rPr>
              <w:t>Lower dose achieved via therapeutic drug monitoring in patient already using drug (n=1)</w:t>
            </w:r>
          </w:p>
        </w:tc>
      </w:tr>
      <w:tr w:rsidR="00B374FB" w:rsidRPr="00B374FB" w14:paraId="175E5EBA" w14:textId="77777777" w:rsidTr="00470580">
        <w:tc>
          <w:tcPr>
            <w:tcW w:w="2830" w:type="dxa"/>
          </w:tcPr>
          <w:p w14:paraId="6D3D9F38" w14:textId="77777777" w:rsidR="00B374FB" w:rsidRPr="00B374FB" w:rsidRDefault="00B374FB" w:rsidP="00B374FB">
            <w:pPr>
              <w:rPr>
                <w:rFonts w:ascii="Calibri" w:hAnsi="Calibri"/>
                <w:sz w:val="22"/>
                <w:szCs w:val="22"/>
              </w:rPr>
            </w:pPr>
            <w:r w:rsidRPr="00B374FB">
              <w:rPr>
                <w:rFonts w:ascii="Calibri" w:hAnsi="Calibri"/>
                <w:sz w:val="22"/>
                <w:szCs w:val="22"/>
              </w:rPr>
              <w:t>Adjust dose based on effect observed, increase dose, or lower maintenance dose (n=5)</w:t>
            </w:r>
          </w:p>
        </w:tc>
        <w:tc>
          <w:tcPr>
            <w:tcW w:w="3402" w:type="dxa"/>
          </w:tcPr>
          <w:p w14:paraId="70122359" w14:textId="77777777" w:rsidR="00B374FB" w:rsidRPr="00B374FB" w:rsidRDefault="00B374FB" w:rsidP="00B374FB">
            <w:pPr>
              <w:rPr>
                <w:rFonts w:ascii="Calibri" w:hAnsi="Calibri"/>
                <w:sz w:val="22"/>
                <w:szCs w:val="22"/>
              </w:rPr>
            </w:pPr>
            <w:r w:rsidRPr="00B374FB">
              <w:rPr>
                <w:rFonts w:ascii="Calibri" w:hAnsi="Calibri"/>
                <w:sz w:val="22"/>
                <w:szCs w:val="22"/>
              </w:rPr>
              <w:t>Sertraline + CYP2C19 (n=2)</w:t>
            </w:r>
          </w:p>
          <w:p w14:paraId="02E2FEDA" w14:textId="77777777" w:rsidR="00B374FB" w:rsidRPr="00B374FB" w:rsidRDefault="00B374FB" w:rsidP="00B374FB">
            <w:pPr>
              <w:rPr>
                <w:rFonts w:ascii="Calibri" w:hAnsi="Calibri"/>
                <w:sz w:val="22"/>
                <w:szCs w:val="22"/>
              </w:rPr>
            </w:pPr>
            <w:r w:rsidRPr="00B374FB">
              <w:rPr>
                <w:rFonts w:ascii="Calibri" w:hAnsi="Calibri"/>
                <w:sz w:val="22"/>
                <w:szCs w:val="22"/>
              </w:rPr>
              <w:t>Phenytoin + CYP2C9 (n=1)</w:t>
            </w:r>
          </w:p>
          <w:p w14:paraId="5957ABDD" w14:textId="77777777" w:rsidR="00B374FB" w:rsidRPr="00B374FB" w:rsidRDefault="00B374FB" w:rsidP="00B374FB">
            <w:pPr>
              <w:rPr>
                <w:rFonts w:ascii="Calibri" w:hAnsi="Calibri"/>
                <w:sz w:val="22"/>
                <w:szCs w:val="22"/>
                <w:lang w:val="nl-NL"/>
              </w:rPr>
            </w:pPr>
            <w:r w:rsidRPr="00B374FB">
              <w:rPr>
                <w:rFonts w:ascii="Calibri" w:hAnsi="Calibri"/>
                <w:sz w:val="22"/>
                <w:szCs w:val="22"/>
                <w:lang w:val="nl-NL"/>
              </w:rPr>
              <w:t>Omeprazole + CYP2C19 (n=1)</w:t>
            </w:r>
          </w:p>
          <w:p w14:paraId="13691FBF" w14:textId="77777777" w:rsidR="00B374FB" w:rsidRPr="00B374FB" w:rsidRDefault="00B374FB" w:rsidP="00B374FB">
            <w:pPr>
              <w:rPr>
                <w:rFonts w:ascii="Calibri" w:hAnsi="Calibri"/>
                <w:sz w:val="22"/>
                <w:szCs w:val="22"/>
                <w:lang w:val="nl-NL"/>
              </w:rPr>
            </w:pPr>
            <w:r w:rsidRPr="00B374FB">
              <w:rPr>
                <w:rFonts w:ascii="Calibri" w:hAnsi="Calibri"/>
                <w:sz w:val="22"/>
                <w:szCs w:val="22"/>
                <w:lang w:val="nl-NL"/>
              </w:rPr>
              <w:t>Metoprolol + CYP2D6 (n=1)</w:t>
            </w:r>
          </w:p>
        </w:tc>
        <w:tc>
          <w:tcPr>
            <w:tcW w:w="3544" w:type="dxa"/>
          </w:tcPr>
          <w:p w14:paraId="42F3A06D" w14:textId="77777777" w:rsidR="00B374FB" w:rsidRPr="00B374FB" w:rsidRDefault="00B374FB" w:rsidP="00B374FB">
            <w:pPr>
              <w:rPr>
                <w:rFonts w:ascii="Calibri" w:hAnsi="Calibri"/>
                <w:sz w:val="22"/>
                <w:szCs w:val="22"/>
              </w:rPr>
            </w:pPr>
            <w:r w:rsidRPr="00B374FB">
              <w:rPr>
                <w:rFonts w:ascii="Calibri" w:hAnsi="Calibri"/>
                <w:sz w:val="22"/>
                <w:szCs w:val="22"/>
              </w:rPr>
              <w:t>Drug not prescribed in any of these cases</w:t>
            </w:r>
          </w:p>
        </w:tc>
      </w:tr>
    </w:tbl>
    <w:p w14:paraId="59B519EC" w14:textId="639E5705" w:rsidR="00B92299" w:rsidRPr="00B92299" w:rsidRDefault="00B92299" w:rsidP="00E756A9">
      <w:pPr>
        <w:pStyle w:val="NoSpacing"/>
        <w:numPr>
          <w:ilvl w:val="0"/>
          <w:numId w:val="1"/>
        </w:numPr>
        <w:spacing w:before="120"/>
        <w:rPr>
          <w:i/>
          <w:sz w:val="22"/>
        </w:rPr>
      </w:pPr>
      <w:r w:rsidRPr="00B92299">
        <w:rPr>
          <w:i/>
          <w:sz w:val="22"/>
        </w:rPr>
        <w:t>Evaluation of DPWG guidelines</w:t>
      </w:r>
    </w:p>
    <w:p w14:paraId="13B0624E" w14:textId="16DE6160" w:rsidR="00B92299" w:rsidRDefault="00B92299" w:rsidP="00B92299">
      <w:pPr>
        <w:rPr>
          <w:sz w:val="22"/>
        </w:rPr>
      </w:pPr>
      <w:r w:rsidRPr="00B92299">
        <w:rPr>
          <w:sz w:val="22"/>
        </w:rPr>
        <w:t xml:space="preserve">HCPs found that the </w:t>
      </w:r>
      <w:r w:rsidR="00BB081D" w:rsidRPr="00F80E93">
        <w:rPr>
          <w:rFonts w:ascii="Calibri" w:hAnsi="Calibri" w:cs="Times New Roman"/>
          <w:iCs/>
          <w:sz w:val="22"/>
          <w:szCs w:val="22"/>
        </w:rPr>
        <w:t>Dutch Pharmacogenetics Working Group</w:t>
      </w:r>
      <w:r w:rsidR="00BB081D" w:rsidRPr="00341F76">
        <w:rPr>
          <w:rFonts w:ascii="Calibri" w:hAnsi="Calibri" w:cs="Times New Roman"/>
          <w:sz w:val="22"/>
          <w:szCs w:val="22"/>
        </w:rPr>
        <w:t xml:space="preserve"> </w:t>
      </w:r>
      <w:r w:rsidR="00BB081D">
        <w:rPr>
          <w:rFonts w:ascii="Calibri" w:hAnsi="Calibri" w:cs="Times New Roman"/>
          <w:sz w:val="22"/>
          <w:szCs w:val="22"/>
        </w:rPr>
        <w:t>(</w:t>
      </w:r>
      <w:r w:rsidRPr="00B92299">
        <w:rPr>
          <w:sz w:val="22"/>
        </w:rPr>
        <w:t>DPWG</w:t>
      </w:r>
      <w:r w:rsidR="00BB081D">
        <w:rPr>
          <w:sz w:val="22"/>
        </w:rPr>
        <w:t>)</w:t>
      </w:r>
      <w:r w:rsidRPr="00B92299">
        <w:rPr>
          <w:sz w:val="22"/>
        </w:rPr>
        <w:t xml:space="preserve"> guidelines were understandable (90%) and provided sufficient guidance to start treatment (86%), but insufficient guidance to continue treatment (75%). HCPs did not find it hard to decide what to do based on the recommendation shown when combined with their own knowledge (78%). PGx was not often an important clinical factor in pharmacotherapy (50%) and determining its place relevant to other clinical factors (i.e. kidney function) was not hard (60%). Overall, HCPs reported that DPWG guidelines can be implemented in their current form (70%). </w:t>
      </w:r>
    </w:p>
    <w:p w14:paraId="18575BDD" w14:textId="07DA92E1" w:rsidR="00B92299" w:rsidRPr="00E756A9" w:rsidRDefault="001B7BE2" w:rsidP="00E756A9">
      <w:pPr>
        <w:pStyle w:val="ListParagraph"/>
        <w:numPr>
          <w:ilvl w:val="0"/>
          <w:numId w:val="1"/>
        </w:numPr>
        <w:spacing w:before="120"/>
        <w:rPr>
          <w:i/>
          <w:sz w:val="22"/>
        </w:rPr>
      </w:pPr>
      <w:r w:rsidRPr="00E756A9">
        <w:rPr>
          <w:i/>
          <w:sz w:val="22"/>
        </w:rPr>
        <w:t>Practical application of PGx</w:t>
      </w:r>
    </w:p>
    <w:p w14:paraId="4C269622" w14:textId="055D0A2E" w:rsidR="00B92299" w:rsidRDefault="001B7BE2" w:rsidP="001B7BE2">
      <w:pPr>
        <w:rPr>
          <w:sz w:val="22"/>
        </w:rPr>
      </w:pPr>
      <w:r w:rsidRPr="001B7BE2">
        <w:rPr>
          <w:sz w:val="22"/>
        </w:rPr>
        <w:t>A patient was sent away by a pharmacy technician when showing their PGx screening results because (s)he ‘had never seen that before and did not know what to do with it’. The researchers were informed about this and contacted the pharmacy. The pharmacist registered the PGx screening results into the computer system and tested the warning signal. Coincidentally, right after this, a prescription with a DGI for this patient was processed by a (different) pharmacy technician. Since there was no mention of the DGI warning signal on the prescription</w:t>
      </w:r>
      <w:r w:rsidR="00BB081D">
        <w:rPr>
          <w:sz w:val="22"/>
        </w:rPr>
        <w:t>,</w:t>
      </w:r>
      <w:r w:rsidRPr="001B7BE2">
        <w:rPr>
          <w:sz w:val="22"/>
        </w:rPr>
        <w:t xml:space="preserve"> as local protocol dictates, the pharmacist consulted the pharmacy technician to check whether the warning was seen. The pharmacy technician had seen the warning but decided not to mention or act upon it since ‘(s)he had never seen a warning like that before and therefore did not think it was relevant’. This event clearly shows the importance of educating and informing all </w:t>
      </w:r>
      <w:r w:rsidR="00BB081D">
        <w:rPr>
          <w:sz w:val="22"/>
        </w:rPr>
        <w:t>HCPs</w:t>
      </w:r>
      <w:r w:rsidRPr="001B7BE2">
        <w:rPr>
          <w:sz w:val="22"/>
        </w:rPr>
        <w:t xml:space="preserve"> involved so that PGx warning signals are not ignored.</w:t>
      </w:r>
    </w:p>
    <w:p w14:paraId="5D42D18A" w14:textId="77777777" w:rsidR="0054110E" w:rsidRPr="00E756A9" w:rsidRDefault="0054110E" w:rsidP="0054110E">
      <w:pPr>
        <w:pStyle w:val="ListParagraph"/>
        <w:numPr>
          <w:ilvl w:val="0"/>
          <w:numId w:val="1"/>
        </w:numPr>
        <w:spacing w:before="120"/>
        <w:rPr>
          <w:rFonts w:ascii="Calibri" w:hAnsi="Calibri"/>
          <w:i/>
          <w:sz w:val="22"/>
          <w:szCs w:val="22"/>
        </w:rPr>
      </w:pPr>
      <w:r w:rsidRPr="00E756A9">
        <w:rPr>
          <w:rFonts w:ascii="Calibri" w:hAnsi="Calibri"/>
          <w:i/>
          <w:sz w:val="22"/>
          <w:szCs w:val="22"/>
        </w:rPr>
        <w:t>Evaluation of the result letter</w:t>
      </w:r>
    </w:p>
    <w:p w14:paraId="676D8A53" w14:textId="5D5C4799" w:rsidR="0054110E" w:rsidRDefault="0054110E" w:rsidP="0054110E">
      <w:pPr>
        <w:rPr>
          <w:rFonts w:ascii="Calibri" w:hAnsi="Calibri"/>
          <w:sz w:val="22"/>
          <w:szCs w:val="22"/>
        </w:rPr>
      </w:pPr>
      <w:r w:rsidRPr="00672CBD">
        <w:rPr>
          <w:rFonts w:ascii="Calibri" w:hAnsi="Calibri"/>
          <w:sz w:val="22"/>
          <w:szCs w:val="22"/>
        </w:rPr>
        <w:t xml:space="preserve">After reading the result letter, </w:t>
      </w:r>
      <w:r w:rsidRPr="0040291D">
        <w:rPr>
          <w:rFonts w:ascii="Calibri" w:hAnsi="Calibri"/>
          <w:sz w:val="22"/>
          <w:szCs w:val="22"/>
        </w:rPr>
        <w:t>69% of patients reported understanding when to show the results to their HCPs, whereas 16% did not.</w:t>
      </w:r>
      <w:r>
        <w:rPr>
          <w:rFonts w:ascii="Calibri" w:hAnsi="Calibri"/>
          <w:sz w:val="22"/>
          <w:szCs w:val="22"/>
        </w:rPr>
        <w:t xml:space="preserve"> </w:t>
      </w:r>
      <w:r w:rsidRPr="00672CBD">
        <w:rPr>
          <w:rFonts w:ascii="Calibri" w:hAnsi="Calibri"/>
          <w:sz w:val="22"/>
          <w:szCs w:val="22"/>
        </w:rPr>
        <w:t>26% of patients reported doubting whether their current drugs are suitable for them</w:t>
      </w:r>
      <w:r w:rsidR="00BB081D">
        <w:rPr>
          <w:rFonts w:ascii="Calibri" w:hAnsi="Calibri"/>
          <w:sz w:val="22"/>
          <w:szCs w:val="22"/>
        </w:rPr>
        <w:t>,</w:t>
      </w:r>
      <w:r w:rsidRPr="00672CBD">
        <w:rPr>
          <w:rFonts w:ascii="Calibri" w:hAnsi="Calibri"/>
          <w:sz w:val="22"/>
          <w:szCs w:val="22"/>
        </w:rPr>
        <w:t xml:space="preserve"> and 4% reported feeling less healthy. 52% of patients reported that they understood the personal implications of the results, whereas 26% did not. The result letter raised questions for 46% of patients and was missing information according to 37%. Questions that were raised remained unanswered for 31% of patients (n=42). Patients wanted to know the exact </w:t>
      </w:r>
      <w:r>
        <w:rPr>
          <w:rFonts w:ascii="Calibri" w:hAnsi="Calibri"/>
          <w:sz w:val="22"/>
          <w:szCs w:val="22"/>
        </w:rPr>
        <w:t>implications</w:t>
      </w:r>
      <w:r w:rsidRPr="00672CBD">
        <w:rPr>
          <w:rFonts w:ascii="Calibri" w:hAnsi="Calibri"/>
          <w:sz w:val="22"/>
          <w:szCs w:val="22"/>
        </w:rPr>
        <w:t xml:space="preserve"> of the results for them</w:t>
      </w:r>
      <w:r w:rsidR="00BB081D">
        <w:rPr>
          <w:rFonts w:ascii="Calibri" w:hAnsi="Calibri"/>
          <w:sz w:val="22"/>
          <w:szCs w:val="22"/>
        </w:rPr>
        <w:t>,</w:t>
      </w:r>
      <w:r>
        <w:rPr>
          <w:rFonts w:ascii="Calibri" w:hAnsi="Calibri"/>
          <w:sz w:val="22"/>
          <w:szCs w:val="22"/>
        </w:rPr>
        <w:t xml:space="preserve"> such as the level of dose adjustment</w:t>
      </w:r>
      <w:r w:rsidRPr="00672CBD">
        <w:rPr>
          <w:rFonts w:ascii="Calibri" w:hAnsi="Calibri"/>
          <w:sz w:val="22"/>
          <w:szCs w:val="22"/>
        </w:rPr>
        <w:t xml:space="preserve"> (n=12</w:t>
      </w:r>
      <w:r w:rsidR="00BB081D" w:rsidRPr="00672CBD">
        <w:rPr>
          <w:rFonts w:ascii="Calibri" w:hAnsi="Calibri"/>
          <w:sz w:val="22"/>
          <w:szCs w:val="22"/>
        </w:rPr>
        <w:t>)</w:t>
      </w:r>
      <w:r w:rsidR="00BB081D">
        <w:rPr>
          <w:rFonts w:ascii="Calibri" w:hAnsi="Calibri"/>
          <w:sz w:val="22"/>
          <w:szCs w:val="22"/>
        </w:rPr>
        <w:t xml:space="preserve"> and </w:t>
      </w:r>
      <w:r w:rsidRPr="00672CBD">
        <w:rPr>
          <w:rFonts w:ascii="Calibri" w:hAnsi="Calibri"/>
          <w:sz w:val="22"/>
          <w:szCs w:val="22"/>
        </w:rPr>
        <w:t xml:space="preserve">what action should be taken (n=12), missed a specific drug being mentioned (n=2), wanted to know more about additional testing and non-genetic factors influencing drug response (n=2), did not understand the appendix meant for HCPs (n=2), wanted to know which HCPs receives the results (n=2), and had questions about the design of and continuation after the study (n=2). Subjects that should be additionally covered in the result letter included the exact </w:t>
      </w:r>
      <w:r>
        <w:rPr>
          <w:rFonts w:ascii="Calibri" w:hAnsi="Calibri"/>
          <w:sz w:val="22"/>
          <w:szCs w:val="22"/>
        </w:rPr>
        <w:t>implications</w:t>
      </w:r>
      <w:r w:rsidRPr="00672CBD">
        <w:rPr>
          <w:rFonts w:ascii="Calibri" w:hAnsi="Calibri"/>
          <w:sz w:val="22"/>
          <w:szCs w:val="22"/>
        </w:rPr>
        <w:t xml:space="preserve"> of the results for the individual patient (i.e. level of dose adjustment) (n=19), explanation of the appendix meant for HCPs (n=9)</w:t>
      </w:r>
      <w:r w:rsidR="00BB081D">
        <w:rPr>
          <w:rFonts w:ascii="Calibri" w:hAnsi="Calibri"/>
          <w:sz w:val="22"/>
          <w:szCs w:val="22"/>
        </w:rPr>
        <w:t>,</w:t>
      </w:r>
      <w:r w:rsidRPr="00672CBD">
        <w:rPr>
          <w:rFonts w:ascii="Calibri" w:hAnsi="Calibri"/>
          <w:sz w:val="22"/>
          <w:szCs w:val="22"/>
        </w:rPr>
        <w:t xml:space="preserve"> and what action should be taken (n=5). </w:t>
      </w:r>
    </w:p>
    <w:p w14:paraId="70608145" w14:textId="77777777" w:rsidR="0054110E" w:rsidRPr="00672CBD" w:rsidRDefault="0054110E" w:rsidP="0054110E">
      <w:pPr>
        <w:ind w:firstLine="720"/>
        <w:rPr>
          <w:rFonts w:ascii="Calibri" w:hAnsi="Calibri"/>
          <w:sz w:val="22"/>
          <w:szCs w:val="22"/>
        </w:rPr>
      </w:pPr>
      <w:r>
        <w:rPr>
          <w:rFonts w:ascii="Calibri" w:hAnsi="Calibri"/>
          <w:sz w:val="22"/>
          <w:szCs w:val="22"/>
        </w:rPr>
        <w:lastRenderedPageBreak/>
        <w:t xml:space="preserve">After follow-up, </w:t>
      </w:r>
      <w:r w:rsidRPr="00672CBD">
        <w:rPr>
          <w:rFonts w:ascii="Calibri" w:hAnsi="Calibri"/>
          <w:sz w:val="22"/>
          <w:szCs w:val="22"/>
        </w:rPr>
        <w:t xml:space="preserve">75% </w:t>
      </w:r>
      <w:r w:rsidRPr="0095750B">
        <w:t>of HCPs reported</w:t>
      </w:r>
      <w:r w:rsidRPr="00672CBD">
        <w:rPr>
          <w:rFonts w:ascii="Calibri" w:hAnsi="Calibri"/>
          <w:sz w:val="22"/>
          <w:szCs w:val="22"/>
        </w:rPr>
        <w:t xml:space="preserve"> they understood the implications of the results for the care </w:t>
      </w:r>
      <w:r>
        <w:rPr>
          <w:rFonts w:ascii="Calibri" w:hAnsi="Calibri"/>
          <w:sz w:val="22"/>
          <w:szCs w:val="22"/>
        </w:rPr>
        <w:t xml:space="preserve">they </w:t>
      </w:r>
      <w:r w:rsidRPr="00672CBD">
        <w:rPr>
          <w:rFonts w:ascii="Calibri" w:hAnsi="Calibri"/>
          <w:sz w:val="22"/>
          <w:szCs w:val="22"/>
        </w:rPr>
        <w:t xml:space="preserve">provide. The result letter raised questions for 35% of HCPs and missed information according to 18% of HCPs, particularly the exact </w:t>
      </w:r>
      <w:r>
        <w:rPr>
          <w:rFonts w:ascii="Calibri" w:hAnsi="Calibri"/>
          <w:sz w:val="22"/>
          <w:szCs w:val="22"/>
        </w:rPr>
        <w:t>implications</w:t>
      </w:r>
      <w:r w:rsidRPr="00672CBD">
        <w:rPr>
          <w:rFonts w:ascii="Calibri" w:hAnsi="Calibri"/>
          <w:sz w:val="22"/>
          <w:szCs w:val="22"/>
        </w:rPr>
        <w:t xml:space="preserve"> of the results for the individual patient</w:t>
      </w:r>
      <w:r>
        <w:rPr>
          <w:rFonts w:ascii="Calibri" w:hAnsi="Calibri"/>
          <w:sz w:val="22"/>
          <w:szCs w:val="22"/>
        </w:rPr>
        <w:t xml:space="preserve"> such as the level of dose adjustment</w:t>
      </w:r>
      <w:r w:rsidRPr="00672CBD">
        <w:rPr>
          <w:rFonts w:ascii="Calibri" w:hAnsi="Calibri"/>
          <w:sz w:val="22"/>
          <w:szCs w:val="22"/>
        </w:rPr>
        <w:t xml:space="preserve"> (n=6) and how the results should be applied (n=4). Questions that were raised </w:t>
      </w:r>
      <w:r>
        <w:rPr>
          <w:rFonts w:ascii="Calibri" w:hAnsi="Calibri"/>
          <w:sz w:val="22"/>
          <w:szCs w:val="22"/>
        </w:rPr>
        <w:t>during follow-up</w:t>
      </w:r>
      <w:r w:rsidRPr="0095750B">
        <w:rPr>
          <w:rFonts w:ascii="Calibri" w:hAnsi="Calibri"/>
          <w:sz w:val="22"/>
          <w:szCs w:val="22"/>
        </w:rPr>
        <w:t xml:space="preserve"> </w:t>
      </w:r>
      <w:r w:rsidRPr="00672CBD">
        <w:rPr>
          <w:rFonts w:ascii="Calibri" w:hAnsi="Calibri"/>
          <w:sz w:val="22"/>
          <w:szCs w:val="22"/>
        </w:rPr>
        <w:t>remained</w:t>
      </w:r>
      <w:r>
        <w:rPr>
          <w:rFonts w:ascii="Calibri" w:hAnsi="Calibri"/>
          <w:sz w:val="22"/>
          <w:szCs w:val="22"/>
        </w:rPr>
        <w:t xml:space="preserve"> </w:t>
      </w:r>
      <w:r w:rsidRPr="00672CBD">
        <w:rPr>
          <w:rFonts w:ascii="Calibri" w:hAnsi="Calibri"/>
          <w:sz w:val="22"/>
          <w:szCs w:val="22"/>
        </w:rPr>
        <w:t xml:space="preserve">unanswered for 11% of HCPs (n=6), and they wanted to know how to record PGx screening results correctly in their EHRs (n=3) and wanted explanations for the abbreviations (n=1). </w:t>
      </w:r>
    </w:p>
    <w:p w14:paraId="414C1C38" w14:textId="77777777" w:rsidR="0054110E" w:rsidRDefault="0054110E" w:rsidP="0054110E">
      <w:pPr>
        <w:ind w:firstLine="720"/>
        <w:rPr>
          <w:rFonts w:ascii="Calibri" w:hAnsi="Calibri"/>
          <w:sz w:val="22"/>
          <w:szCs w:val="22"/>
        </w:rPr>
      </w:pPr>
      <w:r w:rsidRPr="00672CBD">
        <w:rPr>
          <w:rFonts w:ascii="Calibri" w:hAnsi="Calibri"/>
          <w:sz w:val="22"/>
          <w:szCs w:val="22"/>
        </w:rPr>
        <w:t>These findings indicate that the result letter sent out during this study was not meeting the informational needs of patients and HCPs. Furthermore, HCPs seem to need more practical pointers on how to deal with PGx screening results.</w:t>
      </w:r>
    </w:p>
    <w:p w14:paraId="5B23E0F3" w14:textId="77777777" w:rsidR="003F6B40" w:rsidRDefault="003F6B40" w:rsidP="003F6B40">
      <w:pPr>
        <w:rPr>
          <w:rFonts w:ascii="Calibri" w:hAnsi="Calibri"/>
          <w:sz w:val="22"/>
          <w:szCs w:val="22"/>
        </w:rPr>
      </w:pPr>
    </w:p>
    <w:p w14:paraId="0A79ADB6" w14:textId="51D9EC4B" w:rsidR="003F6B40" w:rsidRDefault="003F6B40" w:rsidP="003F6B40">
      <w:pPr>
        <w:rPr>
          <w:rFonts w:ascii="Calibri" w:hAnsi="Calibri"/>
          <w:sz w:val="22"/>
          <w:szCs w:val="22"/>
        </w:rPr>
      </w:pPr>
      <w:r w:rsidRPr="003F6B40">
        <w:rPr>
          <w:rFonts w:ascii="Calibri" w:hAnsi="Calibri"/>
          <w:b/>
          <w:sz w:val="22"/>
          <w:szCs w:val="22"/>
        </w:rPr>
        <w:t>Reference</w:t>
      </w:r>
    </w:p>
    <w:p w14:paraId="1E3AE626" w14:textId="77777777" w:rsidR="003F6B40" w:rsidRPr="003F6B40" w:rsidRDefault="003F6B40" w:rsidP="003F6B40">
      <w:pPr>
        <w:pStyle w:val="Bibliography"/>
        <w:spacing w:line="240" w:lineRule="auto"/>
        <w:rPr>
          <w:rFonts w:ascii="Calibri" w:cs="Calibri"/>
          <w:sz w:val="22"/>
        </w:rPr>
      </w:pPr>
      <w:r>
        <w:rPr>
          <w:sz w:val="22"/>
        </w:rPr>
        <w:fldChar w:fldCharType="begin"/>
      </w:r>
      <w:r>
        <w:rPr>
          <w:sz w:val="22"/>
        </w:rPr>
        <w:instrText xml:space="preserve"> ADDIN ZOTERO_BIBL {"uncited":[],"omitted":[],"custom":[]} CSL_BIBLIOGRAPHY </w:instrText>
      </w:r>
      <w:r>
        <w:rPr>
          <w:sz w:val="22"/>
        </w:rPr>
        <w:fldChar w:fldCharType="separate"/>
      </w:r>
      <w:r w:rsidRPr="003F6B40">
        <w:rPr>
          <w:rFonts w:ascii="Calibri" w:cs="Calibri"/>
          <w:sz w:val="22"/>
        </w:rPr>
        <w:t>1.</w:t>
      </w:r>
      <w:r w:rsidRPr="003F6B40">
        <w:rPr>
          <w:rFonts w:ascii="Calibri" w:cs="Calibri"/>
          <w:sz w:val="22"/>
        </w:rPr>
        <w:tab/>
        <w:t xml:space="preserve">Whirl-Carrillo, M. </w:t>
      </w:r>
      <w:r w:rsidRPr="003F6B40">
        <w:rPr>
          <w:rFonts w:ascii="Calibri" w:cs="Calibri"/>
          <w:i/>
          <w:iCs/>
          <w:sz w:val="22"/>
        </w:rPr>
        <w:t>et al.</w:t>
      </w:r>
      <w:r w:rsidRPr="003F6B40">
        <w:rPr>
          <w:rFonts w:ascii="Calibri" w:cs="Calibri"/>
          <w:sz w:val="22"/>
        </w:rPr>
        <w:t xml:space="preserve"> Pharmacogenomics knowledge for personalized medicine. </w:t>
      </w:r>
      <w:r w:rsidRPr="003F6B40">
        <w:rPr>
          <w:rFonts w:ascii="Calibri" w:cs="Calibri"/>
          <w:i/>
          <w:iCs/>
          <w:sz w:val="22"/>
        </w:rPr>
        <w:t>Clin Pharmacol Ther</w:t>
      </w:r>
      <w:r w:rsidRPr="003F6B40">
        <w:rPr>
          <w:rFonts w:ascii="Calibri" w:cs="Calibri"/>
          <w:sz w:val="22"/>
        </w:rPr>
        <w:t xml:space="preserve"> </w:t>
      </w:r>
      <w:r w:rsidRPr="003F6B40">
        <w:rPr>
          <w:rFonts w:ascii="Calibri" w:cs="Calibri"/>
          <w:b/>
          <w:bCs/>
          <w:sz w:val="22"/>
        </w:rPr>
        <w:t>92</w:t>
      </w:r>
      <w:r w:rsidRPr="003F6B40">
        <w:rPr>
          <w:rFonts w:ascii="Calibri" w:cs="Calibri"/>
          <w:sz w:val="22"/>
        </w:rPr>
        <w:t>, 414–7 (2012).</w:t>
      </w:r>
    </w:p>
    <w:p w14:paraId="505B651C" w14:textId="549BFC92" w:rsidR="0054110E" w:rsidRPr="00B92299" w:rsidRDefault="003F6B40" w:rsidP="003F6B40">
      <w:pPr>
        <w:rPr>
          <w:sz w:val="22"/>
        </w:rPr>
      </w:pPr>
      <w:r>
        <w:rPr>
          <w:sz w:val="22"/>
        </w:rPr>
        <w:fldChar w:fldCharType="end"/>
      </w:r>
    </w:p>
    <w:sectPr w:rsidR="0054110E" w:rsidRPr="00B92299" w:rsidSect="00E0253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4A0B0" w14:textId="77777777" w:rsidR="00713F4A" w:rsidRDefault="00713F4A" w:rsidP="00B374FB">
      <w:r>
        <w:separator/>
      </w:r>
    </w:p>
  </w:endnote>
  <w:endnote w:type="continuationSeparator" w:id="0">
    <w:p w14:paraId="56517695" w14:textId="77777777" w:rsidR="00713F4A" w:rsidRDefault="00713F4A" w:rsidP="00B37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CAC1A" w14:textId="77777777" w:rsidR="00713F4A" w:rsidRDefault="00713F4A" w:rsidP="00B374FB">
      <w:r>
        <w:separator/>
      </w:r>
    </w:p>
  </w:footnote>
  <w:footnote w:type="continuationSeparator" w:id="0">
    <w:p w14:paraId="15E84E38" w14:textId="77777777" w:rsidR="00713F4A" w:rsidRDefault="00713F4A" w:rsidP="00B37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B729C"/>
    <w:multiLevelType w:val="hybridMultilevel"/>
    <w:tmpl w:val="2A741DFE"/>
    <w:lvl w:ilvl="0" w:tplc="11A4FCA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3D4B1D"/>
    <w:multiLevelType w:val="hybridMultilevel"/>
    <w:tmpl w:val="30768944"/>
    <w:lvl w:ilvl="0" w:tplc="11A4FCA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C5E"/>
    <w:rsid w:val="00000058"/>
    <w:rsid w:val="000031BD"/>
    <w:rsid w:val="00026558"/>
    <w:rsid w:val="000919B1"/>
    <w:rsid w:val="000F29DF"/>
    <w:rsid w:val="000F5522"/>
    <w:rsid w:val="0010359C"/>
    <w:rsid w:val="00110288"/>
    <w:rsid w:val="00122158"/>
    <w:rsid w:val="001719F5"/>
    <w:rsid w:val="00173F17"/>
    <w:rsid w:val="001B7BE2"/>
    <w:rsid w:val="002A277D"/>
    <w:rsid w:val="002F17CF"/>
    <w:rsid w:val="0030019E"/>
    <w:rsid w:val="0033664B"/>
    <w:rsid w:val="003F6B40"/>
    <w:rsid w:val="0040291D"/>
    <w:rsid w:val="004035EA"/>
    <w:rsid w:val="00473B9F"/>
    <w:rsid w:val="00482348"/>
    <w:rsid w:val="00494847"/>
    <w:rsid w:val="00525A4C"/>
    <w:rsid w:val="005275E2"/>
    <w:rsid w:val="0053736E"/>
    <w:rsid w:val="0054110E"/>
    <w:rsid w:val="00546B8A"/>
    <w:rsid w:val="00562345"/>
    <w:rsid w:val="00563DD7"/>
    <w:rsid w:val="0057658F"/>
    <w:rsid w:val="0058486D"/>
    <w:rsid w:val="005907F7"/>
    <w:rsid w:val="005B792D"/>
    <w:rsid w:val="005D07B6"/>
    <w:rsid w:val="005F30E1"/>
    <w:rsid w:val="006579BE"/>
    <w:rsid w:val="00672CBD"/>
    <w:rsid w:val="0069611C"/>
    <w:rsid w:val="006A6F68"/>
    <w:rsid w:val="006D25E0"/>
    <w:rsid w:val="006D4E8A"/>
    <w:rsid w:val="006E3E32"/>
    <w:rsid w:val="006F36E1"/>
    <w:rsid w:val="00713F4A"/>
    <w:rsid w:val="00723D63"/>
    <w:rsid w:val="00730D23"/>
    <w:rsid w:val="00733D75"/>
    <w:rsid w:val="007B4119"/>
    <w:rsid w:val="007C2D2C"/>
    <w:rsid w:val="007C7DF6"/>
    <w:rsid w:val="007D33CC"/>
    <w:rsid w:val="00856DF9"/>
    <w:rsid w:val="00881501"/>
    <w:rsid w:val="00913425"/>
    <w:rsid w:val="00925B4E"/>
    <w:rsid w:val="0093270B"/>
    <w:rsid w:val="00944ED3"/>
    <w:rsid w:val="0095750B"/>
    <w:rsid w:val="00970499"/>
    <w:rsid w:val="009804E0"/>
    <w:rsid w:val="0099438D"/>
    <w:rsid w:val="00995EF4"/>
    <w:rsid w:val="009A3D01"/>
    <w:rsid w:val="009B51B8"/>
    <w:rsid w:val="009F1D2B"/>
    <w:rsid w:val="00A67396"/>
    <w:rsid w:val="00AB7BF3"/>
    <w:rsid w:val="00AC0E38"/>
    <w:rsid w:val="00AC6890"/>
    <w:rsid w:val="00B15511"/>
    <w:rsid w:val="00B173A6"/>
    <w:rsid w:val="00B374FB"/>
    <w:rsid w:val="00B40DB4"/>
    <w:rsid w:val="00B72824"/>
    <w:rsid w:val="00B92299"/>
    <w:rsid w:val="00BA4FA4"/>
    <w:rsid w:val="00BB081D"/>
    <w:rsid w:val="00BF6E0A"/>
    <w:rsid w:val="00C33C5E"/>
    <w:rsid w:val="00C808C5"/>
    <w:rsid w:val="00D24E50"/>
    <w:rsid w:val="00D65909"/>
    <w:rsid w:val="00D71403"/>
    <w:rsid w:val="00DA1E4D"/>
    <w:rsid w:val="00DD28E6"/>
    <w:rsid w:val="00DE6552"/>
    <w:rsid w:val="00E01094"/>
    <w:rsid w:val="00E02534"/>
    <w:rsid w:val="00E561C3"/>
    <w:rsid w:val="00E756A9"/>
    <w:rsid w:val="00EB3ED5"/>
    <w:rsid w:val="00F02A9C"/>
    <w:rsid w:val="00F12463"/>
    <w:rsid w:val="00F31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FE63D"/>
  <w15:chartTrackingRefBased/>
  <w15:docId w15:val="{CA3783FF-F1B9-BE42-AC4F-A3876B9E5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3C5E"/>
    <w:rPr>
      <w:color w:val="0563C1" w:themeColor="hyperlink"/>
      <w:u w:val="single"/>
    </w:rPr>
  </w:style>
  <w:style w:type="character" w:styleId="UnresolvedMention">
    <w:name w:val="Unresolved Mention"/>
    <w:basedOn w:val="DefaultParagraphFont"/>
    <w:uiPriority w:val="99"/>
    <w:semiHidden/>
    <w:unhideWhenUsed/>
    <w:rsid w:val="00C33C5E"/>
    <w:rPr>
      <w:color w:val="605E5C"/>
      <w:shd w:val="clear" w:color="auto" w:fill="E1DFDD"/>
    </w:rPr>
  </w:style>
  <w:style w:type="character" w:styleId="CommentReference">
    <w:name w:val="annotation reference"/>
    <w:basedOn w:val="DefaultParagraphFont"/>
    <w:uiPriority w:val="99"/>
    <w:semiHidden/>
    <w:unhideWhenUsed/>
    <w:rsid w:val="006D25E0"/>
    <w:rPr>
      <w:sz w:val="16"/>
      <w:szCs w:val="16"/>
    </w:rPr>
  </w:style>
  <w:style w:type="paragraph" w:styleId="CommentText">
    <w:name w:val="annotation text"/>
    <w:basedOn w:val="Normal"/>
    <w:link w:val="CommentTextChar"/>
    <w:uiPriority w:val="99"/>
    <w:unhideWhenUsed/>
    <w:rsid w:val="006D25E0"/>
    <w:rPr>
      <w:rFonts w:ascii="Times New Roman" w:eastAsia="Times New Roman" w:hAnsi="Times New Roman" w:cs="Times New Roman"/>
    </w:rPr>
  </w:style>
  <w:style w:type="character" w:customStyle="1" w:styleId="CommentTextChar">
    <w:name w:val="Comment Text Char"/>
    <w:basedOn w:val="DefaultParagraphFont"/>
    <w:link w:val="CommentText"/>
    <w:uiPriority w:val="99"/>
    <w:rsid w:val="006D25E0"/>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6D25E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D25E0"/>
    <w:rPr>
      <w:rFonts w:ascii="Times New Roman" w:hAnsi="Times New Roman" w:cs="Times New Roman"/>
      <w:sz w:val="18"/>
      <w:szCs w:val="18"/>
    </w:rPr>
  </w:style>
  <w:style w:type="table" w:styleId="TableGrid">
    <w:name w:val="Table Grid"/>
    <w:basedOn w:val="TableNormal"/>
    <w:uiPriority w:val="39"/>
    <w:rsid w:val="006D25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D25E0"/>
    <w:pPr>
      <w:spacing w:after="200"/>
    </w:pPr>
    <w:rPr>
      <w:i/>
      <w:iCs/>
      <w:color w:val="44546A" w:themeColor="text2"/>
      <w:sz w:val="18"/>
      <w:szCs w:val="18"/>
    </w:rPr>
  </w:style>
  <w:style w:type="paragraph" w:styleId="Bibliography">
    <w:name w:val="Bibliography"/>
    <w:basedOn w:val="Normal"/>
    <w:next w:val="Normal"/>
    <w:uiPriority w:val="37"/>
    <w:unhideWhenUsed/>
    <w:rsid w:val="00B374FB"/>
    <w:pPr>
      <w:tabs>
        <w:tab w:val="left" w:pos="260"/>
      </w:tabs>
      <w:spacing w:line="480" w:lineRule="auto"/>
      <w:ind w:left="264" w:hanging="264"/>
    </w:pPr>
  </w:style>
  <w:style w:type="paragraph" w:styleId="Header">
    <w:name w:val="header"/>
    <w:basedOn w:val="Normal"/>
    <w:link w:val="HeaderChar"/>
    <w:uiPriority w:val="99"/>
    <w:unhideWhenUsed/>
    <w:rsid w:val="00B374FB"/>
    <w:pPr>
      <w:tabs>
        <w:tab w:val="center" w:pos="4680"/>
        <w:tab w:val="right" w:pos="9360"/>
      </w:tabs>
    </w:pPr>
  </w:style>
  <w:style w:type="character" w:customStyle="1" w:styleId="HeaderChar">
    <w:name w:val="Header Char"/>
    <w:basedOn w:val="DefaultParagraphFont"/>
    <w:link w:val="Header"/>
    <w:uiPriority w:val="99"/>
    <w:rsid w:val="00B374FB"/>
  </w:style>
  <w:style w:type="paragraph" w:styleId="Footer">
    <w:name w:val="footer"/>
    <w:basedOn w:val="Normal"/>
    <w:link w:val="FooterChar"/>
    <w:uiPriority w:val="99"/>
    <w:unhideWhenUsed/>
    <w:rsid w:val="00B374FB"/>
    <w:pPr>
      <w:tabs>
        <w:tab w:val="center" w:pos="4680"/>
        <w:tab w:val="right" w:pos="9360"/>
      </w:tabs>
    </w:pPr>
  </w:style>
  <w:style w:type="character" w:customStyle="1" w:styleId="FooterChar">
    <w:name w:val="Footer Char"/>
    <w:basedOn w:val="DefaultParagraphFont"/>
    <w:link w:val="Footer"/>
    <w:uiPriority w:val="99"/>
    <w:rsid w:val="00B374FB"/>
  </w:style>
  <w:style w:type="paragraph" w:styleId="NoSpacing">
    <w:name w:val="No Spacing"/>
    <w:uiPriority w:val="1"/>
    <w:qFormat/>
    <w:rsid w:val="00B92299"/>
  </w:style>
  <w:style w:type="paragraph" w:styleId="CommentSubject">
    <w:name w:val="annotation subject"/>
    <w:basedOn w:val="CommentText"/>
    <w:next w:val="CommentText"/>
    <w:link w:val="CommentSubjectChar"/>
    <w:uiPriority w:val="99"/>
    <w:semiHidden/>
    <w:unhideWhenUsed/>
    <w:rsid w:val="00E756A9"/>
    <w:rPr>
      <w:rFonts w:asciiTheme="minorHAnsi" w:eastAsiaTheme="minorHAnsi" w:hAnsiTheme="minorHAnsi" w:cstheme="minorBidi"/>
      <w:b/>
      <w:bCs/>
      <w:sz w:val="20"/>
      <w:szCs w:val="20"/>
    </w:rPr>
  </w:style>
  <w:style w:type="character" w:customStyle="1" w:styleId="CommentSubjectChar">
    <w:name w:val="Comment Subject Char"/>
    <w:basedOn w:val="CommentTextChar"/>
    <w:link w:val="CommentSubject"/>
    <w:uiPriority w:val="99"/>
    <w:semiHidden/>
    <w:rsid w:val="00E756A9"/>
    <w:rPr>
      <w:rFonts w:ascii="Times New Roman" w:eastAsia="Times New Roman" w:hAnsi="Times New Roman" w:cs="Times New Roman"/>
      <w:b/>
      <w:bCs/>
      <w:sz w:val="20"/>
      <w:szCs w:val="20"/>
    </w:rPr>
  </w:style>
  <w:style w:type="paragraph" w:styleId="ListParagraph">
    <w:name w:val="List Paragraph"/>
    <w:basedOn w:val="Normal"/>
    <w:uiPriority w:val="34"/>
    <w:qFormat/>
    <w:rsid w:val="00E756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1767</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Lanting</dc:creator>
  <cp:keywords/>
  <dc:description/>
  <cp:lastModifiedBy>Lanting, P (medgen)</cp:lastModifiedBy>
  <cp:revision>9</cp:revision>
  <dcterms:created xsi:type="dcterms:W3CDTF">2020-11-10T09:54:00Z</dcterms:created>
  <dcterms:modified xsi:type="dcterms:W3CDTF">2020-12-20T14:59:00Z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zotero-version="5.0.93"&gt;&lt;session id="gJQOKajo"/&gt;&lt;style id="http://www.zotero.org/styles/clinical-pharmacology-and-therapeutics" hasBibliography="1" bibliographyStyleHasBeenSet="1"/&gt;&lt;prefs&gt;&lt;pref name="fieldType" value="Field"/&gt;&lt;pref </vt:lpwstr>
  </property>
  <property fmtid="{D5CDD505-2E9C-101B-9397-08002B2CF9AE}" pid="3" name="ZOTERO_PREF_2">
    <vt:lpwstr>name="automaticJournalAbbreviations" value="true"/&gt;&lt;/prefs&gt;&lt;/data&gt;</vt:lpwstr>
  </property>
</Properties>
</file>