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A71DD" w14:textId="77777777" w:rsidR="00341F76" w:rsidRPr="00341F76" w:rsidRDefault="00341F76">
      <w:pPr>
        <w:rPr>
          <w:rFonts w:ascii="Calibri" w:hAnsi="Calibri" w:cs="Times New Roman"/>
          <w:b/>
          <w:sz w:val="22"/>
          <w:szCs w:val="22"/>
        </w:rPr>
      </w:pPr>
    </w:p>
    <w:p w14:paraId="07801393" w14:textId="7810F0E9" w:rsidR="00341F76" w:rsidRDefault="00341F76" w:rsidP="00341F76">
      <w:pPr>
        <w:jc w:val="center"/>
        <w:rPr>
          <w:rFonts w:ascii="Calibri" w:hAnsi="Calibri"/>
          <w:sz w:val="22"/>
          <w:szCs w:val="22"/>
        </w:rPr>
      </w:pPr>
      <w:r w:rsidRPr="00341F76">
        <w:rPr>
          <w:rFonts w:ascii="Calibri" w:hAnsi="Calibri"/>
          <w:sz w:val="22"/>
          <w:szCs w:val="22"/>
        </w:rPr>
        <w:t>Supplement to:</w:t>
      </w:r>
    </w:p>
    <w:p w14:paraId="3CF725DD" w14:textId="77777777" w:rsidR="00341F76" w:rsidRPr="00341F76" w:rsidRDefault="00341F76" w:rsidP="00341F76">
      <w:pPr>
        <w:jc w:val="center"/>
        <w:rPr>
          <w:rFonts w:ascii="Calibri" w:hAnsi="Calibri"/>
          <w:sz w:val="22"/>
          <w:szCs w:val="22"/>
        </w:rPr>
      </w:pPr>
    </w:p>
    <w:p w14:paraId="2408E5E1" w14:textId="33806B32" w:rsidR="007D0FC7" w:rsidRPr="007D0FC7" w:rsidRDefault="003C602D" w:rsidP="007D0FC7">
      <w:pPr>
        <w:jc w:val="center"/>
        <w:rPr>
          <w:rFonts w:ascii="Calibri" w:hAnsi="Calibri"/>
          <w:b/>
          <w:sz w:val="22"/>
          <w:szCs w:val="22"/>
        </w:rPr>
      </w:pPr>
      <w:r>
        <w:rPr>
          <w:rFonts w:ascii="Calibri" w:hAnsi="Calibri"/>
          <w:b/>
          <w:sz w:val="22"/>
          <w:szCs w:val="22"/>
        </w:rPr>
        <w:t>Practical b</w:t>
      </w:r>
      <w:r w:rsidR="007D0FC7" w:rsidRPr="007D0FC7">
        <w:rPr>
          <w:rFonts w:ascii="Calibri" w:hAnsi="Calibri"/>
          <w:b/>
          <w:sz w:val="22"/>
          <w:szCs w:val="22"/>
        </w:rPr>
        <w:t xml:space="preserve">arriers and facilitators experienced by patients, pharmacists and physicians to the implementation of pharmacogenomic screening in </w:t>
      </w:r>
      <w:r>
        <w:rPr>
          <w:rFonts w:ascii="Calibri" w:hAnsi="Calibri"/>
          <w:b/>
          <w:sz w:val="22"/>
          <w:szCs w:val="22"/>
        </w:rPr>
        <w:t xml:space="preserve">Dutch </w:t>
      </w:r>
      <w:r w:rsidR="007D0FC7" w:rsidRPr="007D0FC7">
        <w:rPr>
          <w:rFonts w:ascii="Calibri" w:hAnsi="Calibri"/>
          <w:b/>
          <w:sz w:val="22"/>
          <w:szCs w:val="22"/>
        </w:rPr>
        <w:t xml:space="preserve">outpatient </w:t>
      </w:r>
      <w:r>
        <w:rPr>
          <w:rFonts w:ascii="Calibri" w:hAnsi="Calibri"/>
          <w:b/>
          <w:sz w:val="22"/>
          <w:szCs w:val="22"/>
        </w:rPr>
        <w:t>hospital care – an explorative pilot study</w:t>
      </w:r>
    </w:p>
    <w:p w14:paraId="3A0663EC" w14:textId="77777777" w:rsidR="00341F76" w:rsidRPr="00341F76" w:rsidRDefault="00341F76" w:rsidP="00341F76">
      <w:pPr>
        <w:jc w:val="center"/>
        <w:rPr>
          <w:rFonts w:ascii="Calibri" w:hAnsi="Calibri"/>
          <w:b/>
          <w:sz w:val="22"/>
          <w:szCs w:val="22"/>
        </w:rPr>
      </w:pPr>
    </w:p>
    <w:p w14:paraId="384344CB" w14:textId="09172CFE" w:rsidR="00DE7A2A" w:rsidRDefault="00DE7A2A" w:rsidP="00DE7A2A">
      <w:pPr>
        <w:rPr>
          <w:rFonts w:ascii="Calibri" w:hAnsi="Calibri"/>
          <w:sz w:val="22"/>
          <w:szCs w:val="22"/>
          <w:vertAlign w:val="superscript"/>
        </w:rPr>
      </w:pPr>
      <w:r w:rsidRPr="00DE7A2A">
        <w:rPr>
          <w:rFonts w:ascii="Calibri" w:hAnsi="Calibri"/>
          <w:sz w:val="22"/>
          <w:szCs w:val="22"/>
        </w:rPr>
        <w:t>P. Lanting</w:t>
      </w:r>
      <w:r w:rsidRPr="00DE7A2A">
        <w:rPr>
          <w:rFonts w:ascii="Calibri" w:hAnsi="Calibri"/>
          <w:sz w:val="22"/>
          <w:szCs w:val="22"/>
          <w:vertAlign w:val="superscript"/>
        </w:rPr>
        <w:t>1</w:t>
      </w:r>
      <w:r w:rsidRPr="00DE7A2A">
        <w:rPr>
          <w:rFonts w:ascii="Calibri" w:hAnsi="Calibri"/>
          <w:sz w:val="22"/>
          <w:szCs w:val="22"/>
        </w:rPr>
        <w:t>; W.H. Drenth</w:t>
      </w:r>
      <w:r w:rsidRPr="00DE7A2A">
        <w:rPr>
          <w:rFonts w:ascii="Calibri" w:hAnsi="Calibri"/>
          <w:sz w:val="22"/>
          <w:szCs w:val="22"/>
          <w:vertAlign w:val="superscript"/>
        </w:rPr>
        <w:t>1</w:t>
      </w:r>
      <w:r w:rsidRPr="00DE7A2A">
        <w:rPr>
          <w:rFonts w:ascii="Calibri" w:hAnsi="Calibri"/>
          <w:sz w:val="22"/>
          <w:szCs w:val="22"/>
        </w:rPr>
        <w:t>; L.G. Boven</w:t>
      </w:r>
      <w:r w:rsidRPr="00DE7A2A">
        <w:rPr>
          <w:rFonts w:ascii="Calibri" w:hAnsi="Calibri"/>
          <w:sz w:val="22"/>
          <w:szCs w:val="22"/>
          <w:vertAlign w:val="superscript"/>
        </w:rPr>
        <w:t>1</w:t>
      </w:r>
      <w:r w:rsidRPr="00DE7A2A">
        <w:rPr>
          <w:rFonts w:ascii="Calibri" w:hAnsi="Calibri"/>
          <w:sz w:val="22"/>
          <w:szCs w:val="22"/>
        </w:rPr>
        <w:t>; A. van Hoek</w:t>
      </w:r>
      <w:r w:rsidRPr="00DE7A2A">
        <w:rPr>
          <w:rFonts w:ascii="Calibri" w:hAnsi="Calibri"/>
          <w:sz w:val="22"/>
          <w:szCs w:val="22"/>
          <w:vertAlign w:val="superscript"/>
        </w:rPr>
        <w:t>1</w:t>
      </w:r>
      <w:r w:rsidRPr="00DE7A2A">
        <w:rPr>
          <w:rFonts w:ascii="Calibri" w:hAnsi="Calibri"/>
          <w:sz w:val="22"/>
          <w:szCs w:val="22"/>
        </w:rPr>
        <w:t>; A.M.A. Hijlkema</w:t>
      </w:r>
      <w:r w:rsidRPr="00DE7A2A">
        <w:rPr>
          <w:rFonts w:ascii="Calibri" w:hAnsi="Calibri"/>
          <w:sz w:val="22"/>
          <w:szCs w:val="22"/>
          <w:vertAlign w:val="superscript"/>
        </w:rPr>
        <w:t>1</w:t>
      </w:r>
      <w:r w:rsidRPr="00DE7A2A">
        <w:rPr>
          <w:rFonts w:ascii="Calibri" w:hAnsi="Calibri"/>
          <w:sz w:val="22"/>
          <w:szCs w:val="22"/>
        </w:rPr>
        <w:t>; A.E. Poot</w:t>
      </w:r>
      <w:r w:rsidRPr="00DE7A2A">
        <w:rPr>
          <w:rFonts w:ascii="Calibri" w:hAnsi="Calibri"/>
          <w:sz w:val="22"/>
          <w:szCs w:val="22"/>
          <w:vertAlign w:val="superscript"/>
        </w:rPr>
        <w:t>1</w:t>
      </w:r>
      <w:r w:rsidRPr="00DE7A2A">
        <w:rPr>
          <w:rFonts w:ascii="Calibri" w:hAnsi="Calibri"/>
          <w:sz w:val="22"/>
          <w:szCs w:val="22"/>
        </w:rPr>
        <w:t>; G.</w:t>
      </w:r>
      <w:r w:rsidR="004D0C8F">
        <w:rPr>
          <w:rFonts w:ascii="Calibri" w:hAnsi="Calibri"/>
          <w:sz w:val="22"/>
          <w:szCs w:val="22"/>
        </w:rPr>
        <w:t>B.</w:t>
      </w:r>
      <w:r w:rsidRPr="00DE7A2A">
        <w:rPr>
          <w:rFonts w:ascii="Calibri" w:hAnsi="Calibri"/>
          <w:sz w:val="22"/>
          <w:szCs w:val="22"/>
        </w:rPr>
        <w:t xml:space="preserve"> van der Vries</w:t>
      </w:r>
      <w:r w:rsidRPr="00DE7A2A">
        <w:rPr>
          <w:rFonts w:ascii="Calibri" w:hAnsi="Calibri"/>
          <w:sz w:val="22"/>
          <w:szCs w:val="22"/>
          <w:vertAlign w:val="superscript"/>
        </w:rPr>
        <w:t>1</w:t>
      </w:r>
      <w:r w:rsidRPr="00DE7A2A">
        <w:rPr>
          <w:rFonts w:ascii="Calibri" w:hAnsi="Calibri"/>
          <w:sz w:val="22"/>
          <w:szCs w:val="22"/>
        </w:rPr>
        <w:t>, R.A. Schoevers</w:t>
      </w:r>
      <w:r w:rsidR="0088197E">
        <w:rPr>
          <w:rFonts w:ascii="Calibri" w:hAnsi="Calibri"/>
          <w:sz w:val="22"/>
          <w:szCs w:val="22"/>
          <w:vertAlign w:val="superscript"/>
        </w:rPr>
        <w:t>2</w:t>
      </w:r>
      <w:r w:rsidRPr="00DE7A2A">
        <w:rPr>
          <w:rFonts w:ascii="Calibri" w:hAnsi="Calibri"/>
          <w:sz w:val="22"/>
          <w:szCs w:val="22"/>
        </w:rPr>
        <w:t>,</w:t>
      </w:r>
      <w:r w:rsidR="0088197E">
        <w:rPr>
          <w:rFonts w:ascii="Calibri" w:hAnsi="Calibri"/>
          <w:sz w:val="22"/>
          <w:szCs w:val="22"/>
        </w:rPr>
        <w:t xml:space="preserve"> E. Horwitz</w:t>
      </w:r>
      <w:r w:rsidR="0088197E">
        <w:rPr>
          <w:rFonts w:ascii="Calibri" w:hAnsi="Calibri"/>
          <w:sz w:val="22"/>
          <w:szCs w:val="22"/>
          <w:vertAlign w:val="superscript"/>
        </w:rPr>
        <w:t>2</w:t>
      </w:r>
      <w:r w:rsidR="0088197E">
        <w:rPr>
          <w:rFonts w:ascii="Calibri" w:hAnsi="Calibri"/>
          <w:sz w:val="22"/>
          <w:szCs w:val="22"/>
        </w:rPr>
        <w:t>,</w:t>
      </w:r>
      <w:r w:rsidRPr="00DE7A2A">
        <w:rPr>
          <w:rFonts w:ascii="Calibri" w:hAnsi="Calibri"/>
          <w:sz w:val="22"/>
          <w:szCs w:val="22"/>
        </w:rPr>
        <w:t xml:space="preserve"> R.O.B. Gans</w:t>
      </w:r>
      <w:r w:rsidR="0088197E">
        <w:rPr>
          <w:rFonts w:ascii="Calibri" w:hAnsi="Calibri"/>
          <w:sz w:val="22"/>
          <w:szCs w:val="22"/>
          <w:vertAlign w:val="superscript"/>
        </w:rPr>
        <w:t>2</w:t>
      </w:r>
      <w:r w:rsidRPr="00DE7A2A">
        <w:rPr>
          <w:rFonts w:ascii="Calibri" w:hAnsi="Calibri"/>
          <w:sz w:val="22"/>
          <w:szCs w:val="22"/>
        </w:rPr>
        <w:t>, J.G.W. Kosterink</w:t>
      </w:r>
      <w:r w:rsidR="0088197E">
        <w:rPr>
          <w:rFonts w:ascii="Calibri" w:hAnsi="Calibri"/>
          <w:sz w:val="22"/>
          <w:szCs w:val="22"/>
          <w:vertAlign w:val="superscript"/>
        </w:rPr>
        <w:t>4</w:t>
      </w:r>
      <w:r w:rsidRPr="00DE7A2A">
        <w:rPr>
          <w:rFonts w:ascii="Calibri" w:hAnsi="Calibri"/>
          <w:sz w:val="22"/>
          <w:szCs w:val="22"/>
          <w:vertAlign w:val="superscript"/>
        </w:rPr>
        <w:t>,</w:t>
      </w:r>
      <w:r w:rsidR="0088197E">
        <w:rPr>
          <w:rFonts w:ascii="Calibri" w:hAnsi="Calibri"/>
          <w:sz w:val="22"/>
          <w:szCs w:val="22"/>
          <w:vertAlign w:val="superscript"/>
        </w:rPr>
        <w:t>5</w:t>
      </w:r>
      <w:r w:rsidRPr="00DE7A2A">
        <w:rPr>
          <w:rFonts w:ascii="Calibri" w:hAnsi="Calibri"/>
          <w:sz w:val="22"/>
          <w:szCs w:val="22"/>
        </w:rPr>
        <w:t>, M. Plantinga</w:t>
      </w:r>
      <w:r w:rsidRPr="00DE7A2A">
        <w:rPr>
          <w:rFonts w:ascii="Calibri" w:hAnsi="Calibri"/>
          <w:sz w:val="22"/>
          <w:szCs w:val="22"/>
          <w:vertAlign w:val="superscript"/>
        </w:rPr>
        <w:t>1</w:t>
      </w:r>
      <w:r w:rsidRPr="00DE7A2A">
        <w:rPr>
          <w:rFonts w:ascii="Calibri" w:hAnsi="Calibri"/>
          <w:sz w:val="22"/>
          <w:szCs w:val="22"/>
        </w:rPr>
        <w:t>; I.M. van Langen</w:t>
      </w:r>
      <w:r w:rsidRPr="00DE7A2A">
        <w:rPr>
          <w:rFonts w:ascii="Calibri" w:hAnsi="Calibri"/>
          <w:sz w:val="22"/>
          <w:szCs w:val="22"/>
          <w:vertAlign w:val="superscript"/>
        </w:rPr>
        <w:t>1</w:t>
      </w:r>
      <w:r w:rsidRPr="00DE7A2A">
        <w:rPr>
          <w:rFonts w:ascii="Calibri" w:hAnsi="Calibri"/>
          <w:sz w:val="22"/>
          <w:szCs w:val="22"/>
        </w:rPr>
        <w:t>; A.V. Ranchor</w:t>
      </w:r>
      <w:r w:rsidR="0088197E">
        <w:rPr>
          <w:rFonts w:ascii="Calibri" w:hAnsi="Calibri"/>
          <w:sz w:val="22"/>
          <w:szCs w:val="22"/>
          <w:vertAlign w:val="superscript"/>
        </w:rPr>
        <w:t>6</w:t>
      </w:r>
      <w:r w:rsidRPr="00DE7A2A">
        <w:rPr>
          <w:rFonts w:ascii="Calibri" w:hAnsi="Calibri"/>
          <w:sz w:val="22"/>
          <w:szCs w:val="22"/>
        </w:rPr>
        <w:t>; C. Wijmenga</w:t>
      </w:r>
      <w:r w:rsidRPr="00DE7A2A">
        <w:rPr>
          <w:rFonts w:ascii="Calibri" w:hAnsi="Calibri"/>
          <w:sz w:val="22"/>
          <w:szCs w:val="22"/>
          <w:vertAlign w:val="superscript"/>
        </w:rPr>
        <w:t>1</w:t>
      </w:r>
      <w:r w:rsidRPr="00DE7A2A">
        <w:rPr>
          <w:rFonts w:ascii="Calibri" w:hAnsi="Calibri"/>
          <w:sz w:val="22"/>
          <w:szCs w:val="22"/>
        </w:rPr>
        <w:t>; L.H. Franke</w:t>
      </w:r>
      <w:r w:rsidRPr="00DE7A2A">
        <w:rPr>
          <w:rFonts w:ascii="Calibri" w:hAnsi="Calibri"/>
          <w:sz w:val="22"/>
          <w:szCs w:val="22"/>
          <w:vertAlign w:val="superscript"/>
        </w:rPr>
        <w:t>1</w:t>
      </w:r>
      <w:r w:rsidRPr="00DE7A2A">
        <w:rPr>
          <w:rFonts w:ascii="Calibri" w:hAnsi="Calibri"/>
          <w:sz w:val="22"/>
          <w:szCs w:val="22"/>
        </w:rPr>
        <w:t>; B. Wilffert</w:t>
      </w:r>
      <w:r w:rsidR="0088197E">
        <w:rPr>
          <w:rFonts w:ascii="Calibri" w:hAnsi="Calibri"/>
          <w:sz w:val="22"/>
          <w:szCs w:val="22"/>
          <w:vertAlign w:val="superscript"/>
        </w:rPr>
        <w:t>4</w:t>
      </w:r>
      <w:r w:rsidRPr="00DE7A2A">
        <w:rPr>
          <w:rFonts w:ascii="Calibri" w:hAnsi="Calibri"/>
          <w:sz w:val="22"/>
          <w:szCs w:val="22"/>
          <w:vertAlign w:val="superscript"/>
        </w:rPr>
        <w:t>,</w:t>
      </w:r>
      <w:r w:rsidR="0088197E">
        <w:rPr>
          <w:rFonts w:ascii="Calibri" w:hAnsi="Calibri"/>
          <w:sz w:val="22"/>
          <w:szCs w:val="22"/>
          <w:vertAlign w:val="superscript"/>
        </w:rPr>
        <w:t>5</w:t>
      </w:r>
      <w:r w:rsidRPr="00DE7A2A">
        <w:rPr>
          <w:rFonts w:ascii="Calibri" w:hAnsi="Calibri"/>
          <w:sz w:val="22"/>
          <w:szCs w:val="22"/>
        </w:rPr>
        <w:t>; R.H. Sijmons</w:t>
      </w:r>
      <w:r w:rsidRPr="00DE7A2A">
        <w:rPr>
          <w:rFonts w:ascii="Calibri" w:hAnsi="Calibri"/>
          <w:sz w:val="22"/>
          <w:szCs w:val="22"/>
          <w:vertAlign w:val="superscript"/>
        </w:rPr>
        <w:t>1</w:t>
      </w:r>
    </w:p>
    <w:p w14:paraId="169A01F1" w14:textId="77777777" w:rsidR="00DE7A2A" w:rsidRPr="006C0942" w:rsidRDefault="00DE7A2A" w:rsidP="00DE7A2A">
      <w:pPr>
        <w:rPr>
          <w:rFonts w:ascii="Calibri" w:hAnsi="Calibri"/>
          <w:b/>
          <w:sz w:val="22"/>
          <w:szCs w:val="22"/>
        </w:rPr>
      </w:pPr>
    </w:p>
    <w:p w14:paraId="34763ADD" w14:textId="336507EF" w:rsidR="007D0FC7" w:rsidRPr="006C0942" w:rsidRDefault="007D0FC7" w:rsidP="007D0FC7">
      <w:pPr>
        <w:jc w:val="both"/>
        <w:rPr>
          <w:sz w:val="22"/>
          <w:szCs w:val="22"/>
        </w:rPr>
      </w:pPr>
      <w:r w:rsidRPr="006C0942">
        <w:rPr>
          <w:sz w:val="22"/>
          <w:szCs w:val="22"/>
          <w:vertAlign w:val="superscript"/>
        </w:rPr>
        <w:t xml:space="preserve">1 </w:t>
      </w:r>
      <w:r w:rsidRPr="006C0942">
        <w:rPr>
          <w:sz w:val="22"/>
          <w:szCs w:val="22"/>
        </w:rPr>
        <w:t xml:space="preserve">University of Groningen, University Medical Center Groningen, Department of Genetics, </w:t>
      </w:r>
      <w:r w:rsidR="004316CD">
        <w:rPr>
          <w:sz w:val="22"/>
          <w:szCs w:val="22"/>
        </w:rPr>
        <w:t xml:space="preserve">9713 GZ </w:t>
      </w:r>
      <w:r w:rsidRPr="006C0942">
        <w:rPr>
          <w:sz w:val="22"/>
          <w:szCs w:val="22"/>
        </w:rPr>
        <w:t>Groningen, The Netherlands</w:t>
      </w:r>
    </w:p>
    <w:p w14:paraId="36BD11EB" w14:textId="366F8BBD" w:rsidR="007D0FC7" w:rsidRPr="006C0942" w:rsidRDefault="007D0FC7" w:rsidP="007D0FC7">
      <w:pPr>
        <w:rPr>
          <w:sz w:val="22"/>
          <w:szCs w:val="22"/>
        </w:rPr>
      </w:pPr>
      <w:r w:rsidRPr="006C0942">
        <w:rPr>
          <w:sz w:val="22"/>
          <w:szCs w:val="22"/>
          <w:vertAlign w:val="superscript"/>
        </w:rPr>
        <w:t>2</w:t>
      </w:r>
      <w:r w:rsidRPr="006C0942">
        <w:rPr>
          <w:sz w:val="22"/>
          <w:szCs w:val="22"/>
        </w:rPr>
        <w:t xml:space="preserve"> University of Groningen, University Medical Center Groningen, Department of Psychiatry, </w:t>
      </w:r>
      <w:r w:rsidR="004316CD">
        <w:rPr>
          <w:sz w:val="22"/>
          <w:szCs w:val="22"/>
        </w:rPr>
        <w:t xml:space="preserve">9713 </w:t>
      </w:r>
      <w:r w:rsidR="004316CD">
        <w:rPr>
          <w:sz w:val="22"/>
          <w:szCs w:val="22"/>
        </w:rPr>
        <w:t>GZ</w:t>
      </w:r>
      <w:r w:rsidR="004316CD">
        <w:rPr>
          <w:sz w:val="22"/>
          <w:szCs w:val="22"/>
        </w:rPr>
        <w:t xml:space="preserve"> </w:t>
      </w:r>
      <w:r w:rsidRPr="006C0942">
        <w:rPr>
          <w:sz w:val="22"/>
          <w:szCs w:val="22"/>
        </w:rPr>
        <w:t>Groningen, The Netherlands</w:t>
      </w:r>
    </w:p>
    <w:p w14:paraId="0E6531DA" w14:textId="668A05E9" w:rsidR="007D0FC7" w:rsidRPr="006C0942" w:rsidRDefault="007D0FC7" w:rsidP="007D0FC7">
      <w:pPr>
        <w:rPr>
          <w:sz w:val="22"/>
          <w:szCs w:val="22"/>
        </w:rPr>
      </w:pPr>
      <w:r w:rsidRPr="006C0942">
        <w:rPr>
          <w:sz w:val="22"/>
          <w:szCs w:val="22"/>
          <w:vertAlign w:val="superscript"/>
        </w:rPr>
        <w:t>3</w:t>
      </w:r>
      <w:r w:rsidRPr="006C0942">
        <w:rPr>
          <w:sz w:val="22"/>
          <w:szCs w:val="22"/>
        </w:rPr>
        <w:t xml:space="preserve"> University of Groningen, University Medical Center Groningen, Department of Internal Medicine, </w:t>
      </w:r>
      <w:r w:rsidR="004316CD">
        <w:rPr>
          <w:sz w:val="22"/>
          <w:szCs w:val="22"/>
        </w:rPr>
        <w:t xml:space="preserve">9713 </w:t>
      </w:r>
      <w:r w:rsidR="004316CD">
        <w:rPr>
          <w:sz w:val="22"/>
          <w:szCs w:val="22"/>
        </w:rPr>
        <w:t>GZ</w:t>
      </w:r>
      <w:r w:rsidR="004316CD">
        <w:rPr>
          <w:sz w:val="22"/>
          <w:szCs w:val="22"/>
        </w:rPr>
        <w:t xml:space="preserve"> </w:t>
      </w:r>
      <w:r w:rsidRPr="006C0942">
        <w:rPr>
          <w:sz w:val="22"/>
          <w:szCs w:val="22"/>
        </w:rPr>
        <w:t>Groningen, The Netherlands</w:t>
      </w:r>
    </w:p>
    <w:p w14:paraId="5B3624A0" w14:textId="4DD5EEBA" w:rsidR="007D0FC7" w:rsidRPr="006C0942" w:rsidRDefault="007D0FC7" w:rsidP="007D0FC7">
      <w:pPr>
        <w:rPr>
          <w:sz w:val="22"/>
          <w:szCs w:val="22"/>
          <w:vertAlign w:val="superscript"/>
        </w:rPr>
      </w:pPr>
      <w:r w:rsidRPr="006C0942">
        <w:rPr>
          <w:sz w:val="22"/>
          <w:szCs w:val="22"/>
          <w:vertAlign w:val="superscript"/>
        </w:rPr>
        <w:t xml:space="preserve">4 </w:t>
      </w:r>
      <w:r w:rsidRPr="006C0942">
        <w:rPr>
          <w:sz w:val="22"/>
          <w:szCs w:val="22"/>
        </w:rPr>
        <w:t xml:space="preserve">University of Groningen, University Medical Center Groningen, Department of Clinical Pharmacy and Pharmacology, </w:t>
      </w:r>
      <w:r w:rsidR="004316CD">
        <w:rPr>
          <w:sz w:val="22"/>
          <w:szCs w:val="22"/>
        </w:rPr>
        <w:t xml:space="preserve">9713 </w:t>
      </w:r>
      <w:r w:rsidR="004316CD">
        <w:rPr>
          <w:sz w:val="22"/>
          <w:szCs w:val="22"/>
        </w:rPr>
        <w:t>GZ</w:t>
      </w:r>
      <w:r w:rsidR="004316CD">
        <w:rPr>
          <w:sz w:val="22"/>
          <w:szCs w:val="22"/>
        </w:rPr>
        <w:t xml:space="preserve"> </w:t>
      </w:r>
      <w:r w:rsidRPr="006C0942">
        <w:rPr>
          <w:sz w:val="22"/>
          <w:szCs w:val="22"/>
        </w:rPr>
        <w:t>Groningen, The Netherlands</w:t>
      </w:r>
    </w:p>
    <w:p w14:paraId="47280350" w14:textId="23E517A6" w:rsidR="007D0FC7" w:rsidRPr="006C0942" w:rsidRDefault="007D0FC7" w:rsidP="007D0FC7">
      <w:pPr>
        <w:rPr>
          <w:sz w:val="22"/>
          <w:szCs w:val="22"/>
          <w:vertAlign w:val="superscript"/>
        </w:rPr>
      </w:pPr>
      <w:r w:rsidRPr="006C0942">
        <w:rPr>
          <w:sz w:val="22"/>
          <w:szCs w:val="22"/>
          <w:vertAlign w:val="superscript"/>
        </w:rPr>
        <w:t xml:space="preserve">5 </w:t>
      </w:r>
      <w:r w:rsidRPr="006C0942">
        <w:rPr>
          <w:sz w:val="22"/>
          <w:szCs w:val="22"/>
        </w:rPr>
        <w:t xml:space="preserve">University of Groningen, Groningen Research Institute of Pharmacy, Unit of </w:t>
      </w:r>
      <w:proofErr w:type="spellStart"/>
      <w:r w:rsidRPr="006C0942">
        <w:rPr>
          <w:sz w:val="22"/>
          <w:szCs w:val="22"/>
        </w:rPr>
        <w:t>PharmacoTherapy</w:t>
      </w:r>
      <w:proofErr w:type="spellEnd"/>
      <w:r w:rsidRPr="006C0942">
        <w:rPr>
          <w:sz w:val="22"/>
          <w:szCs w:val="22"/>
        </w:rPr>
        <w:t xml:space="preserve">, -Epidemiology &amp; -Economics, </w:t>
      </w:r>
      <w:r w:rsidR="004316CD">
        <w:rPr>
          <w:sz w:val="22"/>
          <w:szCs w:val="22"/>
        </w:rPr>
        <w:t xml:space="preserve">9713 AV </w:t>
      </w:r>
      <w:r w:rsidRPr="006C0942">
        <w:rPr>
          <w:sz w:val="22"/>
          <w:szCs w:val="22"/>
        </w:rPr>
        <w:t>Groningen, The Netherlands</w:t>
      </w:r>
    </w:p>
    <w:p w14:paraId="6513F132" w14:textId="3ED65FA8" w:rsidR="007D0FC7" w:rsidRPr="006C0942" w:rsidRDefault="007D0FC7" w:rsidP="007D0FC7">
      <w:pPr>
        <w:spacing w:after="120"/>
        <w:jc w:val="both"/>
        <w:rPr>
          <w:sz w:val="22"/>
          <w:szCs w:val="22"/>
        </w:rPr>
      </w:pPr>
      <w:r w:rsidRPr="006C0942">
        <w:rPr>
          <w:sz w:val="22"/>
          <w:szCs w:val="22"/>
          <w:vertAlign w:val="superscript"/>
        </w:rPr>
        <w:t xml:space="preserve">6 </w:t>
      </w:r>
      <w:r w:rsidRPr="006C0942">
        <w:rPr>
          <w:sz w:val="22"/>
          <w:szCs w:val="22"/>
        </w:rPr>
        <w:t xml:space="preserve">University of Groningen, University Medical Center Groningen, Department of Health Psychology, </w:t>
      </w:r>
      <w:r w:rsidR="004316CD">
        <w:rPr>
          <w:sz w:val="22"/>
          <w:szCs w:val="22"/>
        </w:rPr>
        <w:t xml:space="preserve">9713 </w:t>
      </w:r>
      <w:r w:rsidR="004316CD">
        <w:rPr>
          <w:sz w:val="22"/>
          <w:szCs w:val="22"/>
        </w:rPr>
        <w:t>GZ</w:t>
      </w:r>
      <w:bookmarkStart w:id="0" w:name="_GoBack"/>
      <w:bookmarkEnd w:id="0"/>
      <w:r w:rsidR="004316CD">
        <w:rPr>
          <w:sz w:val="22"/>
          <w:szCs w:val="22"/>
        </w:rPr>
        <w:t xml:space="preserve"> </w:t>
      </w:r>
      <w:r w:rsidRPr="006C0942">
        <w:rPr>
          <w:sz w:val="22"/>
          <w:szCs w:val="22"/>
        </w:rPr>
        <w:t>Groningen, The Netherlands</w:t>
      </w:r>
    </w:p>
    <w:p w14:paraId="491902E6" w14:textId="77777777" w:rsidR="007D0FC7" w:rsidRPr="006C0942" w:rsidRDefault="007D0FC7" w:rsidP="007D0FC7">
      <w:pPr>
        <w:spacing w:after="120"/>
        <w:rPr>
          <w:sz w:val="22"/>
          <w:szCs w:val="22"/>
        </w:rPr>
      </w:pPr>
      <w:r w:rsidRPr="006C0942">
        <w:rPr>
          <w:sz w:val="22"/>
          <w:szCs w:val="22"/>
        </w:rPr>
        <w:t xml:space="preserve">Corresponding author: P. Lanting, p.lanting@umcg.nl; University Medical Center Groningen, Department of Genetics (CB50); </w:t>
      </w:r>
      <w:proofErr w:type="spellStart"/>
      <w:r w:rsidRPr="006C0942">
        <w:rPr>
          <w:sz w:val="22"/>
          <w:szCs w:val="22"/>
        </w:rPr>
        <w:t>Hanzeplein</w:t>
      </w:r>
      <w:proofErr w:type="spellEnd"/>
      <w:r w:rsidRPr="006C0942">
        <w:rPr>
          <w:sz w:val="22"/>
          <w:szCs w:val="22"/>
        </w:rPr>
        <w:t xml:space="preserve"> 1, 9713 GZ Groningen, The Netherlands; Phone: +31 (0)50 3617100</w:t>
      </w:r>
    </w:p>
    <w:p w14:paraId="2C7E61F1" w14:textId="77777777" w:rsidR="00341F76" w:rsidRPr="006C0942" w:rsidRDefault="00341F76">
      <w:pPr>
        <w:rPr>
          <w:rFonts w:ascii="Calibri" w:hAnsi="Calibri" w:cs="Times New Roman"/>
          <w:b/>
          <w:sz w:val="22"/>
          <w:szCs w:val="22"/>
        </w:rPr>
      </w:pPr>
      <w:r w:rsidRPr="006C0942">
        <w:rPr>
          <w:rFonts w:ascii="Calibri" w:hAnsi="Calibri" w:cs="Times New Roman"/>
          <w:b/>
          <w:sz w:val="22"/>
          <w:szCs w:val="22"/>
        </w:rPr>
        <w:br w:type="page"/>
      </w:r>
    </w:p>
    <w:p w14:paraId="02AEE69E" w14:textId="6CEF1ED2" w:rsidR="00F9528A" w:rsidRPr="00341F76" w:rsidRDefault="00100E39">
      <w:pPr>
        <w:rPr>
          <w:rFonts w:ascii="Calibri" w:hAnsi="Calibri" w:cs="Times New Roman"/>
          <w:sz w:val="22"/>
          <w:szCs w:val="22"/>
        </w:rPr>
      </w:pPr>
      <w:r w:rsidRPr="00341F76">
        <w:rPr>
          <w:rFonts w:ascii="Calibri" w:hAnsi="Calibri" w:cs="Times New Roman"/>
          <w:b/>
          <w:sz w:val="22"/>
          <w:szCs w:val="22"/>
        </w:rPr>
        <w:lastRenderedPageBreak/>
        <w:t>Supplementary Methods</w:t>
      </w:r>
    </w:p>
    <w:p w14:paraId="55119D11" w14:textId="77777777" w:rsidR="007840AC" w:rsidRPr="00341F76" w:rsidRDefault="007840AC">
      <w:pPr>
        <w:rPr>
          <w:rFonts w:ascii="Calibri" w:hAnsi="Calibri" w:cs="Times New Roman"/>
          <w:i/>
          <w:sz w:val="22"/>
          <w:szCs w:val="22"/>
        </w:rPr>
      </w:pPr>
    </w:p>
    <w:p w14:paraId="392F56EB" w14:textId="12A79089" w:rsidR="00A732EB" w:rsidRPr="009912C6" w:rsidRDefault="007840AC" w:rsidP="009912C6">
      <w:pPr>
        <w:pStyle w:val="ListParagraph"/>
        <w:numPr>
          <w:ilvl w:val="0"/>
          <w:numId w:val="1"/>
        </w:numPr>
        <w:rPr>
          <w:rFonts w:ascii="Calibri" w:hAnsi="Calibri" w:cs="Times New Roman"/>
          <w:i/>
          <w:sz w:val="22"/>
          <w:szCs w:val="22"/>
        </w:rPr>
      </w:pPr>
      <w:r w:rsidRPr="009912C6">
        <w:rPr>
          <w:rFonts w:ascii="Calibri" w:hAnsi="Calibri" w:cs="Times New Roman"/>
          <w:i/>
          <w:sz w:val="22"/>
          <w:szCs w:val="22"/>
        </w:rPr>
        <w:t>Study setting</w:t>
      </w:r>
    </w:p>
    <w:p w14:paraId="7D279E8B" w14:textId="69470498" w:rsidR="00A540B7" w:rsidRPr="00341F76" w:rsidRDefault="00A540B7" w:rsidP="00E5511F">
      <w:pPr>
        <w:rPr>
          <w:rFonts w:ascii="Calibri" w:hAnsi="Calibri" w:cs="Times New Roman"/>
          <w:sz w:val="22"/>
          <w:szCs w:val="22"/>
        </w:rPr>
      </w:pPr>
      <w:r w:rsidRPr="00341F76">
        <w:rPr>
          <w:rFonts w:ascii="Calibri" w:hAnsi="Calibri" w:cs="Times New Roman"/>
          <w:sz w:val="22"/>
          <w:szCs w:val="22"/>
        </w:rPr>
        <w:t xml:space="preserve">In the Netherlands, patients are commonly registered with one </w:t>
      </w:r>
      <w:r w:rsidR="007840AC" w:rsidRPr="00341F76">
        <w:rPr>
          <w:rFonts w:ascii="Calibri" w:hAnsi="Calibri" w:cs="Times New Roman"/>
          <w:sz w:val="22"/>
          <w:szCs w:val="22"/>
        </w:rPr>
        <w:t>general practitioner (</w:t>
      </w:r>
      <w:r w:rsidRPr="00341F76">
        <w:rPr>
          <w:rFonts w:ascii="Calibri" w:hAnsi="Calibri" w:cs="Times New Roman"/>
          <w:sz w:val="22"/>
          <w:szCs w:val="22"/>
        </w:rPr>
        <w:t>GP</w:t>
      </w:r>
      <w:r w:rsidR="007840AC" w:rsidRPr="00341F76">
        <w:rPr>
          <w:rFonts w:ascii="Calibri" w:hAnsi="Calibri" w:cs="Times New Roman"/>
          <w:sz w:val="22"/>
          <w:szCs w:val="22"/>
        </w:rPr>
        <w:t>)</w:t>
      </w:r>
      <w:r w:rsidRPr="00341F76">
        <w:rPr>
          <w:rFonts w:ascii="Calibri" w:hAnsi="Calibri" w:cs="Times New Roman"/>
          <w:sz w:val="22"/>
          <w:szCs w:val="22"/>
        </w:rPr>
        <w:t xml:space="preserve"> and one community pharmacy. More specialized care is provided by medical specialists in outpatient clinics of general or academic hospitals. Prescriptions from physicians in the outpatient clinic are dispensed by community pharmacies. Patients can choose to collect their prescription at the community pharmacy </w:t>
      </w:r>
      <w:r w:rsidR="00644342">
        <w:rPr>
          <w:rFonts w:ascii="Calibri" w:hAnsi="Calibri" w:cs="Times New Roman"/>
          <w:sz w:val="22"/>
          <w:szCs w:val="22"/>
        </w:rPr>
        <w:t xml:space="preserve">where </w:t>
      </w:r>
      <w:r w:rsidRPr="00341F76">
        <w:rPr>
          <w:rFonts w:ascii="Calibri" w:hAnsi="Calibri" w:cs="Times New Roman"/>
          <w:sz w:val="22"/>
          <w:szCs w:val="22"/>
        </w:rPr>
        <w:t>they are registered with or at any other community pharmacy as a visiting guest. With permission of the patient, pharmacies typically notify the pharmacy where a patient is registered of the drug(s) they have dispensed for visiting guests in order to maintain medication safety. In outpatient care, the GP typically receives a report from the hospital physician in which details are shared about the (differential) diagnosis, treatment plan, medication use</w:t>
      </w:r>
      <w:r w:rsidR="00644342">
        <w:rPr>
          <w:rFonts w:ascii="Calibri" w:hAnsi="Calibri" w:cs="Times New Roman"/>
          <w:sz w:val="22"/>
          <w:szCs w:val="22"/>
        </w:rPr>
        <w:t>,</w:t>
      </w:r>
      <w:r w:rsidRPr="00341F76">
        <w:rPr>
          <w:rFonts w:ascii="Calibri" w:hAnsi="Calibri" w:cs="Times New Roman"/>
          <w:sz w:val="22"/>
          <w:szCs w:val="22"/>
        </w:rPr>
        <w:t xml:space="preserve"> and relevant diagnostic measurements (i.e. blood pressure, drug plasma concentration, PGx test results). </w:t>
      </w:r>
    </w:p>
    <w:p w14:paraId="2758C032" w14:textId="4D525058" w:rsidR="007840AC" w:rsidRPr="00341F76" w:rsidRDefault="007840AC">
      <w:pPr>
        <w:rPr>
          <w:rFonts w:ascii="Calibri" w:hAnsi="Calibri" w:cs="Times New Roman"/>
          <w:i/>
          <w:sz w:val="22"/>
          <w:szCs w:val="22"/>
        </w:rPr>
      </w:pPr>
    </w:p>
    <w:p w14:paraId="69E110AA" w14:textId="3417164F" w:rsidR="000A15D7" w:rsidRPr="009912C6" w:rsidRDefault="00E5511F" w:rsidP="009912C6">
      <w:pPr>
        <w:pStyle w:val="ListParagraph"/>
        <w:numPr>
          <w:ilvl w:val="0"/>
          <w:numId w:val="1"/>
        </w:numPr>
        <w:rPr>
          <w:rFonts w:ascii="Calibri" w:hAnsi="Calibri" w:cs="Times New Roman"/>
          <w:i/>
          <w:sz w:val="22"/>
          <w:szCs w:val="22"/>
        </w:rPr>
      </w:pPr>
      <w:r w:rsidRPr="009912C6">
        <w:rPr>
          <w:rFonts w:ascii="Calibri" w:hAnsi="Calibri" w:cs="Times New Roman"/>
          <w:i/>
          <w:sz w:val="22"/>
          <w:szCs w:val="22"/>
        </w:rPr>
        <w:t>Qualitative interview and focus group studies</w:t>
      </w:r>
    </w:p>
    <w:p w14:paraId="1E3818CF" w14:textId="2B3AB46A" w:rsidR="000A15D7" w:rsidRPr="00341F76" w:rsidRDefault="000A15D7" w:rsidP="000A15D7">
      <w:pPr>
        <w:rPr>
          <w:rFonts w:ascii="Calibri" w:eastAsia="Times New Roman" w:hAnsi="Calibri" w:cs="Times New Roman"/>
          <w:color w:val="231F20"/>
          <w:sz w:val="22"/>
          <w:szCs w:val="22"/>
          <w:lang w:val="en-GB"/>
        </w:rPr>
      </w:pPr>
      <w:r w:rsidRPr="00341F76">
        <w:rPr>
          <w:rFonts w:ascii="Calibri" w:eastAsia="Times New Roman" w:hAnsi="Calibri" w:cs="Times New Roman"/>
          <w:color w:val="231F20"/>
          <w:sz w:val="22"/>
          <w:szCs w:val="22"/>
          <w:lang w:val="en-GB"/>
        </w:rPr>
        <w:t xml:space="preserve">An explorative qualitative interview and focus group study </w:t>
      </w:r>
      <w:r w:rsidRPr="00341F76">
        <w:rPr>
          <w:rFonts w:ascii="Calibri" w:hAnsi="Calibri" w:cs="Times New Roman"/>
          <w:sz w:val="22"/>
          <w:szCs w:val="22"/>
        </w:rPr>
        <w:t xml:space="preserve">with 13 </w:t>
      </w:r>
      <w:r w:rsidRPr="00341F76">
        <w:rPr>
          <w:rFonts w:ascii="Calibri" w:hAnsi="Calibri" w:cs="Times New Roman"/>
          <w:sz w:val="22"/>
          <w:szCs w:val="22"/>
          <w:lang w:val="en-GB"/>
        </w:rPr>
        <w:t xml:space="preserve">prescribers (from </w:t>
      </w:r>
      <w:r w:rsidRPr="00341F76">
        <w:rPr>
          <w:rFonts w:ascii="Calibri" w:eastAsia="Times New Roman" w:hAnsi="Calibri" w:cs="Times New Roman"/>
          <w:color w:val="000000"/>
          <w:sz w:val="22"/>
          <w:szCs w:val="22"/>
          <w:lang w:val="en-GB" w:eastAsia="nl-NL"/>
        </w:rPr>
        <w:t>the participating outpatient clinics)</w:t>
      </w:r>
      <w:r w:rsidRPr="00341F76">
        <w:rPr>
          <w:rFonts w:ascii="Calibri" w:eastAsia="Times New Roman" w:hAnsi="Calibri" w:cs="Times New Roman"/>
          <w:color w:val="231F20"/>
          <w:sz w:val="22"/>
          <w:szCs w:val="22"/>
        </w:rPr>
        <w:t>,</w:t>
      </w:r>
      <w:r w:rsidRPr="00341F76">
        <w:rPr>
          <w:rFonts w:ascii="Calibri" w:hAnsi="Calibri" w:cs="Times New Roman"/>
          <w:sz w:val="22"/>
          <w:szCs w:val="22"/>
          <w:lang w:val="en-GB"/>
        </w:rPr>
        <w:t xml:space="preserve"> 13 patients</w:t>
      </w:r>
      <w:r w:rsidR="00644342">
        <w:rPr>
          <w:rFonts w:ascii="Calibri" w:hAnsi="Calibri" w:cs="Times New Roman"/>
          <w:sz w:val="22"/>
          <w:szCs w:val="22"/>
          <w:lang w:val="en-GB"/>
        </w:rPr>
        <w:t>,</w:t>
      </w:r>
      <w:r w:rsidRPr="00341F76">
        <w:rPr>
          <w:rFonts w:ascii="Calibri" w:hAnsi="Calibri" w:cs="Times New Roman"/>
          <w:sz w:val="22"/>
          <w:szCs w:val="22"/>
          <w:lang w:val="en-GB"/>
        </w:rPr>
        <w:t xml:space="preserve"> and </w:t>
      </w:r>
      <w:r w:rsidRPr="00341F76">
        <w:rPr>
          <w:rFonts w:ascii="Calibri" w:hAnsi="Calibri" w:cs="Times New Roman"/>
          <w:sz w:val="22"/>
          <w:szCs w:val="22"/>
        </w:rPr>
        <w:t xml:space="preserve">7 </w:t>
      </w:r>
      <w:r w:rsidRPr="00341F76">
        <w:rPr>
          <w:rFonts w:ascii="Calibri" w:hAnsi="Calibri" w:cs="Times New Roman"/>
          <w:sz w:val="22"/>
          <w:szCs w:val="22"/>
          <w:lang w:val="en-GB"/>
        </w:rPr>
        <w:t xml:space="preserve">pharmacists, </w:t>
      </w:r>
      <w:r w:rsidRPr="00341F76">
        <w:rPr>
          <w:rFonts w:ascii="Calibri" w:eastAsia="Times New Roman" w:hAnsi="Calibri" w:cs="Times New Roman"/>
          <w:color w:val="231F20"/>
          <w:sz w:val="22"/>
          <w:szCs w:val="22"/>
          <w:lang w:val="en-GB"/>
        </w:rPr>
        <w:t xml:space="preserve">preceded the development of the survey and final design of the implementation pilot study. In this pre-pilot study, we assessed </w:t>
      </w:r>
      <w:r w:rsidR="00DE7A2A">
        <w:rPr>
          <w:rFonts w:ascii="Calibri" w:eastAsia="Times New Roman" w:hAnsi="Calibri" w:cs="Times New Roman"/>
          <w:color w:val="231F20"/>
          <w:sz w:val="22"/>
          <w:szCs w:val="22"/>
          <w:lang w:val="en-GB"/>
        </w:rPr>
        <w:t>barriers</w:t>
      </w:r>
      <w:r w:rsidRPr="00341F76">
        <w:rPr>
          <w:rFonts w:ascii="Calibri" w:eastAsia="Times New Roman" w:hAnsi="Calibri" w:cs="Times New Roman"/>
          <w:color w:val="231F20"/>
          <w:sz w:val="22"/>
          <w:szCs w:val="22"/>
          <w:lang w:val="en-GB"/>
        </w:rPr>
        <w:t xml:space="preserve"> and </w:t>
      </w:r>
      <w:r w:rsidR="00DE7A2A">
        <w:rPr>
          <w:rFonts w:ascii="Calibri" w:eastAsia="Times New Roman" w:hAnsi="Calibri" w:cs="Times New Roman"/>
          <w:color w:val="231F20"/>
          <w:sz w:val="22"/>
          <w:szCs w:val="22"/>
          <w:lang w:val="en-GB"/>
        </w:rPr>
        <w:t>facilitators</w:t>
      </w:r>
      <w:r w:rsidRPr="00341F76">
        <w:rPr>
          <w:rFonts w:ascii="Calibri" w:eastAsia="Times New Roman" w:hAnsi="Calibri" w:cs="Times New Roman"/>
          <w:color w:val="231F20"/>
          <w:sz w:val="22"/>
          <w:szCs w:val="22"/>
          <w:lang w:val="en-GB"/>
        </w:rPr>
        <w:t xml:space="preserve"> as well as needs of prescribers, patients</w:t>
      </w:r>
      <w:r w:rsidR="00644342">
        <w:rPr>
          <w:rFonts w:ascii="Calibri" w:eastAsia="Times New Roman" w:hAnsi="Calibri" w:cs="Times New Roman"/>
          <w:color w:val="231F20"/>
          <w:sz w:val="22"/>
          <w:szCs w:val="22"/>
          <w:lang w:val="en-GB"/>
        </w:rPr>
        <w:t>,</w:t>
      </w:r>
      <w:r w:rsidRPr="00341F76">
        <w:rPr>
          <w:rFonts w:ascii="Calibri" w:eastAsia="Times New Roman" w:hAnsi="Calibri" w:cs="Times New Roman"/>
          <w:color w:val="231F20"/>
          <w:sz w:val="22"/>
          <w:szCs w:val="22"/>
          <w:lang w:val="en-GB"/>
        </w:rPr>
        <w:t xml:space="preserve"> and pharmacists, in the implementation of PGx. </w:t>
      </w:r>
    </w:p>
    <w:p w14:paraId="7A3790A9" w14:textId="2FA0A926" w:rsidR="000A15D7" w:rsidRPr="00341F76" w:rsidRDefault="000A15D7" w:rsidP="00E5511F">
      <w:pPr>
        <w:ind w:firstLine="720"/>
        <w:rPr>
          <w:rFonts w:ascii="Calibri" w:eastAsia="Times New Roman" w:hAnsi="Calibri" w:cs="Times New Roman"/>
          <w:color w:val="000000"/>
          <w:sz w:val="22"/>
          <w:szCs w:val="22"/>
          <w:lang w:val="en-GB" w:eastAsia="nl-NL"/>
        </w:rPr>
      </w:pPr>
      <w:r w:rsidRPr="00341F76">
        <w:rPr>
          <w:rFonts w:ascii="Calibri" w:eastAsia="Times New Roman" w:hAnsi="Calibri" w:cs="Times New Roman"/>
          <w:color w:val="231F20"/>
          <w:sz w:val="22"/>
          <w:szCs w:val="22"/>
          <w:lang w:val="en-GB"/>
        </w:rPr>
        <w:t xml:space="preserve">A </w:t>
      </w:r>
      <w:r w:rsidRPr="00341F76">
        <w:rPr>
          <w:rFonts w:ascii="Calibri" w:eastAsia="Times New Roman" w:hAnsi="Calibri" w:cs="Times New Roman"/>
          <w:color w:val="231F20"/>
          <w:sz w:val="22"/>
          <w:szCs w:val="22"/>
        </w:rPr>
        <w:t xml:space="preserve">positive attitude towards clinical implementation of PGx was found among both professionals and patients. </w:t>
      </w:r>
      <w:r w:rsidRPr="00341F76">
        <w:rPr>
          <w:rFonts w:ascii="Calibri" w:hAnsi="Calibri" w:cs="Times New Roman"/>
          <w:sz w:val="22"/>
          <w:szCs w:val="22"/>
        </w:rPr>
        <w:t>A</w:t>
      </w:r>
      <w:r w:rsidRPr="00341F76">
        <w:rPr>
          <w:rFonts w:ascii="Calibri" w:hAnsi="Calibri" w:cs="Times New Roman"/>
          <w:sz w:val="22"/>
          <w:szCs w:val="22"/>
          <w:lang w:val="en-GB"/>
        </w:rPr>
        <w:t xml:space="preserve"> lack in PGx knowledge among healthcare professionals was considered a barrier. </w:t>
      </w:r>
      <w:r w:rsidRPr="00341F76">
        <w:rPr>
          <w:rFonts w:ascii="Calibri" w:eastAsia="Times New Roman" w:hAnsi="Calibri" w:cs="Times New Roman"/>
          <w:color w:val="231F20"/>
          <w:sz w:val="22"/>
          <w:szCs w:val="22"/>
        </w:rPr>
        <w:t>Among pharmacists, despite the</w:t>
      </w:r>
      <w:r w:rsidR="00644342">
        <w:rPr>
          <w:rFonts w:ascii="Calibri" w:eastAsia="Times New Roman" w:hAnsi="Calibri" w:cs="Times New Roman"/>
          <w:color w:val="231F20"/>
          <w:sz w:val="22"/>
          <w:szCs w:val="22"/>
        </w:rPr>
        <w:t>ir</w:t>
      </w:r>
      <w:r w:rsidRPr="00341F76">
        <w:rPr>
          <w:rFonts w:ascii="Calibri" w:eastAsia="Times New Roman" w:hAnsi="Calibri" w:cs="Times New Roman"/>
          <w:color w:val="231F20"/>
          <w:sz w:val="22"/>
          <w:szCs w:val="22"/>
        </w:rPr>
        <w:t xml:space="preserve"> familiarity with the concept of PGx, there was lack of knowledge to</w:t>
      </w:r>
      <w:r w:rsidRPr="00341F76">
        <w:rPr>
          <w:rFonts w:ascii="Calibri" w:hAnsi="Calibri" w:cs="Times New Roman"/>
          <w:b/>
          <w:sz w:val="22"/>
          <w:szCs w:val="22"/>
        </w:rPr>
        <w:t xml:space="preserve"> </w:t>
      </w:r>
      <w:r w:rsidRPr="00341F76">
        <w:rPr>
          <w:rFonts w:ascii="Calibri" w:hAnsi="Calibri" w:cs="Times New Roman"/>
          <w:sz w:val="22"/>
          <w:szCs w:val="22"/>
        </w:rPr>
        <w:t>confidently apply it in practice.</w:t>
      </w:r>
      <w:r w:rsidRPr="00341F76">
        <w:rPr>
          <w:rFonts w:ascii="Calibri" w:eastAsia="Times New Roman" w:hAnsi="Calibri" w:cs="Times New Roman"/>
          <w:color w:val="231F20"/>
          <w:sz w:val="22"/>
          <w:szCs w:val="22"/>
        </w:rPr>
        <w:t xml:space="preserve"> For the prescribers, the availability of Clinical Decision Support</w:t>
      </w:r>
      <w:r w:rsidR="00C30705" w:rsidRPr="00341F76">
        <w:rPr>
          <w:rFonts w:ascii="Calibri" w:eastAsia="Times New Roman" w:hAnsi="Calibri" w:cs="Times New Roman"/>
          <w:color w:val="231F20"/>
          <w:sz w:val="22"/>
          <w:szCs w:val="22"/>
        </w:rPr>
        <w:t xml:space="preserve"> (CDS)</w:t>
      </w:r>
      <w:r w:rsidRPr="00341F76">
        <w:rPr>
          <w:rFonts w:ascii="Calibri" w:eastAsia="Times New Roman" w:hAnsi="Calibri" w:cs="Times New Roman"/>
          <w:color w:val="231F20"/>
          <w:sz w:val="22"/>
          <w:szCs w:val="22"/>
        </w:rPr>
        <w:t xml:space="preserve"> was regarded a critical success factor </w:t>
      </w:r>
      <w:r w:rsidR="00644342">
        <w:rPr>
          <w:rFonts w:ascii="Calibri" w:eastAsia="Times New Roman" w:hAnsi="Calibri" w:cs="Times New Roman"/>
          <w:color w:val="231F20"/>
          <w:sz w:val="22"/>
          <w:szCs w:val="22"/>
        </w:rPr>
        <w:t>for</w:t>
      </w:r>
      <w:r w:rsidRPr="00341F76">
        <w:rPr>
          <w:rFonts w:ascii="Calibri" w:eastAsia="Times New Roman" w:hAnsi="Calibri" w:cs="Times New Roman"/>
          <w:color w:val="231F20"/>
          <w:sz w:val="22"/>
          <w:szCs w:val="22"/>
        </w:rPr>
        <w:t xml:space="preserve"> implement</w:t>
      </w:r>
      <w:r w:rsidR="00644342">
        <w:rPr>
          <w:rFonts w:ascii="Calibri" w:eastAsia="Times New Roman" w:hAnsi="Calibri" w:cs="Times New Roman"/>
          <w:color w:val="231F20"/>
          <w:sz w:val="22"/>
          <w:szCs w:val="22"/>
        </w:rPr>
        <w:t>ing</w:t>
      </w:r>
      <w:r w:rsidRPr="00341F76">
        <w:rPr>
          <w:rFonts w:ascii="Calibri" w:eastAsia="Times New Roman" w:hAnsi="Calibri" w:cs="Times New Roman"/>
          <w:color w:val="231F20"/>
          <w:sz w:val="22"/>
          <w:szCs w:val="22"/>
        </w:rPr>
        <w:t xml:space="preserve"> PGx in clinical practice.</w:t>
      </w:r>
      <w:r w:rsidRPr="00341F76">
        <w:rPr>
          <w:rFonts w:ascii="Calibri" w:hAnsi="Calibri" w:cs="Times New Roman"/>
          <w:b/>
          <w:sz w:val="22"/>
          <w:szCs w:val="22"/>
        </w:rPr>
        <w:t xml:space="preserve"> </w:t>
      </w:r>
      <w:r w:rsidRPr="00341F76">
        <w:rPr>
          <w:rFonts w:ascii="Calibri" w:hAnsi="Calibri" w:cs="Times New Roman"/>
          <w:sz w:val="22"/>
          <w:szCs w:val="22"/>
          <w:lang w:val="en-GB"/>
        </w:rPr>
        <w:t>The distribution of responsibilities among professionals also needs addressing. Prescribers and pharmacists differed in views, both holding the other responsible</w:t>
      </w:r>
      <w:r w:rsidRPr="00341F76">
        <w:rPr>
          <w:rFonts w:ascii="Calibri" w:eastAsia="Times New Roman" w:hAnsi="Calibri" w:cs="Times New Roman"/>
          <w:color w:val="000000"/>
          <w:sz w:val="22"/>
          <w:szCs w:val="22"/>
          <w:lang w:val="en-GB" w:eastAsia="nl-NL"/>
        </w:rPr>
        <w:t>. Also, there was a need among healthcare practitioners for an informative introductory meeting prior to the start of the study. In order to inform patients about PGx, an information brochure, animated video</w:t>
      </w:r>
      <w:r w:rsidR="00644342">
        <w:rPr>
          <w:rFonts w:ascii="Calibri" w:eastAsia="Times New Roman" w:hAnsi="Calibri" w:cs="Times New Roman"/>
          <w:color w:val="000000"/>
          <w:sz w:val="22"/>
          <w:szCs w:val="22"/>
          <w:lang w:val="en-GB" w:eastAsia="nl-NL"/>
        </w:rPr>
        <w:t>,</w:t>
      </w:r>
      <w:r w:rsidRPr="00341F76">
        <w:rPr>
          <w:rFonts w:ascii="Calibri" w:eastAsia="Times New Roman" w:hAnsi="Calibri" w:cs="Times New Roman"/>
          <w:color w:val="000000"/>
          <w:sz w:val="22"/>
          <w:szCs w:val="22"/>
          <w:lang w:val="en-GB" w:eastAsia="nl-NL"/>
        </w:rPr>
        <w:t xml:space="preserve"> and project website were developed and pilot-tested with patients. The offer of an animated video in addition to an information brochure and project website aided in understanding of PGx. Moreover, since the term PGx was found to be difficult, it was suggested </w:t>
      </w:r>
      <w:r w:rsidR="00644342">
        <w:rPr>
          <w:rFonts w:ascii="Calibri" w:eastAsia="Times New Roman" w:hAnsi="Calibri" w:cs="Times New Roman"/>
          <w:color w:val="000000"/>
          <w:sz w:val="22"/>
          <w:szCs w:val="22"/>
          <w:lang w:val="en-GB" w:eastAsia="nl-NL"/>
        </w:rPr>
        <w:t>we</w:t>
      </w:r>
      <w:r w:rsidR="00644342" w:rsidRPr="00341F76">
        <w:rPr>
          <w:rFonts w:ascii="Calibri" w:eastAsia="Times New Roman" w:hAnsi="Calibri" w:cs="Times New Roman"/>
          <w:color w:val="000000"/>
          <w:sz w:val="22"/>
          <w:szCs w:val="22"/>
          <w:lang w:val="en-GB" w:eastAsia="nl-NL"/>
        </w:rPr>
        <w:t xml:space="preserve"> </w:t>
      </w:r>
      <w:r w:rsidRPr="00341F76">
        <w:rPr>
          <w:rFonts w:ascii="Calibri" w:eastAsia="Times New Roman" w:hAnsi="Calibri" w:cs="Times New Roman"/>
          <w:color w:val="000000"/>
          <w:sz w:val="22"/>
          <w:szCs w:val="22"/>
          <w:lang w:val="en-GB" w:eastAsia="nl-NL"/>
        </w:rPr>
        <w:t xml:space="preserve">speak of personalized medication (in Dutch: </w:t>
      </w:r>
      <w:proofErr w:type="spellStart"/>
      <w:r w:rsidRPr="00341F76">
        <w:rPr>
          <w:rFonts w:ascii="Calibri" w:eastAsia="Times New Roman" w:hAnsi="Calibri" w:cs="Times New Roman"/>
          <w:color w:val="000000"/>
          <w:sz w:val="22"/>
          <w:szCs w:val="22"/>
          <w:lang w:val="en-GB" w:eastAsia="nl-NL"/>
        </w:rPr>
        <w:t>Medicatie</w:t>
      </w:r>
      <w:proofErr w:type="spellEnd"/>
      <w:r w:rsidRPr="00341F76">
        <w:rPr>
          <w:rFonts w:ascii="Calibri" w:eastAsia="Times New Roman" w:hAnsi="Calibri" w:cs="Times New Roman"/>
          <w:color w:val="000000"/>
          <w:sz w:val="22"/>
          <w:szCs w:val="22"/>
          <w:lang w:val="en-GB" w:eastAsia="nl-NL"/>
        </w:rPr>
        <w:t xml:space="preserve"> op Maat) in the implementation process. </w:t>
      </w:r>
    </w:p>
    <w:p w14:paraId="44B3C7D1" w14:textId="40058227" w:rsidR="000A15D7" w:rsidRPr="00341F76" w:rsidRDefault="000A15D7">
      <w:pPr>
        <w:rPr>
          <w:rFonts w:ascii="Calibri" w:hAnsi="Calibri" w:cs="Times New Roman"/>
          <w:sz w:val="22"/>
          <w:szCs w:val="22"/>
        </w:rPr>
      </w:pPr>
    </w:p>
    <w:p w14:paraId="5A52D553" w14:textId="430239F5" w:rsidR="00844E45" w:rsidRPr="009912C6" w:rsidRDefault="00844E45" w:rsidP="009912C6">
      <w:pPr>
        <w:pStyle w:val="ListParagraph"/>
        <w:numPr>
          <w:ilvl w:val="0"/>
          <w:numId w:val="1"/>
        </w:numPr>
        <w:rPr>
          <w:rFonts w:ascii="Calibri" w:hAnsi="Calibri" w:cs="Times New Roman"/>
          <w:i/>
          <w:sz w:val="22"/>
          <w:szCs w:val="22"/>
        </w:rPr>
      </w:pPr>
      <w:r w:rsidRPr="009912C6">
        <w:rPr>
          <w:rFonts w:ascii="Calibri" w:hAnsi="Calibri" w:cs="Times New Roman"/>
          <w:i/>
          <w:sz w:val="22"/>
          <w:szCs w:val="22"/>
        </w:rPr>
        <w:t>Recruitment of participants</w:t>
      </w:r>
    </w:p>
    <w:p w14:paraId="3474518E" w14:textId="46462B77" w:rsidR="00BD28A1" w:rsidRPr="00341F76" w:rsidRDefault="00100E39">
      <w:pPr>
        <w:rPr>
          <w:rFonts w:ascii="Calibri" w:hAnsi="Calibri" w:cs="Times New Roman"/>
          <w:sz w:val="22"/>
          <w:szCs w:val="22"/>
        </w:rPr>
      </w:pPr>
      <w:r w:rsidRPr="00341F76">
        <w:rPr>
          <w:rFonts w:ascii="Calibri" w:hAnsi="Calibri" w:cs="Times New Roman"/>
          <w:sz w:val="22"/>
          <w:szCs w:val="22"/>
        </w:rPr>
        <w:t xml:space="preserve">Physicians from the outpatient clinics of Internal Medicine and Psychiatry were asked to participate in this study and </w:t>
      </w:r>
      <w:r w:rsidR="00402CF1" w:rsidRPr="00341F76">
        <w:rPr>
          <w:rFonts w:ascii="Calibri" w:hAnsi="Calibri" w:cs="Times New Roman"/>
          <w:sz w:val="22"/>
          <w:szCs w:val="22"/>
        </w:rPr>
        <w:t xml:space="preserve">to </w:t>
      </w:r>
      <w:r w:rsidRPr="00341F76">
        <w:rPr>
          <w:rFonts w:ascii="Calibri" w:hAnsi="Calibri" w:cs="Times New Roman"/>
          <w:sz w:val="22"/>
          <w:szCs w:val="22"/>
        </w:rPr>
        <w:t>recruit among their own patients</w:t>
      </w:r>
      <w:r w:rsidR="007840AC" w:rsidRPr="00341F76">
        <w:rPr>
          <w:rFonts w:ascii="Calibri" w:hAnsi="Calibri" w:cs="Times New Roman"/>
          <w:sz w:val="22"/>
          <w:szCs w:val="22"/>
        </w:rPr>
        <w:t>.</w:t>
      </w:r>
      <w:r w:rsidR="003550F9">
        <w:rPr>
          <w:rFonts w:ascii="Calibri" w:hAnsi="Calibri" w:cs="Times New Roman"/>
          <w:sz w:val="22"/>
          <w:szCs w:val="22"/>
        </w:rPr>
        <w:t xml:space="preserve"> We choose these two outpatient clinics because they treat large volumes of patients, prescribe a substantial number of relevant drugs, and were enthusiastic about PGx implementation. </w:t>
      </w:r>
      <w:r w:rsidRPr="00341F76">
        <w:rPr>
          <w:rFonts w:ascii="Calibri" w:hAnsi="Calibri" w:cs="Times New Roman"/>
          <w:sz w:val="22"/>
          <w:szCs w:val="22"/>
        </w:rPr>
        <w:t>Patients were recruited on a first-come-first-serve</w:t>
      </w:r>
      <w:r w:rsidR="00C912BC">
        <w:rPr>
          <w:rFonts w:ascii="Calibri" w:hAnsi="Calibri" w:cs="Times New Roman"/>
          <w:sz w:val="22"/>
          <w:szCs w:val="22"/>
        </w:rPr>
        <w:t>d</w:t>
      </w:r>
      <w:r w:rsidRPr="00341F76">
        <w:rPr>
          <w:rFonts w:ascii="Calibri" w:hAnsi="Calibri" w:cs="Times New Roman"/>
          <w:sz w:val="22"/>
          <w:szCs w:val="22"/>
        </w:rPr>
        <w:t xml:space="preserve"> basis until the maximum</w:t>
      </w:r>
      <w:r w:rsidR="000F1A53">
        <w:rPr>
          <w:rFonts w:ascii="Calibri" w:hAnsi="Calibri" w:cs="Times New Roman"/>
          <w:sz w:val="22"/>
          <w:szCs w:val="22"/>
        </w:rPr>
        <w:t xml:space="preserve"> laboratory capacity</w:t>
      </w:r>
      <w:r w:rsidRPr="00341F76">
        <w:rPr>
          <w:rFonts w:ascii="Calibri" w:hAnsi="Calibri" w:cs="Times New Roman"/>
          <w:sz w:val="22"/>
          <w:szCs w:val="22"/>
        </w:rPr>
        <w:t xml:space="preserve"> of 1</w:t>
      </w:r>
      <w:r w:rsidR="000A15D7" w:rsidRPr="00341F76">
        <w:rPr>
          <w:rFonts w:ascii="Calibri" w:hAnsi="Calibri" w:cs="Times New Roman"/>
          <w:sz w:val="22"/>
          <w:szCs w:val="22"/>
        </w:rPr>
        <w:t>65</w:t>
      </w:r>
      <w:r w:rsidRPr="00341F76">
        <w:rPr>
          <w:rFonts w:ascii="Calibri" w:hAnsi="Calibri" w:cs="Times New Roman"/>
          <w:sz w:val="22"/>
          <w:szCs w:val="22"/>
        </w:rPr>
        <w:t xml:space="preserve"> was reached. The </w:t>
      </w:r>
      <w:r w:rsidR="00402CF1" w:rsidRPr="00341F76">
        <w:rPr>
          <w:rFonts w:ascii="Calibri" w:hAnsi="Calibri" w:cs="Times New Roman"/>
          <w:sz w:val="22"/>
          <w:szCs w:val="22"/>
        </w:rPr>
        <w:t xml:space="preserve">number </w:t>
      </w:r>
      <w:r w:rsidRPr="00341F76">
        <w:rPr>
          <w:rFonts w:ascii="Calibri" w:hAnsi="Calibri" w:cs="Times New Roman"/>
          <w:sz w:val="22"/>
          <w:szCs w:val="22"/>
        </w:rPr>
        <w:t>of physicians was</w:t>
      </w:r>
      <w:r w:rsidR="000A15D7" w:rsidRPr="00341F76">
        <w:rPr>
          <w:rFonts w:ascii="Calibri" w:hAnsi="Calibri" w:cs="Times New Roman"/>
          <w:sz w:val="22"/>
          <w:szCs w:val="22"/>
        </w:rPr>
        <w:t xml:space="preserve"> limited to</w:t>
      </w:r>
      <w:r w:rsidRPr="00341F76">
        <w:rPr>
          <w:rFonts w:ascii="Calibri" w:hAnsi="Calibri" w:cs="Times New Roman"/>
          <w:sz w:val="22"/>
          <w:szCs w:val="22"/>
        </w:rPr>
        <w:t xml:space="preserve"> </w:t>
      </w:r>
      <w:r w:rsidR="00BD28A1" w:rsidRPr="00341F76">
        <w:rPr>
          <w:rFonts w:ascii="Calibri" w:hAnsi="Calibri" w:cs="Times New Roman"/>
          <w:sz w:val="22"/>
          <w:szCs w:val="22"/>
        </w:rPr>
        <w:t>30</w:t>
      </w:r>
      <w:r w:rsidRPr="00341F76">
        <w:rPr>
          <w:rFonts w:ascii="Calibri" w:hAnsi="Calibri" w:cs="Times New Roman"/>
          <w:sz w:val="22"/>
          <w:szCs w:val="22"/>
        </w:rPr>
        <w:t xml:space="preserve"> to increase the opportunity for </w:t>
      </w:r>
      <w:r w:rsidR="00AE0A12">
        <w:rPr>
          <w:rFonts w:ascii="Calibri" w:hAnsi="Calibri" w:cs="Times New Roman"/>
          <w:sz w:val="22"/>
          <w:szCs w:val="22"/>
        </w:rPr>
        <w:t>participating</w:t>
      </w:r>
      <w:r w:rsidRPr="00341F76">
        <w:rPr>
          <w:rFonts w:ascii="Calibri" w:hAnsi="Calibri" w:cs="Times New Roman"/>
          <w:sz w:val="22"/>
          <w:szCs w:val="22"/>
        </w:rPr>
        <w:t xml:space="preserve"> physicians to include multiple patients and gain sufficient exposure to PGx. </w:t>
      </w:r>
      <w:r w:rsidR="000E6F78" w:rsidRPr="00341F76">
        <w:rPr>
          <w:rFonts w:ascii="Calibri" w:hAnsi="Calibri" w:cs="Times New Roman"/>
          <w:sz w:val="22"/>
          <w:szCs w:val="22"/>
        </w:rPr>
        <w:t>For practical reasons,</w:t>
      </w:r>
      <w:r w:rsidR="00A732EB" w:rsidRPr="00341F76">
        <w:rPr>
          <w:rFonts w:ascii="Calibri" w:hAnsi="Calibri" w:cs="Times New Roman"/>
          <w:sz w:val="22"/>
          <w:szCs w:val="22"/>
        </w:rPr>
        <w:t xml:space="preserve"> </w:t>
      </w:r>
      <w:r w:rsidR="000E6F78" w:rsidRPr="00341F76">
        <w:rPr>
          <w:rFonts w:ascii="Calibri" w:hAnsi="Calibri" w:cs="Times New Roman"/>
          <w:sz w:val="22"/>
          <w:szCs w:val="22"/>
        </w:rPr>
        <w:t>genotyping was performed batch-wise</w:t>
      </w:r>
      <w:r w:rsidR="00644342">
        <w:rPr>
          <w:rFonts w:ascii="Calibri" w:hAnsi="Calibri" w:cs="Times New Roman"/>
          <w:sz w:val="22"/>
          <w:szCs w:val="22"/>
        </w:rPr>
        <w:t>,</w:t>
      </w:r>
      <w:r w:rsidR="000E6F78" w:rsidRPr="00341F76">
        <w:rPr>
          <w:rFonts w:ascii="Calibri" w:hAnsi="Calibri" w:cs="Times New Roman"/>
          <w:sz w:val="22"/>
          <w:szCs w:val="22"/>
        </w:rPr>
        <w:t xml:space="preserve"> </w:t>
      </w:r>
      <w:r w:rsidR="00E17BBE" w:rsidRPr="00341F76">
        <w:rPr>
          <w:rFonts w:ascii="Calibri" w:hAnsi="Calibri" w:cs="Times New Roman"/>
          <w:sz w:val="22"/>
          <w:szCs w:val="22"/>
        </w:rPr>
        <w:t>resulting in</w:t>
      </w:r>
      <w:r w:rsidR="000E6F78" w:rsidRPr="00341F76">
        <w:rPr>
          <w:rFonts w:ascii="Calibri" w:hAnsi="Calibri" w:cs="Times New Roman"/>
          <w:sz w:val="22"/>
          <w:szCs w:val="22"/>
        </w:rPr>
        <w:t xml:space="preserve"> patients receiv</w:t>
      </w:r>
      <w:r w:rsidR="00E17BBE" w:rsidRPr="00341F76">
        <w:rPr>
          <w:rFonts w:ascii="Calibri" w:hAnsi="Calibri" w:cs="Times New Roman"/>
          <w:sz w:val="22"/>
          <w:szCs w:val="22"/>
        </w:rPr>
        <w:t>ing</w:t>
      </w:r>
      <w:r w:rsidR="000E6F78" w:rsidRPr="00341F76">
        <w:rPr>
          <w:rFonts w:ascii="Calibri" w:hAnsi="Calibri" w:cs="Times New Roman"/>
          <w:sz w:val="22"/>
          <w:szCs w:val="22"/>
        </w:rPr>
        <w:t xml:space="preserve"> their PGx screening results</w:t>
      </w:r>
      <w:r w:rsidR="00E17BBE" w:rsidRPr="00341F76">
        <w:rPr>
          <w:rFonts w:ascii="Calibri" w:hAnsi="Calibri" w:cs="Times New Roman"/>
          <w:sz w:val="22"/>
          <w:szCs w:val="22"/>
        </w:rPr>
        <w:t xml:space="preserve"> over the course of multiple months</w:t>
      </w:r>
      <w:r w:rsidR="000E6F78" w:rsidRPr="00341F76">
        <w:rPr>
          <w:rFonts w:ascii="Calibri" w:hAnsi="Calibri" w:cs="Times New Roman"/>
          <w:sz w:val="22"/>
          <w:szCs w:val="22"/>
        </w:rPr>
        <w:t xml:space="preserve">. </w:t>
      </w:r>
      <w:r w:rsidR="00E17BBE" w:rsidRPr="00341F76">
        <w:rPr>
          <w:rFonts w:ascii="Calibri" w:hAnsi="Calibri" w:cs="Times New Roman"/>
          <w:sz w:val="22"/>
          <w:szCs w:val="22"/>
        </w:rPr>
        <w:t>F</w:t>
      </w:r>
      <w:r w:rsidR="000E6F78" w:rsidRPr="00341F76">
        <w:rPr>
          <w:rFonts w:ascii="Calibri" w:hAnsi="Calibri" w:cs="Times New Roman"/>
          <w:sz w:val="22"/>
          <w:szCs w:val="22"/>
        </w:rPr>
        <w:t xml:space="preserve">ollow-up started </w:t>
      </w:r>
      <w:r w:rsidR="00644342">
        <w:rPr>
          <w:rFonts w:ascii="Calibri" w:hAnsi="Calibri" w:cs="Times New Roman"/>
          <w:sz w:val="22"/>
          <w:szCs w:val="22"/>
        </w:rPr>
        <w:t xml:space="preserve">from </w:t>
      </w:r>
      <w:r w:rsidR="000E6F78" w:rsidRPr="00341F76">
        <w:rPr>
          <w:rFonts w:ascii="Calibri" w:hAnsi="Calibri" w:cs="Times New Roman"/>
          <w:sz w:val="22"/>
          <w:szCs w:val="22"/>
        </w:rPr>
        <w:t>the time results were reported and lasted up to a year.</w:t>
      </w:r>
    </w:p>
    <w:p w14:paraId="31804E9B" w14:textId="117EEBCD" w:rsidR="00A911A0" w:rsidRPr="00341F76" w:rsidRDefault="00A911A0" w:rsidP="00E5511F">
      <w:pPr>
        <w:ind w:firstLine="720"/>
        <w:rPr>
          <w:rFonts w:ascii="Calibri" w:hAnsi="Calibri" w:cs="Times New Roman"/>
          <w:sz w:val="22"/>
          <w:szCs w:val="22"/>
        </w:rPr>
      </w:pPr>
      <w:r w:rsidRPr="00341F76">
        <w:rPr>
          <w:rFonts w:ascii="Calibri" w:hAnsi="Calibri" w:cs="Times New Roman"/>
          <w:sz w:val="22"/>
          <w:szCs w:val="22"/>
        </w:rPr>
        <w:t>Inclusion was possible for adult patients proficient in Dutch</w:t>
      </w:r>
      <w:r w:rsidR="00644342">
        <w:rPr>
          <w:rFonts w:ascii="Calibri" w:hAnsi="Calibri" w:cs="Times New Roman"/>
          <w:sz w:val="22"/>
          <w:szCs w:val="22"/>
        </w:rPr>
        <w:t>,</w:t>
      </w:r>
      <w:r w:rsidRPr="00341F76">
        <w:rPr>
          <w:rFonts w:ascii="Calibri" w:hAnsi="Calibri" w:cs="Times New Roman"/>
          <w:sz w:val="22"/>
          <w:szCs w:val="22"/>
        </w:rPr>
        <w:t xml:space="preserve"> and patients were excluded when their physician </w:t>
      </w:r>
      <w:r w:rsidR="00644342">
        <w:rPr>
          <w:rFonts w:ascii="Calibri" w:hAnsi="Calibri" w:cs="Times New Roman"/>
          <w:sz w:val="22"/>
          <w:szCs w:val="22"/>
        </w:rPr>
        <w:t>predicted</w:t>
      </w:r>
      <w:r w:rsidRPr="00341F76">
        <w:rPr>
          <w:rFonts w:ascii="Calibri" w:hAnsi="Calibri" w:cs="Times New Roman"/>
          <w:sz w:val="22"/>
          <w:szCs w:val="22"/>
        </w:rPr>
        <w:t xml:space="preserve"> </w:t>
      </w:r>
      <w:r w:rsidR="00644342">
        <w:rPr>
          <w:rFonts w:ascii="Calibri" w:hAnsi="Calibri" w:cs="Times New Roman"/>
          <w:sz w:val="22"/>
          <w:szCs w:val="22"/>
        </w:rPr>
        <w:t>they would</w:t>
      </w:r>
      <w:r w:rsidRPr="00341F76">
        <w:rPr>
          <w:rFonts w:ascii="Calibri" w:hAnsi="Calibri" w:cs="Times New Roman"/>
          <w:sz w:val="22"/>
          <w:szCs w:val="22"/>
        </w:rPr>
        <w:t xml:space="preserve"> be overburdened by study participation </w:t>
      </w:r>
      <w:r w:rsidR="00AE0A12">
        <w:rPr>
          <w:rFonts w:ascii="Calibri" w:hAnsi="Calibri" w:cs="Times New Roman"/>
          <w:sz w:val="22"/>
          <w:szCs w:val="22"/>
        </w:rPr>
        <w:t>or due to</w:t>
      </w:r>
      <w:r w:rsidRPr="00341F76">
        <w:rPr>
          <w:rFonts w:ascii="Calibri" w:hAnsi="Calibri" w:cs="Times New Roman"/>
          <w:sz w:val="22"/>
          <w:szCs w:val="22"/>
        </w:rPr>
        <w:t xml:space="preserve"> the inability to provide a blood sample. Note that no criteria were set regarding drug use</w:t>
      </w:r>
      <w:r w:rsidR="0011741C">
        <w:rPr>
          <w:rFonts w:ascii="Calibri" w:hAnsi="Calibri" w:cs="Times New Roman"/>
          <w:sz w:val="22"/>
          <w:szCs w:val="22"/>
        </w:rPr>
        <w:t xml:space="preserve"> or diagnosis</w:t>
      </w:r>
      <w:r w:rsidRPr="00341F76">
        <w:rPr>
          <w:rFonts w:ascii="Calibri" w:hAnsi="Calibri" w:cs="Times New Roman"/>
          <w:sz w:val="22"/>
          <w:szCs w:val="22"/>
        </w:rPr>
        <w:t xml:space="preserve">. </w:t>
      </w:r>
    </w:p>
    <w:p w14:paraId="1A1527F7" w14:textId="4D28E1E0" w:rsidR="00A732EB" w:rsidRDefault="00A540B7" w:rsidP="00844E45">
      <w:pPr>
        <w:ind w:firstLine="720"/>
        <w:rPr>
          <w:rFonts w:ascii="Calibri" w:hAnsi="Calibri" w:cs="Times New Roman"/>
          <w:sz w:val="22"/>
          <w:szCs w:val="22"/>
        </w:rPr>
      </w:pPr>
      <w:r w:rsidRPr="00341F76">
        <w:rPr>
          <w:rFonts w:ascii="Calibri" w:hAnsi="Calibri" w:cs="Times New Roman"/>
          <w:sz w:val="22"/>
          <w:szCs w:val="22"/>
        </w:rPr>
        <w:t xml:space="preserve">Besides the patient, relevant stakeholders </w:t>
      </w:r>
      <w:r w:rsidR="007840AC" w:rsidRPr="00341F76">
        <w:rPr>
          <w:rFonts w:ascii="Calibri" w:hAnsi="Calibri" w:cs="Times New Roman"/>
          <w:sz w:val="22"/>
          <w:szCs w:val="22"/>
        </w:rPr>
        <w:t>in</w:t>
      </w:r>
      <w:r w:rsidRPr="00341F76">
        <w:rPr>
          <w:rFonts w:ascii="Calibri" w:hAnsi="Calibri" w:cs="Times New Roman"/>
          <w:sz w:val="22"/>
          <w:szCs w:val="22"/>
        </w:rPr>
        <w:t xml:space="preserve"> outpatient care are the treating physician in the hospital and </w:t>
      </w:r>
      <w:r w:rsidR="007840AC" w:rsidRPr="00341F76">
        <w:rPr>
          <w:rFonts w:ascii="Calibri" w:hAnsi="Calibri" w:cs="Times New Roman"/>
          <w:sz w:val="22"/>
          <w:szCs w:val="22"/>
        </w:rPr>
        <w:t xml:space="preserve">the </w:t>
      </w:r>
      <w:r w:rsidRPr="00341F76">
        <w:rPr>
          <w:rFonts w:ascii="Calibri" w:hAnsi="Calibri" w:cs="Times New Roman"/>
          <w:sz w:val="22"/>
          <w:szCs w:val="22"/>
        </w:rPr>
        <w:t>community pharmacist</w:t>
      </w:r>
      <w:r w:rsidR="00D536A6" w:rsidRPr="00341F76">
        <w:rPr>
          <w:rFonts w:ascii="Calibri" w:hAnsi="Calibri" w:cs="Times New Roman"/>
          <w:sz w:val="22"/>
          <w:szCs w:val="22"/>
        </w:rPr>
        <w:t xml:space="preserve"> because of their treatment relationship with the patient</w:t>
      </w:r>
      <w:r w:rsidRPr="00341F76">
        <w:rPr>
          <w:rFonts w:ascii="Calibri" w:hAnsi="Calibri" w:cs="Times New Roman"/>
          <w:sz w:val="22"/>
          <w:szCs w:val="22"/>
        </w:rPr>
        <w:t>.</w:t>
      </w:r>
      <w:r w:rsidR="00D536A6" w:rsidRPr="00341F76">
        <w:rPr>
          <w:rFonts w:ascii="Calibri" w:hAnsi="Calibri" w:cs="Times New Roman"/>
          <w:sz w:val="22"/>
          <w:szCs w:val="22"/>
        </w:rPr>
        <w:t xml:space="preserve"> Although the hospital pharmacy lacks official treatment relationship according to the Medical Treatment Agreement Act</w:t>
      </w:r>
      <w:r w:rsidR="007840AC" w:rsidRPr="00341F76">
        <w:rPr>
          <w:rFonts w:ascii="Calibri" w:hAnsi="Calibri" w:cs="Times New Roman"/>
          <w:sz w:val="22"/>
          <w:szCs w:val="22"/>
        </w:rPr>
        <w:t xml:space="preserve"> (WGBO)</w:t>
      </w:r>
      <w:r w:rsidR="00D536A6" w:rsidRPr="00341F76">
        <w:rPr>
          <w:rFonts w:ascii="Calibri" w:hAnsi="Calibri" w:cs="Times New Roman"/>
          <w:sz w:val="22"/>
          <w:szCs w:val="22"/>
        </w:rPr>
        <w:t>, hospital pharmacists are available to</w:t>
      </w:r>
      <w:r w:rsidR="00644342">
        <w:rPr>
          <w:rFonts w:ascii="Calibri" w:hAnsi="Calibri" w:cs="Times New Roman"/>
          <w:sz w:val="22"/>
          <w:szCs w:val="22"/>
        </w:rPr>
        <w:t xml:space="preserve"> consult with</w:t>
      </w:r>
      <w:r w:rsidR="00D536A6" w:rsidRPr="00341F76">
        <w:rPr>
          <w:rFonts w:ascii="Calibri" w:hAnsi="Calibri" w:cs="Times New Roman"/>
          <w:sz w:val="22"/>
          <w:szCs w:val="22"/>
        </w:rPr>
        <w:t xml:space="preserve"> in-</w:t>
      </w:r>
      <w:r w:rsidR="00D536A6" w:rsidRPr="00341F76">
        <w:rPr>
          <w:rFonts w:ascii="Calibri" w:hAnsi="Calibri" w:cs="Times New Roman"/>
          <w:sz w:val="22"/>
          <w:szCs w:val="22"/>
        </w:rPr>
        <w:lastRenderedPageBreak/>
        <w:t>house physicians in outpatient clinics. For this reason, we decided to include the hospital pharmacist in our study as a relevant stakeholder. Although GPs have an official treatment relationship with the patients in our study, this applies to the care provided in primary care</w:t>
      </w:r>
      <w:r w:rsidR="00644342">
        <w:rPr>
          <w:rFonts w:ascii="Calibri" w:hAnsi="Calibri" w:cs="Times New Roman"/>
          <w:sz w:val="22"/>
          <w:szCs w:val="22"/>
        </w:rPr>
        <w:t>,</w:t>
      </w:r>
      <w:r w:rsidR="00D536A6" w:rsidRPr="00341F76">
        <w:rPr>
          <w:rFonts w:ascii="Calibri" w:hAnsi="Calibri" w:cs="Times New Roman"/>
          <w:sz w:val="22"/>
          <w:szCs w:val="22"/>
        </w:rPr>
        <w:t xml:space="preserve"> and not </w:t>
      </w:r>
      <w:r w:rsidR="00644342">
        <w:rPr>
          <w:rFonts w:ascii="Calibri" w:hAnsi="Calibri" w:cs="Times New Roman"/>
          <w:sz w:val="22"/>
          <w:szCs w:val="22"/>
        </w:rPr>
        <w:t xml:space="preserve">to </w:t>
      </w:r>
      <w:r w:rsidR="00D536A6" w:rsidRPr="00341F76">
        <w:rPr>
          <w:rFonts w:ascii="Calibri" w:hAnsi="Calibri" w:cs="Times New Roman"/>
          <w:sz w:val="22"/>
          <w:szCs w:val="22"/>
        </w:rPr>
        <w:t>outpatient clinics. For this reason, we decided not to include the GP in our study as a relevant stakeholder.</w:t>
      </w:r>
    </w:p>
    <w:p w14:paraId="598B301F" w14:textId="1033718A" w:rsidR="00AE0A12" w:rsidRPr="00AE0A12" w:rsidRDefault="00AE0A12" w:rsidP="00844E45">
      <w:pPr>
        <w:ind w:firstLine="720"/>
        <w:rPr>
          <w:rFonts w:ascii="Calibri" w:hAnsi="Calibri" w:cs="Times New Roman"/>
          <w:sz w:val="22"/>
          <w:szCs w:val="22"/>
        </w:rPr>
      </w:pPr>
      <w:r>
        <w:rPr>
          <w:rFonts w:ascii="Calibri" w:hAnsi="Calibri" w:cs="Times New Roman"/>
          <w:sz w:val="22"/>
          <w:szCs w:val="22"/>
        </w:rPr>
        <w:t>The printed information</w:t>
      </w:r>
      <w:r w:rsidR="00B53DAF">
        <w:rPr>
          <w:rFonts w:ascii="Calibri" w:hAnsi="Calibri" w:cs="Times New Roman"/>
          <w:sz w:val="22"/>
          <w:szCs w:val="22"/>
        </w:rPr>
        <w:t xml:space="preserve"> and informed consent form</w:t>
      </w:r>
      <w:r w:rsidR="00644342">
        <w:rPr>
          <w:rFonts w:ascii="Calibri" w:hAnsi="Calibri" w:cs="Times New Roman"/>
          <w:sz w:val="22"/>
          <w:szCs w:val="22"/>
        </w:rPr>
        <w:t xml:space="preserve"> that</w:t>
      </w:r>
      <w:r>
        <w:rPr>
          <w:rFonts w:ascii="Calibri" w:hAnsi="Calibri" w:cs="Times New Roman"/>
          <w:sz w:val="22"/>
          <w:szCs w:val="22"/>
        </w:rPr>
        <w:t xml:space="preserve"> eligible patients received</w:t>
      </w:r>
      <w:r w:rsidR="00D56DBC">
        <w:rPr>
          <w:rFonts w:ascii="Calibri" w:hAnsi="Calibri" w:cs="Times New Roman"/>
          <w:sz w:val="22"/>
          <w:szCs w:val="22"/>
        </w:rPr>
        <w:t>, t</w:t>
      </w:r>
      <w:r w:rsidR="00FF1549">
        <w:rPr>
          <w:rFonts w:ascii="Calibri" w:hAnsi="Calibri" w:cs="Times New Roman"/>
          <w:sz w:val="22"/>
          <w:szCs w:val="22"/>
        </w:rPr>
        <w:t>ranscripts of the</w:t>
      </w:r>
      <w:r>
        <w:rPr>
          <w:rFonts w:ascii="Calibri" w:hAnsi="Calibri" w:cs="Times New Roman"/>
          <w:sz w:val="22"/>
          <w:szCs w:val="22"/>
        </w:rPr>
        <w:t xml:space="preserve"> project website</w:t>
      </w:r>
      <w:r w:rsidR="00644342">
        <w:rPr>
          <w:rFonts w:ascii="Calibri" w:hAnsi="Calibri" w:cs="Times New Roman"/>
          <w:sz w:val="22"/>
          <w:szCs w:val="22"/>
        </w:rPr>
        <w:t>,</w:t>
      </w:r>
      <w:r w:rsidR="00804E5E">
        <w:rPr>
          <w:rFonts w:ascii="Calibri" w:hAnsi="Calibri" w:cs="Times New Roman"/>
          <w:sz w:val="22"/>
          <w:szCs w:val="22"/>
        </w:rPr>
        <w:t xml:space="preserve"> and the animated video</w:t>
      </w:r>
      <w:r w:rsidR="006308F8">
        <w:rPr>
          <w:rFonts w:ascii="Calibri" w:hAnsi="Calibri" w:cs="Times New Roman"/>
          <w:sz w:val="22"/>
          <w:szCs w:val="22"/>
        </w:rPr>
        <w:t xml:space="preserve"> </w:t>
      </w:r>
      <w:r w:rsidR="00FF1549">
        <w:rPr>
          <w:rFonts w:ascii="Calibri" w:hAnsi="Calibri" w:cs="Times New Roman"/>
          <w:sz w:val="22"/>
          <w:szCs w:val="22"/>
        </w:rPr>
        <w:t xml:space="preserve">are provided in </w:t>
      </w:r>
      <w:r w:rsidR="00644342">
        <w:rPr>
          <w:rFonts w:ascii="Calibri" w:hAnsi="Calibri" w:cs="Times New Roman"/>
          <w:sz w:val="22"/>
          <w:szCs w:val="22"/>
        </w:rPr>
        <w:t xml:space="preserve">the </w:t>
      </w:r>
      <w:r w:rsidR="00FF1549">
        <w:rPr>
          <w:rFonts w:ascii="Calibri" w:hAnsi="Calibri" w:cs="Times New Roman"/>
          <w:b/>
          <w:sz w:val="22"/>
          <w:szCs w:val="22"/>
        </w:rPr>
        <w:t>Supplementary Material</w:t>
      </w:r>
      <w:r w:rsidR="00D56DBC">
        <w:rPr>
          <w:rFonts w:ascii="Calibri" w:hAnsi="Calibri" w:cs="Times New Roman"/>
          <w:b/>
          <w:sz w:val="22"/>
          <w:szCs w:val="22"/>
        </w:rPr>
        <w:t>s</w:t>
      </w:r>
      <w:r w:rsidR="00997428">
        <w:rPr>
          <w:rFonts w:ascii="Calibri" w:hAnsi="Calibri" w:cs="Times New Roman"/>
          <w:b/>
          <w:sz w:val="22"/>
          <w:szCs w:val="22"/>
        </w:rPr>
        <w:t>.</w:t>
      </w:r>
      <w:r w:rsidR="00644342">
        <w:rPr>
          <w:rFonts w:ascii="Calibri" w:hAnsi="Calibri" w:cs="Times New Roman"/>
          <w:sz w:val="22"/>
          <w:szCs w:val="22"/>
        </w:rPr>
        <w:t xml:space="preserve"> </w:t>
      </w:r>
    </w:p>
    <w:p w14:paraId="1F652AB1" w14:textId="072386A5" w:rsidR="00844E45" w:rsidRPr="00341F76" w:rsidRDefault="00844E45" w:rsidP="00844E45">
      <w:pPr>
        <w:rPr>
          <w:rFonts w:ascii="Calibri" w:hAnsi="Calibri" w:cs="Times New Roman"/>
          <w:sz w:val="22"/>
          <w:szCs w:val="22"/>
        </w:rPr>
      </w:pPr>
    </w:p>
    <w:p w14:paraId="78F12036" w14:textId="2C23B0A8" w:rsidR="00844E45" w:rsidRPr="009912C6" w:rsidRDefault="00844E45" w:rsidP="009912C6">
      <w:pPr>
        <w:pStyle w:val="ListParagraph"/>
        <w:numPr>
          <w:ilvl w:val="0"/>
          <w:numId w:val="1"/>
        </w:numPr>
        <w:rPr>
          <w:rFonts w:ascii="Calibri" w:hAnsi="Calibri" w:cs="Times New Roman"/>
          <w:i/>
          <w:sz w:val="22"/>
          <w:szCs w:val="22"/>
        </w:rPr>
      </w:pPr>
      <w:r w:rsidRPr="009912C6">
        <w:rPr>
          <w:rFonts w:ascii="Calibri" w:hAnsi="Calibri" w:cs="Times New Roman"/>
          <w:i/>
          <w:sz w:val="22"/>
          <w:szCs w:val="22"/>
        </w:rPr>
        <w:t xml:space="preserve">Genotyping and </w:t>
      </w:r>
      <w:r w:rsidR="000A15D7" w:rsidRPr="009912C6">
        <w:rPr>
          <w:rFonts w:ascii="Calibri" w:hAnsi="Calibri" w:cs="Times New Roman"/>
          <w:i/>
          <w:sz w:val="22"/>
          <w:szCs w:val="22"/>
        </w:rPr>
        <w:t>reporting of test results</w:t>
      </w:r>
    </w:p>
    <w:p w14:paraId="4A5E1C99" w14:textId="4AF3F4CB" w:rsidR="00844E45" w:rsidRPr="00341F76" w:rsidRDefault="00844E45" w:rsidP="00844E45">
      <w:pPr>
        <w:rPr>
          <w:rFonts w:ascii="Calibri" w:hAnsi="Calibri" w:cs="Times New Roman"/>
          <w:sz w:val="22"/>
          <w:szCs w:val="22"/>
        </w:rPr>
      </w:pPr>
      <w:r w:rsidRPr="00341F76">
        <w:rPr>
          <w:rFonts w:ascii="Calibri" w:hAnsi="Calibri" w:cs="Times New Roman"/>
          <w:sz w:val="22"/>
          <w:szCs w:val="22"/>
        </w:rPr>
        <w:t xml:space="preserve">DNA was isolated using </w:t>
      </w:r>
      <w:r w:rsidR="001B1461" w:rsidRPr="00341F76">
        <w:rPr>
          <w:rFonts w:ascii="Calibri" w:hAnsi="Calibri" w:cs="Times New Roman"/>
          <w:sz w:val="22"/>
          <w:szCs w:val="22"/>
        </w:rPr>
        <w:t xml:space="preserve">the </w:t>
      </w:r>
      <w:proofErr w:type="spellStart"/>
      <w:r w:rsidR="001B1461" w:rsidRPr="00341F76">
        <w:rPr>
          <w:rFonts w:ascii="Calibri" w:hAnsi="Calibri" w:cs="Times New Roman"/>
          <w:sz w:val="22"/>
          <w:szCs w:val="22"/>
        </w:rPr>
        <w:t>ReliaPrep</w:t>
      </w:r>
      <w:proofErr w:type="spellEnd"/>
      <w:r w:rsidR="001B1461" w:rsidRPr="00341F76">
        <w:rPr>
          <w:rFonts w:ascii="Calibri" w:hAnsi="Calibri" w:cs="Times New Roman"/>
          <w:sz w:val="22"/>
          <w:szCs w:val="22"/>
        </w:rPr>
        <w:t xml:space="preserve">™ Large Volume HT gDNA Isolation System with the Hamilton </w:t>
      </w:r>
      <w:proofErr w:type="spellStart"/>
      <w:r w:rsidR="001B1461" w:rsidRPr="00341F76">
        <w:rPr>
          <w:rFonts w:ascii="Calibri" w:hAnsi="Calibri" w:cs="Times New Roman"/>
          <w:sz w:val="22"/>
          <w:szCs w:val="22"/>
        </w:rPr>
        <w:t>Microlab</w:t>
      </w:r>
      <w:proofErr w:type="spellEnd"/>
      <w:r w:rsidR="001B1461" w:rsidRPr="00341F76">
        <w:rPr>
          <w:rFonts w:ascii="Calibri" w:hAnsi="Calibri" w:cs="Times New Roman"/>
          <w:sz w:val="22"/>
          <w:szCs w:val="22"/>
        </w:rPr>
        <w:t xml:space="preserve"> Star </w:t>
      </w:r>
      <w:r w:rsidR="00BF50EB" w:rsidRPr="00341F76">
        <w:rPr>
          <w:rFonts w:ascii="Calibri" w:hAnsi="Calibri" w:cs="Times New Roman"/>
          <w:sz w:val="22"/>
          <w:szCs w:val="22"/>
        </w:rPr>
        <w:t>P</w:t>
      </w:r>
      <w:r w:rsidR="001B1461" w:rsidRPr="00341F76">
        <w:rPr>
          <w:rFonts w:ascii="Calibri" w:hAnsi="Calibri" w:cs="Times New Roman"/>
          <w:sz w:val="22"/>
          <w:szCs w:val="22"/>
        </w:rPr>
        <w:t>lus instrument and was purified with isopropanol/ethanol if necessary.</w:t>
      </w:r>
      <w:r w:rsidRPr="00341F76">
        <w:rPr>
          <w:rFonts w:ascii="Calibri" w:hAnsi="Calibri" w:cs="Times New Roman"/>
          <w:sz w:val="22"/>
          <w:szCs w:val="22"/>
        </w:rPr>
        <w:t xml:space="preserve"> Single Nucleotide Polymorphism (SNP) genotyping was performed using a custom designed multiplex (</w:t>
      </w:r>
      <w:proofErr w:type="spellStart"/>
      <w:r w:rsidRPr="00341F76">
        <w:rPr>
          <w:rFonts w:ascii="Calibri" w:hAnsi="Calibri" w:cs="Times New Roman"/>
          <w:sz w:val="22"/>
          <w:szCs w:val="22"/>
        </w:rPr>
        <w:t>iPLEX</w:t>
      </w:r>
      <w:proofErr w:type="spellEnd"/>
      <w:r w:rsidRPr="00341F76">
        <w:rPr>
          <w:rFonts w:ascii="Calibri" w:hAnsi="Calibri" w:cs="Times New Roman"/>
          <w:sz w:val="22"/>
          <w:szCs w:val="22"/>
          <w:vertAlign w:val="superscript"/>
        </w:rPr>
        <w:t>®</w:t>
      </w:r>
      <w:r w:rsidRPr="00341F76">
        <w:rPr>
          <w:rFonts w:ascii="Calibri" w:hAnsi="Calibri" w:cs="Times New Roman"/>
          <w:sz w:val="22"/>
          <w:szCs w:val="22"/>
        </w:rPr>
        <w:t xml:space="preserve">) panel on the </w:t>
      </w:r>
      <w:proofErr w:type="spellStart"/>
      <w:r w:rsidRPr="00341F76">
        <w:rPr>
          <w:rFonts w:ascii="Calibri" w:hAnsi="Calibri" w:cs="Times New Roman"/>
          <w:sz w:val="22"/>
          <w:szCs w:val="22"/>
        </w:rPr>
        <w:t>MassARRAY</w:t>
      </w:r>
      <w:proofErr w:type="spellEnd"/>
      <w:r w:rsidRPr="00341F76">
        <w:rPr>
          <w:rFonts w:ascii="Calibri" w:hAnsi="Calibri" w:cs="Times New Roman"/>
          <w:sz w:val="22"/>
          <w:szCs w:val="22"/>
          <w:vertAlign w:val="superscript"/>
        </w:rPr>
        <w:t>®</w:t>
      </w:r>
      <w:r w:rsidRPr="00341F76">
        <w:rPr>
          <w:rFonts w:ascii="Calibri" w:hAnsi="Calibri" w:cs="Times New Roman"/>
          <w:sz w:val="22"/>
          <w:szCs w:val="22"/>
        </w:rPr>
        <w:t xml:space="preserve"> system</w:t>
      </w:r>
      <w:r w:rsidR="00B124B1">
        <w:rPr>
          <w:rFonts w:ascii="Calibri" w:hAnsi="Calibri" w:cs="Times New Roman"/>
          <w:sz w:val="22"/>
          <w:szCs w:val="22"/>
        </w:rPr>
        <w:t xml:space="preserve"> (</w:t>
      </w:r>
      <w:proofErr w:type="spellStart"/>
      <w:r w:rsidR="00B124B1">
        <w:rPr>
          <w:rFonts w:ascii="Calibri" w:hAnsi="Calibri" w:cs="Times New Roman"/>
          <w:sz w:val="22"/>
          <w:szCs w:val="22"/>
        </w:rPr>
        <w:t>Agena</w:t>
      </w:r>
      <w:proofErr w:type="spellEnd"/>
      <w:r w:rsidR="00B124B1">
        <w:rPr>
          <w:rFonts w:ascii="Calibri" w:hAnsi="Calibri" w:cs="Times New Roman"/>
          <w:sz w:val="22"/>
          <w:szCs w:val="22"/>
        </w:rPr>
        <w:t xml:space="preserve"> Bioscience, San Diego, USA)</w:t>
      </w:r>
      <w:r w:rsidRPr="00341F76">
        <w:rPr>
          <w:rFonts w:ascii="Calibri" w:hAnsi="Calibri" w:cs="Times New Roman"/>
          <w:sz w:val="22"/>
          <w:szCs w:val="22"/>
        </w:rPr>
        <w:t xml:space="preserve">. Results were translated into PGx haplotypes and exported using </w:t>
      </w:r>
      <w:proofErr w:type="spellStart"/>
      <w:r w:rsidRPr="00341F76">
        <w:rPr>
          <w:rFonts w:ascii="Calibri" w:hAnsi="Calibri" w:cs="Times New Roman"/>
          <w:sz w:val="22"/>
          <w:szCs w:val="22"/>
        </w:rPr>
        <w:t>PGxReport</w:t>
      </w:r>
      <w:proofErr w:type="spellEnd"/>
      <w:r w:rsidRPr="00341F76">
        <w:rPr>
          <w:rFonts w:ascii="Calibri" w:hAnsi="Calibri" w:cs="Times New Roman"/>
          <w:sz w:val="22"/>
          <w:szCs w:val="22"/>
        </w:rPr>
        <w:t xml:space="preserve"> v2 with a custom translation table following Cytochrome P450 (CYP) allele nomenclature. Copy Number Variant (CNV) genotyping was performed for </w:t>
      </w:r>
      <w:r w:rsidRPr="00341F76">
        <w:rPr>
          <w:rFonts w:ascii="Calibri" w:hAnsi="Calibri" w:cs="Times New Roman"/>
          <w:i/>
          <w:sz w:val="22"/>
          <w:szCs w:val="22"/>
        </w:rPr>
        <w:t xml:space="preserve">CYP2D6 </w:t>
      </w:r>
      <w:r w:rsidRPr="00341F76">
        <w:rPr>
          <w:rFonts w:ascii="Calibri" w:hAnsi="Calibri" w:cs="Times New Roman"/>
          <w:sz w:val="22"/>
          <w:szCs w:val="22"/>
        </w:rPr>
        <w:t>using pre-tested TaqMan</w:t>
      </w:r>
      <w:r w:rsidRPr="00341F76">
        <w:rPr>
          <w:rFonts w:ascii="Calibri" w:hAnsi="Calibri" w:cs="Times New Roman"/>
          <w:sz w:val="22"/>
          <w:szCs w:val="22"/>
          <w:vertAlign w:val="superscript"/>
        </w:rPr>
        <w:t>®</w:t>
      </w:r>
      <w:r w:rsidRPr="00341F76">
        <w:rPr>
          <w:rFonts w:ascii="Calibri" w:hAnsi="Calibri" w:cs="Times New Roman"/>
          <w:sz w:val="22"/>
          <w:szCs w:val="22"/>
        </w:rPr>
        <w:t xml:space="preserve"> Copy Number assays Hs04083572_cn, Hs04502391_cn, and Hs00010001_cn on the qPCR </w:t>
      </w:r>
      <w:proofErr w:type="spellStart"/>
      <w:r w:rsidRPr="00341F76">
        <w:rPr>
          <w:rFonts w:ascii="Calibri" w:hAnsi="Calibri" w:cs="Times New Roman"/>
          <w:sz w:val="22"/>
          <w:szCs w:val="22"/>
        </w:rPr>
        <w:t>QuantStudio</w:t>
      </w:r>
      <w:proofErr w:type="spellEnd"/>
      <w:r w:rsidRPr="00341F76">
        <w:rPr>
          <w:rFonts w:ascii="Calibri" w:hAnsi="Calibri" w:cs="Times New Roman"/>
          <w:sz w:val="22"/>
          <w:szCs w:val="22"/>
        </w:rPr>
        <w:t xml:space="preserve">™ 7 Flex Instrument with </w:t>
      </w:r>
      <w:proofErr w:type="spellStart"/>
      <w:r w:rsidRPr="00341F76">
        <w:rPr>
          <w:rFonts w:ascii="Calibri" w:hAnsi="Calibri" w:cs="Times New Roman"/>
          <w:sz w:val="22"/>
          <w:szCs w:val="22"/>
        </w:rPr>
        <w:t>QuantStudio</w:t>
      </w:r>
      <w:proofErr w:type="spellEnd"/>
      <w:r w:rsidRPr="00341F76">
        <w:rPr>
          <w:rFonts w:ascii="Calibri" w:hAnsi="Calibri" w:cs="Times New Roman"/>
          <w:sz w:val="22"/>
          <w:szCs w:val="22"/>
        </w:rPr>
        <w:t xml:space="preserve">™ software </w:t>
      </w:r>
      <w:r w:rsidRPr="00341F76">
        <w:rPr>
          <w:rFonts w:ascii="Calibri" w:hAnsi="Calibri" w:cs="Times New Roman"/>
          <w:sz w:val="22"/>
          <w:szCs w:val="22"/>
          <w:lang w:val="en-GB"/>
        </w:rPr>
        <w:t>v1.2</w:t>
      </w:r>
      <w:r w:rsidRPr="00341F76">
        <w:rPr>
          <w:rFonts w:ascii="Calibri" w:hAnsi="Calibri" w:cs="Times New Roman"/>
          <w:sz w:val="22"/>
          <w:szCs w:val="22"/>
        </w:rPr>
        <w:t xml:space="preserve">. Relative quantification of </w:t>
      </w:r>
      <w:r w:rsidRPr="00341F76">
        <w:rPr>
          <w:rFonts w:ascii="Calibri" w:hAnsi="Calibri" w:cs="Times New Roman"/>
          <w:i/>
          <w:sz w:val="22"/>
          <w:szCs w:val="22"/>
        </w:rPr>
        <w:t>CYP2D6</w:t>
      </w:r>
      <w:r w:rsidRPr="00341F76">
        <w:rPr>
          <w:rFonts w:ascii="Calibri" w:hAnsi="Calibri" w:cs="Times New Roman"/>
          <w:sz w:val="22"/>
          <w:szCs w:val="22"/>
        </w:rPr>
        <w:t xml:space="preserve"> gene copy number was performed following the comparative C</w:t>
      </w:r>
      <w:r w:rsidRPr="00341F76">
        <w:rPr>
          <w:rFonts w:ascii="Calibri" w:hAnsi="Calibri" w:cs="Times New Roman"/>
          <w:sz w:val="22"/>
          <w:szCs w:val="22"/>
          <w:vertAlign w:val="subscript"/>
        </w:rPr>
        <w:t>T</w:t>
      </w:r>
      <w:r w:rsidRPr="00341F76">
        <w:rPr>
          <w:rFonts w:ascii="Calibri" w:hAnsi="Calibri" w:cs="Times New Roman"/>
          <w:sz w:val="22"/>
          <w:szCs w:val="22"/>
        </w:rPr>
        <w:t xml:space="preserve"> (ΔΔC</w:t>
      </w:r>
      <w:r w:rsidRPr="00341F76">
        <w:rPr>
          <w:rFonts w:ascii="Calibri" w:hAnsi="Calibri" w:cs="Times New Roman"/>
          <w:sz w:val="22"/>
          <w:szCs w:val="22"/>
          <w:vertAlign w:val="subscript"/>
        </w:rPr>
        <w:t>T</w:t>
      </w:r>
      <w:r w:rsidRPr="00341F76">
        <w:rPr>
          <w:rFonts w:ascii="Calibri" w:hAnsi="Calibri" w:cs="Times New Roman"/>
          <w:sz w:val="22"/>
          <w:szCs w:val="22"/>
        </w:rPr>
        <w:t xml:space="preserve">) method using </w:t>
      </w:r>
      <w:proofErr w:type="spellStart"/>
      <w:r w:rsidRPr="00341F76">
        <w:rPr>
          <w:rFonts w:ascii="Calibri" w:hAnsi="Calibri" w:cs="Times New Roman"/>
          <w:sz w:val="22"/>
          <w:szCs w:val="22"/>
        </w:rPr>
        <w:t>CopyCaller</w:t>
      </w:r>
      <w:proofErr w:type="spellEnd"/>
      <w:r w:rsidRPr="00341F76">
        <w:rPr>
          <w:rFonts w:ascii="Calibri" w:hAnsi="Calibri" w:cs="Times New Roman"/>
          <w:sz w:val="22"/>
          <w:szCs w:val="22"/>
        </w:rPr>
        <w:t xml:space="preserve"> v2.1. Variable Number Tandem Repeat (VNTR) genotyping for </w:t>
      </w:r>
      <w:r w:rsidRPr="00341F76">
        <w:rPr>
          <w:rFonts w:ascii="Calibri" w:hAnsi="Calibri" w:cs="Times New Roman"/>
          <w:i/>
          <w:sz w:val="22"/>
          <w:szCs w:val="22"/>
        </w:rPr>
        <w:t xml:space="preserve">UGT1A1 </w:t>
      </w:r>
      <w:r w:rsidRPr="00341F76">
        <w:rPr>
          <w:rFonts w:ascii="Calibri" w:hAnsi="Calibri" w:cs="Times New Roman"/>
          <w:sz w:val="22"/>
          <w:szCs w:val="22"/>
        </w:rPr>
        <w:t>was performed using fragment length analysis with the Applied Biosystems Instrument 3730xl Genetic Analyzer.</w:t>
      </w:r>
    </w:p>
    <w:p w14:paraId="06987881" w14:textId="2253A30A" w:rsidR="00844E45" w:rsidRPr="00341F76" w:rsidRDefault="00844E45" w:rsidP="00844E45">
      <w:pPr>
        <w:rPr>
          <w:rFonts w:ascii="Calibri" w:hAnsi="Calibri" w:cs="Times New Roman"/>
          <w:sz w:val="22"/>
          <w:szCs w:val="22"/>
        </w:rPr>
      </w:pPr>
    </w:p>
    <w:p w14:paraId="0AED37C8" w14:textId="57008FB2" w:rsidR="00844E45" w:rsidRPr="00341F76" w:rsidRDefault="00844E45" w:rsidP="00997428">
      <w:pPr>
        <w:ind w:firstLine="720"/>
        <w:rPr>
          <w:rFonts w:ascii="Calibri" w:hAnsi="Calibri" w:cs="Times New Roman"/>
          <w:sz w:val="22"/>
          <w:szCs w:val="22"/>
        </w:rPr>
      </w:pPr>
      <w:r w:rsidRPr="00341F76">
        <w:rPr>
          <w:rFonts w:ascii="Calibri" w:hAnsi="Calibri" w:cs="Times New Roman"/>
          <w:sz w:val="22"/>
          <w:szCs w:val="22"/>
        </w:rPr>
        <w:t>SNP, CNV and VNTR genotyping results were integrated using a custom translation tool and registered in GLIMS</w:t>
      </w:r>
      <w:r w:rsidR="004B618D">
        <w:rPr>
          <w:rFonts w:ascii="Calibri" w:hAnsi="Calibri" w:cs="Times New Roman"/>
          <w:sz w:val="22"/>
          <w:szCs w:val="22"/>
        </w:rPr>
        <w:t xml:space="preserve"> (</w:t>
      </w:r>
      <w:proofErr w:type="spellStart"/>
      <w:r w:rsidR="004B618D">
        <w:rPr>
          <w:rFonts w:ascii="Calibri" w:hAnsi="Calibri" w:cs="Times New Roman"/>
          <w:sz w:val="22"/>
          <w:szCs w:val="22"/>
        </w:rPr>
        <w:t>CliniSys</w:t>
      </w:r>
      <w:proofErr w:type="spellEnd"/>
      <w:r w:rsidR="004B618D">
        <w:rPr>
          <w:rFonts w:ascii="Calibri" w:hAnsi="Calibri" w:cs="Times New Roman"/>
          <w:sz w:val="22"/>
          <w:szCs w:val="22"/>
        </w:rPr>
        <w:t xml:space="preserve">, </w:t>
      </w:r>
      <w:r w:rsidR="004B618D" w:rsidRPr="004B618D">
        <w:rPr>
          <w:rFonts w:ascii="Calibri" w:hAnsi="Calibri" w:cs="Times New Roman"/>
          <w:sz w:val="22"/>
          <w:szCs w:val="22"/>
        </w:rPr>
        <w:t>Chertsey</w:t>
      </w:r>
      <w:r w:rsidR="004B618D">
        <w:rPr>
          <w:rFonts w:ascii="Calibri" w:hAnsi="Calibri" w:cs="Times New Roman"/>
          <w:sz w:val="22"/>
          <w:szCs w:val="22"/>
        </w:rPr>
        <w:t>, U.K.)</w:t>
      </w:r>
      <w:r w:rsidRPr="00341F76">
        <w:rPr>
          <w:rFonts w:ascii="Calibri" w:hAnsi="Calibri" w:cs="Times New Roman"/>
          <w:sz w:val="22"/>
          <w:szCs w:val="22"/>
        </w:rPr>
        <w:t xml:space="preserve">, the hospital’s laboratory information system. Subsequently, the PGx haplotypes were uploaded into the custom Clinical Decision Support software </w:t>
      </w:r>
      <w:proofErr w:type="spellStart"/>
      <w:r w:rsidRPr="00341F76">
        <w:rPr>
          <w:rFonts w:ascii="Calibri" w:hAnsi="Calibri" w:cs="Times New Roman"/>
          <w:sz w:val="22"/>
          <w:szCs w:val="22"/>
        </w:rPr>
        <w:t>PGxConsultor</w:t>
      </w:r>
      <w:proofErr w:type="spellEnd"/>
      <w:r w:rsidRPr="00341F76">
        <w:rPr>
          <w:rFonts w:ascii="Calibri" w:hAnsi="Calibri" w:cs="Times New Roman"/>
          <w:sz w:val="22"/>
          <w:szCs w:val="22"/>
        </w:rPr>
        <w:t xml:space="preserve"> which translated the haplotypes into predicted phenotypes based on translation tables following DPWG guideline background information. Both PGx haplotypes and predicted phenotypes were stored in the </w:t>
      </w:r>
      <w:proofErr w:type="spellStart"/>
      <w:r w:rsidRPr="00341F76">
        <w:rPr>
          <w:rFonts w:ascii="Calibri" w:hAnsi="Calibri" w:cs="Times New Roman"/>
          <w:sz w:val="22"/>
          <w:szCs w:val="22"/>
        </w:rPr>
        <w:t>PGxConsultor</w:t>
      </w:r>
      <w:proofErr w:type="spellEnd"/>
      <w:r w:rsidRPr="00341F76">
        <w:rPr>
          <w:rFonts w:ascii="Calibri" w:hAnsi="Calibri" w:cs="Times New Roman"/>
          <w:sz w:val="22"/>
          <w:szCs w:val="22"/>
        </w:rPr>
        <w:t xml:space="preserve"> database for use.</w:t>
      </w:r>
    </w:p>
    <w:p w14:paraId="3A5DC17E" w14:textId="39D4DDDC" w:rsidR="000A15D7" w:rsidRPr="00341F76" w:rsidRDefault="000A15D7" w:rsidP="00844E45">
      <w:pPr>
        <w:rPr>
          <w:rFonts w:ascii="Calibri" w:hAnsi="Calibri" w:cs="Times New Roman"/>
          <w:sz w:val="22"/>
          <w:szCs w:val="22"/>
        </w:rPr>
      </w:pPr>
    </w:p>
    <w:p w14:paraId="365007A8" w14:textId="16746543" w:rsidR="000A15D7" w:rsidRPr="00341F76" w:rsidRDefault="000A15D7" w:rsidP="000A15D7">
      <w:pPr>
        <w:ind w:firstLine="720"/>
        <w:rPr>
          <w:rFonts w:ascii="Calibri" w:hAnsi="Calibri" w:cs="Times New Roman"/>
          <w:sz w:val="22"/>
          <w:szCs w:val="22"/>
        </w:rPr>
      </w:pPr>
      <w:r w:rsidRPr="00341F76">
        <w:rPr>
          <w:rFonts w:ascii="Calibri" w:hAnsi="Calibri" w:cs="Times New Roman"/>
          <w:sz w:val="22"/>
          <w:szCs w:val="22"/>
        </w:rPr>
        <w:t>Patients received a letter explaining the PGx screening results in lay man’s terms. The result letter included explanation about the test performed, which drugs are (not) affected by the screening results, with whom the results are shared and where they are stored. PGx screening results were not reported to the patient on the level of the gene (i.e. PGx haplotype and predicted phenotype), but on the level of the drugs affected. We did include the actual results as an attachment so patients could share their results with other healthcare practitioners. This attachment meant for healthcare practitioners also included background information about the origin of the results, theoretical background and reference to the DPWG guidelines. A copy of the letter was made available in the electronic health record (EHR) for UMCG healthcare practitioners to use and send to their community pharmacist and GP. As a service to the participating physicians, they received an email when the result letter of their patient</w:t>
      </w:r>
      <w:r w:rsidR="007F511B" w:rsidRPr="00341F76">
        <w:rPr>
          <w:rFonts w:ascii="Calibri" w:hAnsi="Calibri" w:cs="Times New Roman"/>
          <w:sz w:val="22"/>
          <w:szCs w:val="22"/>
        </w:rPr>
        <w:t>(s)</w:t>
      </w:r>
      <w:r w:rsidRPr="00341F76">
        <w:rPr>
          <w:rFonts w:ascii="Calibri" w:hAnsi="Calibri" w:cs="Times New Roman"/>
          <w:sz w:val="22"/>
          <w:szCs w:val="22"/>
        </w:rPr>
        <w:t xml:space="preserve"> became available in the EHR.</w:t>
      </w:r>
    </w:p>
    <w:p w14:paraId="10D2940C" w14:textId="6BCD4A96" w:rsidR="00844E45" w:rsidRPr="00341F76" w:rsidRDefault="00844E45" w:rsidP="00844E45">
      <w:pPr>
        <w:rPr>
          <w:rFonts w:ascii="Calibri" w:hAnsi="Calibri" w:cs="Times New Roman"/>
          <w:sz w:val="22"/>
          <w:szCs w:val="22"/>
        </w:rPr>
      </w:pPr>
    </w:p>
    <w:p w14:paraId="0DB1A5EE" w14:textId="5E172DE8" w:rsidR="004E3C3E" w:rsidRPr="004E3C3E" w:rsidRDefault="003B5EE3" w:rsidP="004E3C3E">
      <w:pPr>
        <w:pStyle w:val="ListParagraph"/>
        <w:numPr>
          <w:ilvl w:val="0"/>
          <w:numId w:val="1"/>
        </w:numPr>
        <w:rPr>
          <w:rFonts w:ascii="Calibri" w:hAnsi="Calibri" w:cs="Times New Roman"/>
          <w:i/>
          <w:sz w:val="22"/>
          <w:szCs w:val="22"/>
        </w:rPr>
      </w:pPr>
      <w:r w:rsidRPr="004E3C3E">
        <w:rPr>
          <w:rFonts w:ascii="Calibri" w:hAnsi="Calibri" w:cs="Times New Roman"/>
          <w:i/>
          <w:sz w:val="22"/>
          <w:szCs w:val="22"/>
        </w:rPr>
        <w:t xml:space="preserve">Clinical Decision Support system </w:t>
      </w:r>
    </w:p>
    <w:p w14:paraId="3C40674F" w14:textId="20977F65" w:rsidR="007F511B" w:rsidRPr="00341F76" w:rsidRDefault="00844E45" w:rsidP="009A0756">
      <w:pPr>
        <w:rPr>
          <w:rFonts w:ascii="Calibri" w:hAnsi="Calibri" w:cs="Times New Roman"/>
          <w:sz w:val="22"/>
          <w:szCs w:val="22"/>
        </w:rPr>
      </w:pPr>
      <w:proofErr w:type="spellStart"/>
      <w:r w:rsidRPr="00341F76">
        <w:rPr>
          <w:rFonts w:ascii="Calibri" w:hAnsi="Calibri" w:cs="Times New Roman"/>
          <w:sz w:val="22"/>
          <w:szCs w:val="22"/>
        </w:rPr>
        <w:t>PGxConsultor</w:t>
      </w:r>
      <w:proofErr w:type="spellEnd"/>
      <w:r w:rsidRPr="00341F76">
        <w:rPr>
          <w:rFonts w:ascii="Calibri" w:hAnsi="Calibri" w:cs="Times New Roman"/>
          <w:sz w:val="22"/>
          <w:szCs w:val="22"/>
        </w:rPr>
        <w:t xml:space="preserve"> </w:t>
      </w:r>
      <w:r w:rsidR="001577EF">
        <w:rPr>
          <w:rFonts w:ascii="Calibri" w:hAnsi="Calibri" w:cs="Times New Roman"/>
          <w:sz w:val="22"/>
          <w:szCs w:val="22"/>
        </w:rPr>
        <w:t>(</w:t>
      </w:r>
      <w:proofErr w:type="spellStart"/>
      <w:r w:rsidR="001577EF">
        <w:rPr>
          <w:rFonts w:ascii="Calibri" w:hAnsi="Calibri" w:cs="Times New Roman"/>
          <w:sz w:val="22"/>
          <w:szCs w:val="22"/>
        </w:rPr>
        <w:t>Mede</w:t>
      </w:r>
      <w:r w:rsidR="00CF326D">
        <w:rPr>
          <w:rFonts w:ascii="Calibri" w:hAnsi="Calibri" w:cs="Times New Roman"/>
          <w:sz w:val="22"/>
          <w:szCs w:val="22"/>
        </w:rPr>
        <w:t>c</w:t>
      </w:r>
      <w:r w:rsidR="001577EF">
        <w:rPr>
          <w:rFonts w:ascii="Calibri" w:hAnsi="Calibri" w:cs="Times New Roman"/>
          <w:sz w:val="22"/>
          <w:szCs w:val="22"/>
        </w:rPr>
        <w:t>s</w:t>
      </w:r>
      <w:proofErr w:type="spellEnd"/>
      <w:r w:rsidR="001577EF">
        <w:rPr>
          <w:rFonts w:ascii="Calibri" w:hAnsi="Calibri" w:cs="Times New Roman"/>
          <w:sz w:val="22"/>
          <w:szCs w:val="22"/>
        </w:rPr>
        <w:t xml:space="preserve"> BV, Eindhoven, the Netherlands) </w:t>
      </w:r>
      <w:r w:rsidRPr="00341F76">
        <w:rPr>
          <w:rFonts w:ascii="Calibri" w:hAnsi="Calibri" w:cs="Times New Roman"/>
          <w:sz w:val="22"/>
          <w:szCs w:val="22"/>
        </w:rPr>
        <w:t xml:space="preserve">was developed as a stand-alone </w:t>
      </w:r>
      <w:r w:rsidR="00644342">
        <w:rPr>
          <w:rFonts w:ascii="Calibri" w:hAnsi="Calibri" w:cs="Times New Roman"/>
          <w:sz w:val="22"/>
          <w:szCs w:val="22"/>
        </w:rPr>
        <w:t>CDS</w:t>
      </w:r>
      <w:r w:rsidR="000A15D7" w:rsidRPr="00341F76">
        <w:rPr>
          <w:rFonts w:ascii="Calibri" w:hAnsi="Calibri" w:cs="Times New Roman"/>
          <w:sz w:val="22"/>
          <w:szCs w:val="22"/>
        </w:rPr>
        <w:t xml:space="preserve"> </w:t>
      </w:r>
      <w:r w:rsidRPr="00341F76">
        <w:rPr>
          <w:rFonts w:ascii="Calibri" w:hAnsi="Calibri" w:cs="Times New Roman"/>
          <w:sz w:val="22"/>
          <w:szCs w:val="22"/>
        </w:rPr>
        <w:t>system to provide prescribers with relevant</w:t>
      </w:r>
      <w:r w:rsidR="00F80E93" w:rsidRPr="00F80E93">
        <w:rPr>
          <w:rFonts w:ascii="Times New Roman" w:eastAsia="Calibri" w:hAnsi="Times New Roman" w:cs="Arial"/>
          <w:iCs/>
        </w:rPr>
        <w:t xml:space="preserve"> </w:t>
      </w:r>
      <w:r w:rsidR="00F80E93" w:rsidRPr="00F80E93">
        <w:rPr>
          <w:rFonts w:ascii="Calibri" w:hAnsi="Calibri" w:cs="Times New Roman"/>
          <w:iCs/>
          <w:sz w:val="22"/>
          <w:szCs w:val="22"/>
        </w:rPr>
        <w:t>Dutch Pharmacogenetics Working Group</w:t>
      </w:r>
      <w:r w:rsidRPr="00341F76">
        <w:rPr>
          <w:rFonts w:ascii="Calibri" w:hAnsi="Calibri" w:cs="Times New Roman"/>
          <w:sz w:val="22"/>
          <w:szCs w:val="22"/>
        </w:rPr>
        <w:t xml:space="preserve"> </w:t>
      </w:r>
      <w:r w:rsidR="00F80E93">
        <w:rPr>
          <w:rFonts w:ascii="Calibri" w:hAnsi="Calibri" w:cs="Times New Roman"/>
          <w:sz w:val="22"/>
          <w:szCs w:val="22"/>
        </w:rPr>
        <w:t>(</w:t>
      </w:r>
      <w:r w:rsidRPr="00F80E93">
        <w:rPr>
          <w:rFonts w:ascii="Calibri" w:hAnsi="Calibri" w:cs="Times New Roman"/>
          <w:sz w:val="22"/>
          <w:szCs w:val="22"/>
        </w:rPr>
        <w:t>DPWG</w:t>
      </w:r>
      <w:r w:rsidR="00F80E93">
        <w:rPr>
          <w:rFonts w:ascii="Calibri" w:hAnsi="Calibri" w:cs="Times New Roman"/>
          <w:sz w:val="22"/>
          <w:szCs w:val="22"/>
        </w:rPr>
        <w:t>)</w:t>
      </w:r>
      <w:r w:rsidRPr="00341F76">
        <w:rPr>
          <w:rFonts w:ascii="Calibri" w:hAnsi="Calibri" w:cs="Times New Roman"/>
          <w:sz w:val="22"/>
          <w:szCs w:val="22"/>
        </w:rPr>
        <w:t xml:space="preserve"> guideline recommendations for their patient, and uses the G-standard, the Dutch drug database which is used by all parties in healthcare in the Netherlands. The G-standard contains all products that are dispensed by or used in the pharmacy, as well as protocols for medication prescription including DPWG guidelines. The content of the G-standard is maintained and updated on a monthly basis by Z-index. </w:t>
      </w:r>
      <w:proofErr w:type="spellStart"/>
      <w:r w:rsidRPr="00341F76">
        <w:rPr>
          <w:rFonts w:ascii="Calibri" w:hAnsi="Calibri" w:cs="Times New Roman"/>
          <w:sz w:val="22"/>
          <w:szCs w:val="22"/>
        </w:rPr>
        <w:t>PGxConsultor</w:t>
      </w:r>
      <w:proofErr w:type="spellEnd"/>
      <w:r w:rsidRPr="00341F76">
        <w:rPr>
          <w:rFonts w:ascii="Calibri" w:hAnsi="Calibri" w:cs="Times New Roman"/>
          <w:sz w:val="22"/>
          <w:szCs w:val="22"/>
        </w:rPr>
        <w:t xml:space="preserve"> automatically updates to the latest version of the G-standard. </w:t>
      </w:r>
    </w:p>
    <w:p w14:paraId="4D3D7830" w14:textId="77777777" w:rsidR="007F511B" w:rsidRPr="00341F76" w:rsidRDefault="007F511B" w:rsidP="007F511B">
      <w:pPr>
        <w:rPr>
          <w:rFonts w:ascii="Calibri" w:hAnsi="Calibri" w:cs="Times New Roman"/>
          <w:sz w:val="22"/>
          <w:szCs w:val="22"/>
        </w:rPr>
      </w:pPr>
    </w:p>
    <w:p w14:paraId="7BAEE1C9" w14:textId="0E8D0851" w:rsidR="000A15D7" w:rsidRPr="00341F76" w:rsidRDefault="00844E45" w:rsidP="007F511B">
      <w:pPr>
        <w:rPr>
          <w:rFonts w:ascii="Calibri" w:hAnsi="Calibri" w:cs="Times New Roman"/>
          <w:sz w:val="22"/>
          <w:szCs w:val="22"/>
        </w:rPr>
      </w:pPr>
      <w:r w:rsidRPr="00341F76">
        <w:rPr>
          <w:rFonts w:ascii="Calibri" w:hAnsi="Calibri" w:cs="Times New Roman"/>
          <w:sz w:val="22"/>
          <w:szCs w:val="22"/>
        </w:rPr>
        <w:lastRenderedPageBreak/>
        <w:t>The user interface (UI) contains two input fields, one for the patient identifier and one for the drug of interest. For every search</w:t>
      </w:r>
      <w:r w:rsidR="00644342">
        <w:rPr>
          <w:rFonts w:ascii="Calibri" w:hAnsi="Calibri" w:cs="Times New Roman"/>
          <w:sz w:val="22"/>
          <w:szCs w:val="22"/>
        </w:rPr>
        <w:t>,</w:t>
      </w:r>
      <w:r w:rsidRPr="00341F76">
        <w:rPr>
          <w:rFonts w:ascii="Calibri" w:hAnsi="Calibri" w:cs="Times New Roman"/>
          <w:sz w:val="22"/>
          <w:szCs w:val="22"/>
        </w:rPr>
        <w:t xml:space="preserve"> the internal database with PGx haplotypes and predicted phenotypes of the patient of interest are compared with the G-standard. Whenever a DPWG guideline recommendation is found</w:t>
      </w:r>
      <w:r w:rsidR="00644342">
        <w:rPr>
          <w:rFonts w:ascii="Calibri" w:hAnsi="Calibri" w:cs="Times New Roman"/>
          <w:sz w:val="22"/>
          <w:szCs w:val="22"/>
        </w:rPr>
        <w:t>,</w:t>
      </w:r>
      <w:r w:rsidRPr="00341F76">
        <w:rPr>
          <w:rFonts w:ascii="Calibri" w:hAnsi="Calibri" w:cs="Times New Roman"/>
          <w:sz w:val="22"/>
          <w:szCs w:val="22"/>
        </w:rPr>
        <w:t xml:space="preserve"> this is displayed in the UI. In case of normal metabolizers</w:t>
      </w:r>
      <w:r w:rsidR="00644342">
        <w:rPr>
          <w:rFonts w:ascii="Calibri" w:hAnsi="Calibri" w:cs="Times New Roman"/>
          <w:sz w:val="22"/>
          <w:szCs w:val="22"/>
        </w:rPr>
        <w:t>,</w:t>
      </w:r>
      <w:r w:rsidRPr="00341F76">
        <w:rPr>
          <w:rFonts w:ascii="Calibri" w:hAnsi="Calibri" w:cs="Times New Roman"/>
          <w:sz w:val="22"/>
          <w:szCs w:val="22"/>
        </w:rPr>
        <w:t xml:space="preserve"> recommendation texts are absent and a default message is shown. This is also the case when the genotyping result </w:t>
      </w:r>
      <w:r w:rsidR="007F511B" w:rsidRPr="00341F76">
        <w:rPr>
          <w:rFonts w:ascii="Calibri" w:hAnsi="Calibri" w:cs="Times New Roman"/>
          <w:sz w:val="22"/>
          <w:szCs w:val="22"/>
        </w:rPr>
        <w:t>wa</w:t>
      </w:r>
      <w:r w:rsidRPr="00341F76">
        <w:rPr>
          <w:rFonts w:ascii="Calibri" w:hAnsi="Calibri" w:cs="Times New Roman"/>
          <w:sz w:val="22"/>
          <w:szCs w:val="22"/>
        </w:rPr>
        <w:t xml:space="preserve">s inconclusive. Together with the recommendation or default message, an optional message specific to our </w:t>
      </w:r>
      <w:r w:rsidR="007F511B" w:rsidRPr="00341F76">
        <w:rPr>
          <w:rFonts w:ascii="Calibri" w:hAnsi="Calibri" w:cs="Times New Roman"/>
          <w:sz w:val="22"/>
          <w:szCs w:val="22"/>
        </w:rPr>
        <w:t>hospital</w:t>
      </w:r>
      <w:r w:rsidRPr="00341F76">
        <w:rPr>
          <w:rFonts w:ascii="Calibri" w:hAnsi="Calibri" w:cs="Times New Roman"/>
          <w:sz w:val="22"/>
          <w:szCs w:val="22"/>
        </w:rPr>
        <w:t xml:space="preserve"> is shown, for example information how to request laboratory tests if the recommendation includes</w:t>
      </w:r>
      <w:r w:rsidR="00644342">
        <w:rPr>
          <w:rFonts w:ascii="Calibri" w:hAnsi="Calibri" w:cs="Times New Roman"/>
          <w:sz w:val="22"/>
          <w:szCs w:val="22"/>
        </w:rPr>
        <w:t xml:space="preserve"> that</w:t>
      </w:r>
      <w:r w:rsidRPr="00341F76">
        <w:rPr>
          <w:rFonts w:ascii="Calibri" w:hAnsi="Calibri" w:cs="Times New Roman"/>
          <w:sz w:val="22"/>
          <w:szCs w:val="22"/>
        </w:rPr>
        <w:t xml:space="preserve"> blood levels to be monitored. Finally, prescribers are asked to provide feedback on how they handled the information provided, for example whether they (partly) adhered to the recommendation. Every search </w:t>
      </w:r>
      <w:r w:rsidR="000A15D7" w:rsidRPr="00341F76">
        <w:rPr>
          <w:rFonts w:ascii="Calibri" w:hAnsi="Calibri" w:cs="Times New Roman"/>
          <w:sz w:val="22"/>
          <w:szCs w:val="22"/>
        </w:rPr>
        <w:t xml:space="preserve">was automatically registered </w:t>
      </w:r>
      <w:r w:rsidRPr="00341F76">
        <w:rPr>
          <w:rFonts w:ascii="Calibri" w:hAnsi="Calibri" w:cs="Times New Roman"/>
          <w:sz w:val="22"/>
          <w:szCs w:val="22"/>
        </w:rPr>
        <w:t xml:space="preserve">in the </w:t>
      </w:r>
      <w:r w:rsidR="003B5EE3">
        <w:rPr>
          <w:rFonts w:ascii="Calibri" w:hAnsi="Calibri" w:cs="Times New Roman"/>
          <w:sz w:val="22"/>
          <w:szCs w:val="22"/>
        </w:rPr>
        <w:t>study</w:t>
      </w:r>
      <w:r w:rsidR="00447F2F">
        <w:rPr>
          <w:rFonts w:ascii="Calibri" w:hAnsi="Calibri" w:cs="Times New Roman"/>
          <w:sz w:val="22"/>
          <w:szCs w:val="22"/>
        </w:rPr>
        <w:t xml:space="preserve"> </w:t>
      </w:r>
      <w:r w:rsidRPr="00341F76">
        <w:rPr>
          <w:rFonts w:ascii="Calibri" w:hAnsi="Calibri" w:cs="Times New Roman"/>
          <w:sz w:val="22"/>
          <w:szCs w:val="22"/>
        </w:rPr>
        <w:t xml:space="preserve">database for evaluation.  </w:t>
      </w:r>
    </w:p>
    <w:p w14:paraId="650BB5C2" w14:textId="0D48CE5D" w:rsidR="007840AC" w:rsidRPr="00341F76" w:rsidRDefault="007840AC">
      <w:pPr>
        <w:rPr>
          <w:rFonts w:ascii="Calibri" w:hAnsi="Calibri" w:cs="Times New Roman"/>
          <w:sz w:val="22"/>
          <w:szCs w:val="22"/>
        </w:rPr>
      </w:pPr>
    </w:p>
    <w:p w14:paraId="3D217511" w14:textId="5C162794" w:rsidR="007840AC" w:rsidRPr="009912C6" w:rsidRDefault="007840AC" w:rsidP="004E3C3E">
      <w:pPr>
        <w:pStyle w:val="ListParagraph"/>
        <w:numPr>
          <w:ilvl w:val="0"/>
          <w:numId w:val="1"/>
        </w:numPr>
        <w:rPr>
          <w:rFonts w:ascii="Calibri" w:hAnsi="Calibri" w:cs="Times New Roman"/>
          <w:i/>
          <w:sz w:val="22"/>
          <w:szCs w:val="22"/>
        </w:rPr>
      </w:pPr>
      <w:r w:rsidRPr="009912C6">
        <w:rPr>
          <w:rFonts w:ascii="Calibri" w:hAnsi="Calibri" w:cs="Times New Roman"/>
          <w:i/>
          <w:sz w:val="22"/>
          <w:szCs w:val="22"/>
        </w:rPr>
        <w:t>Data collection</w:t>
      </w:r>
    </w:p>
    <w:p w14:paraId="3068F3DC" w14:textId="7249ED2C" w:rsidR="007840AC" w:rsidRPr="00341F76" w:rsidRDefault="007840AC" w:rsidP="009A0756">
      <w:pPr>
        <w:rPr>
          <w:rFonts w:ascii="Calibri" w:hAnsi="Calibri" w:cs="Times New Roman"/>
          <w:sz w:val="22"/>
          <w:szCs w:val="22"/>
        </w:rPr>
      </w:pPr>
      <w:r w:rsidRPr="00341F76">
        <w:rPr>
          <w:rFonts w:ascii="Calibri" w:hAnsi="Calibri" w:cs="Times New Roman"/>
          <w:sz w:val="22"/>
          <w:szCs w:val="22"/>
        </w:rPr>
        <w:t xml:space="preserve">Drug use during follow-up was extracted from the EHRs. Physicians use the EHR to </w:t>
      </w:r>
      <w:r w:rsidR="00B1277C" w:rsidRPr="00341F76">
        <w:rPr>
          <w:rFonts w:ascii="Calibri" w:hAnsi="Calibri" w:cs="Times New Roman"/>
          <w:sz w:val="22"/>
          <w:szCs w:val="22"/>
        </w:rPr>
        <w:t>prescribe drugs</w:t>
      </w:r>
      <w:r w:rsidR="00506F8E" w:rsidRPr="00341F76">
        <w:rPr>
          <w:rFonts w:ascii="Calibri" w:hAnsi="Calibri" w:cs="Times New Roman"/>
          <w:sz w:val="22"/>
          <w:szCs w:val="22"/>
        </w:rPr>
        <w:t xml:space="preserve"> and are also able to record other drugs used at that time, for example drugs prescribed by the GP. </w:t>
      </w:r>
      <w:r w:rsidR="00150D48" w:rsidRPr="00341F76">
        <w:rPr>
          <w:rFonts w:ascii="Calibri" w:hAnsi="Calibri" w:cs="Times New Roman"/>
          <w:sz w:val="22"/>
          <w:szCs w:val="22"/>
        </w:rPr>
        <w:t>While these drug records are supposed to be kept up-to-date</w:t>
      </w:r>
      <w:r w:rsidR="00644342">
        <w:rPr>
          <w:rFonts w:ascii="Calibri" w:hAnsi="Calibri" w:cs="Times New Roman"/>
          <w:sz w:val="22"/>
          <w:szCs w:val="22"/>
        </w:rPr>
        <w:t>,</w:t>
      </w:r>
      <w:r w:rsidR="00150D48" w:rsidRPr="00341F76">
        <w:rPr>
          <w:rFonts w:ascii="Calibri" w:hAnsi="Calibri" w:cs="Times New Roman"/>
          <w:sz w:val="22"/>
          <w:szCs w:val="22"/>
        </w:rPr>
        <w:t xml:space="preserve"> this is generally not the case and </w:t>
      </w:r>
      <w:r w:rsidR="00644342">
        <w:rPr>
          <w:rFonts w:ascii="Calibri" w:hAnsi="Calibri" w:cs="Times New Roman"/>
          <w:sz w:val="22"/>
          <w:szCs w:val="22"/>
        </w:rPr>
        <w:t xml:space="preserve">the </w:t>
      </w:r>
      <w:r w:rsidR="00150D48" w:rsidRPr="00341F76">
        <w:rPr>
          <w:rFonts w:ascii="Calibri" w:hAnsi="Calibri" w:cs="Times New Roman"/>
          <w:sz w:val="22"/>
          <w:szCs w:val="22"/>
        </w:rPr>
        <w:t xml:space="preserve">most complete records can be found in </w:t>
      </w:r>
      <w:r w:rsidR="0091204E" w:rsidRPr="00341F76">
        <w:rPr>
          <w:rFonts w:ascii="Calibri" w:hAnsi="Calibri" w:cs="Times New Roman"/>
          <w:sz w:val="22"/>
          <w:szCs w:val="22"/>
        </w:rPr>
        <w:t>the clinical notes</w:t>
      </w:r>
      <w:r w:rsidR="00150D48" w:rsidRPr="00341F76">
        <w:rPr>
          <w:rFonts w:ascii="Calibri" w:hAnsi="Calibri" w:cs="Times New Roman"/>
          <w:sz w:val="22"/>
          <w:szCs w:val="22"/>
        </w:rPr>
        <w:t xml:space="preserve"> and correspondence send out to the GP.</w:t>
      </w:r>
    </w:p>
    <w:p w14:paraId="42AFF4D5" w14:textId="26B25719" w:rsidR="00A732EB" w:rsidRPr="00341F76" w:rsidRDefault="00A732EB">
      <w:pPr>
        <w:rPr>
          <w:rFonts w:ascii="Calibri" w:hAnsi="Calibri" w:cs="Times New Roman"/>
          <w:sz w:val="22"/>
          <w:szCs w:val="22"/>
        </w:rPr>
      </w:pPr>
    </w:p>
    <w:sectPr w:rsidR="00A732EB" w:rsidRPr="00341F76" w:rsidSect="00E0253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603112"/>
    <w:multiLevelType w:val="hybridMultilevel"/>
    <w:tmpl w:val="107EF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ACB"/>
    <w:rsid w:val="00072E26"/>
    <w:rsid w:val="000A15D7"/>
    <w:rsid w:val="000E6F78"/>
    <w:rsid w:val="000F1A53"/>
    <w:rsid w:val="00100E39"/>
    <w:rsid w:val="00107B4E"/>
    <w:rsid w:val="0011741C"/>
    <w:rsid w:val="00150D48"/>
    <w:rsid w:val="001577EF"/>
    <w:rsid w:val="00193267"/>
    <w:rsid w:val="001B1461"/>
    <w:rsid w:val="00313B18"/>
    <w:rsid w:val="0032566E"/>
    <w:rsid w:val="00341F76"/>
    <w:rsid w:val="003550F9"/>
    <w:rsid w:val="003B5EE3"/>
    <w:rsid w:val="003C602D"/>
    <w:rsid w:val="00402CF1"/>
    <w:rsid w:val="004316CD"/>
    <w:rsid w:val="00447F2F"/>
    <w:rsid w:val="00457F80"/>
    <w:rsid w:val="004B618D"/>
    <w:rsid w:val="004D0C8F"/>
    <w:rsid w:val="004E3C3E"/>
    <w:rsid w:val="004F0053"/>
    <w:rsid w:val="00506F8E"/>
    <w:rsid w:val="005E5DB7"/>
    <w:rsid w:val="006308F8"/>
    <w:rsid w:val="00644342"/>
    <w:rsid w:val="006563A0"/>
    <w:rsid w:val="006A106F"/>
    <w:rsid w:val="006B1930"/>
    <w:rsid w:val="006C0942"/>
    <w:rsid w:val="006D3556"/>
    <w:rsid w:val="007840AC"/>
    <w:rsid w:val="007D0FC7"/>
    <w:rsid w:val="007D5281"/>
    <w:rsid w:val="007F511B"/>
    <w:rsid w:val="00804E5E"/>
    <w:rsid w:val="00844E45"/>
    <w:rsid w:val="0088197E"/>
    <w:rsid w:val="008E468C"/>
    <w:rsid w:val="0091204E"/>
    <w:rsid w:val="00947891"/>
    <w:rsid w:val="009912C6"/>
    <w:rsid w:val="00997428"/>
    <w:rsid w:val="009A0756"/>
    <w:rsid w:val="00A317B6"/>
    <w:rsid w:val="00A540B7"/>
    <w:rsid w:val="00A732EB"/>
    <w:rsid w:val="00A911A0"/>
    <w:rsid w:val="00AA42D3"/>
    <w:rsid w:val="00AB46EA"/>
    <w:rsid w:val="00AD7ACB"/>
    <w:rsid w:val="00AE0A12"/>
    <w:rsid w:val="00AE3F69"/>
    <w:rsid w:val="00AF03FA"/>
    <w:rsid w:val="00B124B1"/>
    <w:rsid w:val="00B1277C"/>
    <w:rsid w:val="00B45AFF"/>
    <w:rsid w:val="00B53DAF"/>
    <w:rsid w:val="00BD28A1"/>
    <w:rsid w:val="00BF50EB"/>
    <w:rsid w:val="00C30705"/>
    <w:rsid w:val="00C912BC"/>
    <w:rsid w:val="00CA7D6B"/>
    <w:rsid w:val="00CF326D"/>
    <w:rsid w:val="00D52432"/>
    <w:rsid w:val="00D53100"/>
    <w:rsid w:val="00D536A6"/>
    <w:rsid w:val="00D56DBC"/>
    <w:rsid w:val="00D67DD8"/>
    <w:rsid w:val="00DE7A2A"/>
    <w:rsid w:val="00E02534"/>
    <w:rsid w:val="00E17BBE"/>
    <w:rsid w:val="00E3209C"/>
    <w:rsid w:val="00E5511F"/>
    <w:rsid w:val="00F517DC"/>
    <w:rsid w:val="00F80E93"/>
    <w:rsid w:val="00F9528A"/>
    <w:rsid w:val="00FF1549"/>
    <w:rsid w:val="00FF2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5780"/>
  <w15:docId w15:val="{4AEC09FF-0E22-A04C-9786-8299D16E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15D7"/>
    <w:rPr>
      <w:sz w:val="16"/>
      <w:szCs w:val="16"/>
    </w:rPr>
  </w:style>
  <w:style w:type="paragraph" w:styleId="CommentText">
    <w:name w:val="annotation text"/>
    <w:basedOn w:val="Normal"/>
    <w:link w:val="CommentTextChar"/>
    <w:uiPriority w:val="99"/>
    <w:semiHidden/>
    <w:unhideWhenUsed/>
    <w:rsid w:val="000A15D7"/>
    <w:pPr>
      <w:spacing w:after="200"/>
    </w:pPr>
    <w:rPr>
      <w:sz w:val="20"/>
      <w:szCs w:val="20"/>
      <w:lang w:val="nl-NL"/>
    </w:rPr>
  </w:style>
  <w:style w:type="character" w:customStyle="1" w:styleId="CommentTextChar">
    <w:name w:val="Comment Text Char"/>
    <w:basedOn w:val="DefaultParagraphFont"/>
    <w:link w:val="CommentText"/>
    <w:uiPriority w:val="99"/>
    <w:semiHidden/>
    <w:rsid w:val="000A15D7"/>
    <w:rPr>
      <w:sz w:val="20"/>
      <w:szCs w:val="20"/>
      <w:lang w:val="nl-NL"/>
    </w:rPr>
  </w:style>
  <w:style w:type="paragraph" w:styleId="BalloonText">
    <w:name w:val="Balloon Text"/>
    <w:basedOn w:val="Normal"/>
    <w:link w:val="BalloonTextChar"/>
    <w:uiPriority w:val="99"/>
    <w:semiHidden/>
    <w:unhideWhenUsed/>
    <w:rsid w:val="000A15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A15D7"/>
    <w:rPr>
      <w:rFonts w:ascii="Times New Roman" w:hAnsi="Times New Roman" w:cs="Times New Roman"/>
      <w:sz w:val="18"/>
      <w:szCs w:val="18"/>
    </w:rPr>
  </w:style>
  <w:style w:type="character" w:styleId="Hyperlink">
    <w:name w:val="Hyperlink"/>
    <w:basedOn w:val="DefaultParagraphFont"/>
    <w:uiPriority w:val="99"/>
    <w:unhideWhenUsed/>
    <w:rsid w:val="00341F76"/>
    <w:rPr>
      <w:color w:val="0563C1" w:themeColor="hyperlink"/>
      <w:u w:val="single"/>
    </w:rPr>
  </w:style>
  <w:style w:type="character" w:customStyle="1" w:styleId="UnresolvedMention1">
    <w:name w:val="Unresolved Mention1"/>
    <w:basedOn w:val="DefaultParagraphFont"/>
    <w:uiPriority w:val="99"/>
    <w:semiHidden/>
    <w:unhideWhenUsed/>
    <w:rsid w:val="00DE7A2A"/>
    <w:rPr>
      <w:color w:val="605E5C"/>
      <w:shd w:val="clear" w:color="auto" w:fill="E1DFDD"/>
    </w:rPr>
  </w:style>
  <w:style w:type="paragraph" w:styleId="ListParagraph">
    <w:name w:val="List Paragraph"/>
    <w:basedOn w:val="Normal"/>
    <w:uiPriority w:val="34"/>
    <w:qFormat/>
    <w:rsid w:val="009912C6"/>
    <w:pPr>
      <w:ind w:left="720"/>
      <w:contextualSpacing/>
    </w:pPr>
  </w:style>
  <w:style w:type="paragraph" w:styleId="CommentSubject">
    <w:name w:val="annotation subject"/>
    <w:basedOn w:val="CommentText"/>
    <w:next w:val="CommentText"/>
    <w:link w:val="CommentSubjectChar"/>
    <w:uiPriority w:val="99"/>
    <w:semiHidden/>
    <w:unhideWhenUsed/>
    <w:rsid w:val="003B5EE3"/>
    <w:pPr>
      <w:spacing w:after="0"/>
    </w:pPr>
    <w:rPr>
      <w:b/>
      <w:bCs/>
      <w:lang w:val="en-US"/>
    </w:rPr>
  </w:style>
  <w:style w:type="character" w:customStyle="1" w:styleId="CommentSubjectChar">
    <w:name w:val="Comment Subject Char"/>
    <w:basedOn w:val="CommentTextChar"/>
    <w:link w:val="CommentSubject"/>
    <w:uiPriority w:val="99"/>
    <w:semiHidden/>
    <w:rsid w:val="003B5EE3"/>
    <w:rPr>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91146">
      <w:bodyDiv w:val="1"/>
      <w:marLeft w:val="0"/>
      <w:marRight w:val="0"/>
      <w:marTop w:val="0"/>
      <w:marBottom w:val="0"/>
      <w:divBdr>
        <w:top w:val="none" w:sz="0" w:space="0" w:color="auto"/>
        <w:left w:val="none" w:sz="0" w:space="0" w:color="auto"/>
        <w:bottom w:val="none" w:sz="0" w:space="0" w:color="auto"/>
        <w:right w:val="none" w:sz="0" w:space="0" w:color="auto"/>
      </w:divBdr>
    </w:div>
    <w:div w:id="731542207">
      <w:bodyDiv w:val="1"/>
      <w:marLeft w:val="0"/>
      <w:marRight w:val="0"/>
      <w:marTop w:val="0"/>
      <w:marBottom w:val="0"/>
      <w:divBdr>
        <w:top w:val="none" w:sz="0" w:space="0" w:color="auto"/>
        <w:left w:val="none" w:sz="0" w:space="0" w:color="auto"/>
        <w:bottom w:val="none" w:sz="0" w:space="0" w:color="auto"/>
        <w:right w:val="none" w:sz="0" w:space="0" w:color="auto"/>
      </w:divBdr>
    </w:div>
    <w:div w:id="992492147">
      <w:bodyDiv w:val="1"/>
      <w:marLeft w:val="0"/>
      <w:marRight w:val="0"/>
      <w:marTop w:val="0"/>
      <w:marBottom w:val="0"/>
      <w:divBdr>
        <w:top w:val="none" w:sz="0" w:space="0" w:color="auto"/>
        <w:left w:val="none" w:sz="0" w:space="0" w:color="auto"/>
        <w:bottom w:val="none" w:sz="0" w:space="0" w:color="auto"/>
        <w:right w:val="none" w:sz="0" w:space="0" w:color="auto"/>
      </w:divBdr>
    </w:div>
    <w:div w:id="14041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1648</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Universitair Medisch Centrum Groningen</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Lanting</dc:creator>
  <cp:lastModifiedBy>Lanting, P (medgen)</cp:lastModifiedBy>
  <cp:revision>3</cp:revision>
  <dcterms:created xsi:type="dcterms:W3CDTF">2020-12-07T15:03:00Z</dcterms:created>
  <dcterms:modified xsi:type="dcterms:W3CDTF">2020-12-20T14:53:00Z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id="ZmsFhAOl"/&gt;&lt;style id="http://www.zotero.org/styles/clinical-pharmacology-and-therapeutics" hasBibliography="1" bibliographyStyleHasBeenSet="0"/&gt;&lt;prefs&gt;&lt;pref name="fieldType" value="Field"/&gt;&lt;pref </vt:lpwstr>
  </property>
  <property fmtid="{D5CDD505-2E9C-101B-9397-08002B2CF9AE}" pid="3" name="ZOTERO_PREF_2">
    <vt:lpwstr>name="automaticJournalAbbreviations" value="true"/&gt;&lt;/prefs&gt;&lt;/data&gt;</vt:lpwstr>
  </property>
</Properties>
</file>