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3C1" w:rsidRPr="00A313C1" w:rsidRDefault="00A313C1" w:rsidP="00A313C1">
      <w:pPr>
        <w:rPr>
          <w:rFonts w:ascii="Arial" w:hAnsi="Arial" w:cs="Arial"/>
        </w:rPr>
      </w:pPr>
      <w:proofErr w:type="gramStart"/>
      <w:r w:rsidRPr="00A313C1">
        <w:rPr>
          <w:rFonts w:ascii="Arial" w:hAnsi="Arial" w:cs="Arial"/>
          <w:b/>
          <w:bCs/>
        </w:rPr>
        <w:t>Supplementary Table S1.</w:t>
      </w:r>
      <w:proofErr w:type="gramEnd"/>
      <w:r w:rsidRPr="00A313C1">
        <w:rPr>
          <w:rFonts w:ascii="Arial" w:hAnsi="Arial" w:cs="Arial"/>
        </w:rPr>
        <w:t xml:space="preserve"> Relationships between the expression levels of V</w:t>
      </w:r>
      <w:r w:rsidRPr="00A313C1">
        <w:rPr>
          <w:rFonts w:ascii="Arial" w:hAnsi="Arial" w:cs="Arial"/>
          <w:lang w:val="el-GR"/>
        </w:rPr>
        <w:t>α</w:t>
      </w:r>
      <w:r w:rsidRPr="00A313C1">
        <w:rPr>
          <w:rFonts w:ascii="Arial" w:hAnsi="Arial" w:cs="Arial"/>
        </w:rPr>
        <w:t xml:space="preserve">24 and IL-15 and various </w:t>
      </w:r>
      <w:proofErr w:type="spellStart"/>
      <w:r w:rsidRPr="00A313C1">
        <w:rPr>
          <w:rFonts w:ascii="Arial" w:hAnsi="Arial" w:cs="Arial"/>
        </w:rPr>
        <w:t>clinicopathologic</w:t>
      </w:r>
      <w:proofErr w:type="spellEnd"/>
      <w:r w:rsidRPr="00A313C1">
        <w:rPr>
          <w:rFonts w:ascii="Arial" w:hAnsi="Arial" w:cs="Arial"/>
        </w:rPr>
        <w:t xml:space="preserve"> characteristics </w:t>
      </w:r>
    </w:p>
    <w:p w:rsidR="009B6820" w:rsidRPr="00A313C1" w:rsidRDefault="009B6820"/>
    <w:tbl>
      <w:tblPr>
        <w:tblW w:w="8520" w:type="dxa"/>
        <w:tblInd w:w="14" w:type="dxa"/>
        <w:tblCellMar>
          <w:left w:w="28" w:type="dxa"/>
          <w:right w:w="28" w:type="dxa"/>
        </w:tblCellMar>
        <w:tblLook w:val="04A0"/>
      </w:tblPr>
      <w:tblGrid>
        <w:gridCol w:w="2600"/>
        <w:gridCol w:w="1160"/>
        <w:gridCol w:w="640"/>
        <w:gridCol w:w="700"/>
        <w:gridCol w:w="820"/>
        <w:gridCol w:w="440"/>
        <w:gridCol w:w="640"/>
        <w:gridCol w:w="700"/>
        <w:gridCol w:w="820"/>
      </w:tblGrid>
      <w:tr w:rsidR="00071FCF" w:rsidRPr="00071FCF" w:rsidTr="00071FCF">
        <w:trPr>
          <w:trHeight w:val="345"/>
        </w:trPr>
        <w:tc>
          <w:tcPr>
            <w:tcW w:w="2600" w:type="dxa"/>
            <w:vMerge w:val="restart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characteristics </w:t>
            </w:r>
          </w:p>
        </w:tc>
        <w:tc>
          <w:tcPr>
            <w:tcW w:w="1160" w:type="dxa"/>
            <w:vMerge w:val="restart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Cases </w:t>
            </w:r>
          </w:p>
        </w:tc>
        <w:tc>
          <w:tcPr>
            <w:tcW w:w="2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Vα24 </w:t>
            </w:r>
          </w:p>
        </w:tc>
        <w:tc>
          <w:tcPr>
            <w:tcW w:w="440" w:type="dxa"/>
            <w:tcBorders>
              <w:top w:val="single" w:sz="8" w:space="0" w:color="000000"/>
              <w:left w:val="nil"/>
              <w:bottom w:val="nil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IL-15 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71FCF" w:rsidRPr="00071FCF" w:rsidRDefault="00071FCF" w:rsidP="00071FCF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1160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071FCF" w:rsidRPr="00071FCF" w:rsidRDefault="00071FCF" w:rsidP="00071FCF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Low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High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P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Low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High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P 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Age at diagnosis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&lt;1.5 years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32 (60.4)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0.76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細明體" w:eastAsia="細明體" w:hAnsi="細明體" w:cs="細明體"/>
                <w:color w:val="000000"/>
                <w:kern w:val="0"/>
                <w:szCs w:val="24"/>
              </w:rPr>
              <w:t>≧</w:t>
            </w: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1.5 years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21 (39.6)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INSS stage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7 (13.2)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0.67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0.68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10 (18.9)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10 (18.9)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20 (37.7)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4s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6 (11.3)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Risk group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Low and intermediate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30 (56.6)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0.78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High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23 (43.4)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proofErr w:type="spellStart"/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Histology</w:t>
            </w:r>
            <w:r w:rsidRPr="00D6740C">
              <w:rPr>
                <w:rFonts w:ascii="Arial" w:eastAsia="MinionPro-Regular" w:hAnsi="Arial" w:cs="Arial"/>
                <w:kern w:val="0"/>
                <w:szCs w:val="24"/>
                <w:vertAlign w:val="superscript"/>
              </w:rPr>
              <w:t>a</w:t>
            </w:r>
            <w:proofErr w:type="spellEnd"/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Favorable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19 (35.8)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0.36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0.73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Unfavorable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13 (24.5)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MYCN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Non-amplified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42 (79.2)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0.73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0.31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Amplified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11 (20.7)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071FCF" w:rsidRPr="00071FCF" w:rsidRDefault="00071FCF" w:rsidP="00071FCF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Progression/Event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No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34 (64.2)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0.004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Yes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19 (35.8)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071FCF" w:rsidRPr="00071FCF" w:rsidRDefault="00071FCF" w:rsidP="00071FCF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Death from disease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Alive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37 (69.8)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0.005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0.03</w:t>
            </w:r>
          </w:p>
        </w:tc>
      </w:tr>
      <w:tr w:rsidR="00071FCF" w:rsidRPr="00071FCF" w:rsidTr="00071FCF">
        <w:trPr>
          <w:trHeight w:val="345"/>
        </w:trPr>
        <w:tc>
          <w:tcPr>
            <w:tcW w:w="2600" w:type="dxa"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Dead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16 (30.2)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FFFFFF"/>
            </w:tcBorders>
            <w:shd w:val="clear" w:color="auto" w:fill="auto"/>
            <w:hideMark/>
          </w:tcPr>
          <w:p w:rsidR="00071FCF" w:rsidRPr="00071FCF" w:rsidRDefault="00071FCF" w:rsidP="00071FCF">
            <w:pPr>
              <w:widowControl/>
              <w:jc w:val="center"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  <w:r w:rsidRPr="00071FCF">
              <w:rPr>
                <w:rFonts w:ascii="Arial" w:eastAsia="新細明體" w:hAnsi="Arial" w:cs="Arial"/>
                <w:color w:val="000000"/>
                <w:kern w:val="0"/>
                <w:szCs w:val="24"/>
              </w:rPr>
              <w:t xml:space="preserve">　</w:t>
            </w:r>
          </w:p>
        </w:tc>
      </w:tr>
    </w:tbl>
    <w:p w:rsidR="00071FCF" w:rsidRPr="00D6740C" w:rsidRDefault="00071FCF" w:rsidP="00071FCF">
      <w:pPr>
        <w:rPr>
          <w:rFonts w:ascii="Arial" w:hAnsi="Arial" w:cs="Arial"/>
          <w:szCs w:val="24"/>
        </w:rPr>
      </w:pPr>
      <w:proofErr w:type="spellStart"/>
      <w:proofErr w:type="gramStart"/>
      <w:r w:rsidRPr="00D6740C">
        <w:rPr>
          <w:rFonts w:ascii="Arial" w:eastAsia="MinionPro-Regular" w:hAnsi="Arial" w:cs="Arial"/>
          <w:kern w:val="0"/>
          <w:szCs w:val="24"/>
          <w:vertAlign w:val="superscript"/>
        </w:rPr>
        <w:t>a</w:t>
      </w:r>
      <w:r w:rsidRPr="00D6740C">
        <w:rPr>
          <w:rFonts w:ascii="Arial" w:eastAsia="MinionPro-Regular" w:hAnsi="Arial" w:cs="Arial"/>
          <w:kern w:val="0"/>
          <w:szCs w:val="24"/>
        </w:rPr>
        <w:t>Data</w:t>
      </w:r>
      <w:proofErr w:type="spellEnd"/>
      <w:proofErr w:type="gramEnd"/>
      <w:r w:rsidRPr="00D6740C">
        <w:rPr>
          <w:rFonts w:ascii="Arial" w:eastAsia="MinionPro-Regular" w:hAnsi="Arial" w:cs="Arial"/>
          <w:kern w:val="0"/>
          <w:szCs w:val="24"/>
        </w:rPr>
        <w:t xml:space="preserve"> not available in 21 patients</w:t>
      </w:r>
    </w:p>
    <w:p w:rsidR="00A313C1" w:rsidRDefault="00A313C1"/>
    <w:sectPr w:rsidR="00A313C1" w:rsidSect="00A313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502" w:rsidRDefault="00302502" w:rsidP="00F87384">
      <w:r>
        <w:separator/>
      </w:r>
    </w:p>
  </w:endnote>
  <w:endnote w:type="continuationSeparator" w:id="0">
    <w:p w:rsidR="00302502" w:rsidRDefault="00302502" w:rsidP="00F87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inionPro-Regular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502" w:rsidRDefault="00302502" w:rsidP="00F87384">
      <w:r>
        <w:separator/>
      </w:r>
    </w:p>
  </w:footnote>
  <w:footnote w:type="continuationSeparator" w:id="0">
    <w:p w:rsidR="00302502" w:rsidRDefault="00302502" w:rsidP="00F873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3C1"/>
    <w:rsid w:val="00071FCF"/>
    <w:rsid w:val="00302502"/>
    <w:rsid w:val="005A3699"/>
    <w:rsid w:val="006320DE"/>
    <w:rsid w:val="007012CC"/>
    <w:rsid w:val="009B6820"/>
    <w:rsid w:val="00A313C1"/>
    <w:rsid w:val="00F8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2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73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F87384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873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F8738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HTH</dc:creator>
  <cp:lastModifiedBy>HTH</cp:lastModifiedBy>
  <cp:revision>3</cp:revision>
  <dcterms:created xsi:type="dcterms:W3CDTF">2021-02-08T03:10:00Z</dcterms:created>
  <dcterms:modified xsi:type="dcterms:W3CDTF">2021-02-08T15:46:00Z</dcterms:modified>
</cp:coreProperties>
</file>