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43533" w14:textId="77777777" w:rsidR="003400C9" w:rsidRPr="007B7BC3" w:rsidRDefault="003400C9" w:rsidP="003400C9">
      <w:pPr>
        <w:spacing w:line="480" w:lineRule="auto"/>
        <w:rPr>
          <w:rFonts w:ascii="Palatino Linotype" w:hAnsi="Palatino Linotype"/>
          <w:b/>
          <w:sz w:val="24"/>
          <w:szCs w:val="20"/>
        </w:rPr>
      </w:pPr>
      <w:r w:rsidRPr="007B7BC3">
        <w:rPr>
          <w:rFonts w:ascii="Palatino Linotype" w:hAnsi="Palatino Linotype"/>
          <w:b/>
          <w:sz w:val="24"/>
          <w:szCs w:val="20"/>
        </w:rPr>
        <w:t>Supplementary figure legends</w:t>
      </w:r>
    </w:p>
    <w:p w14:paraId="4809D50B" w14:textId="77777777" w:rsidR="007B7BC3" w:rsidRDefault="003400C9" w:rsidP="003400C9">
      <w:pPr>
        <w:spacing w:line="480" w:lineRule="auto"/>
        <w:rPr>
          <w:rFonts w:ascii="Palatino Linotype" w:hAnsi="Palatino Linotype"/>
          <w:b/>
          <w:szCs w:val="20"/>
        </w:rPr>
      </w:pPr>
      <w:r w:rsidRPr="007B7BC3">
        <w:rPr>
          <w:rFonts w:ascii="Palatino Linotype" w:hAnsi="Palatino Linotype"/>
          <w:b/>
          <w:szCs w:val="20"/>
        </w:rPr>
        <w:t xml:space="preserve">Fig. </w:t>
      </w:r>
      <w:r w:rsidR="00C2392E" w:rsidRPr="007B7BC3">
        <w:rPr>
          <w:rFonts w:ascii="Palatino Linotype" w:hAnsi="Palatino Linotype"/>
          <w:b/>
          <w:szCs w:val="20"/>
        </w:rPr>
        <w:t>S</w:t>
      </w:r>
      <w:r w:rsidRPr="007B7BC3">
        <w:rPr>
          <w:rFonts w:ascii="Palatino Linotype" w:hAnsi="Palatino Linotype"/>
          <w:b/>
          <w:szCs w:val="20"/>
        </w:rPr>
        <w:t xml:space="preserve">1. </w:t>
      </w:r>
      <w:r w:rsidRPr="007D27EB">
        <w:rPr>
          <w:rFonts w:ascii="Palatino Linotype" w:hAnsi="Palatino Linotype"/>
          <w:bCs/>
          <w:szCs w:val="20"/>
        </w:rPr>
        <w:t>Changes in body and liver weights and food intake.</w:t>
      </w:r>
    </w:p>
    <w:p w14:paraId="65D9EC8C" w14:textId="662DD8C3" w:rsidR="003400C9" w:rsidRPr="007B7BC3" w:rsidRDefault="003400C9" w:rsidP="003400C9">
      <w:pPr>
        <w:spacing w:line="480" w:lineRule="auto"/>
        <w:rPr>
          <w:rFonts w:ascii="Palatino Linotype" w:hAnsi="Palatino Linotype"/>
          <w:szCs w:val="20"/>
        </w:rPr>
      </w:pPr>
      <w:r w:rsidRPr="007B7BC3">
        <w:rPr>
          <w:rFonts w:ascii="Palatino Linotype" w:hAnsi="Palatino Linotype"/>
          <w:szCs w:val="20"/>
        </w:rPr>
        <w:t xml:space="preserve">Rats were subjected to oral administration of the different doses of ethanol or/and fat diet </w:t>
      </w:r>
      <w:r w:rsidRPr="007B7BC3">
        <w:rPr>
          <w:rFonts w:ascii="Palatino Linotype" w:hAnsi="Palatino Linotype"/>
          <w:color w:val="000000"/>
          <w:szCs w:val="20"/>
        </w:rPr>
        <w:t xml:space="preserve">for 8 weeks. Liver color with the naked eye (A), change of body weight (B), the total gain of body weight (C), and the average of weekly diet intake (D) </w:t>
      </w:r>
      <w:r w:rsidRPr="007B7BC3">
        <w:rPr>
          <w:rFonts w:ascii="Palatino Linotype" w:hAnsi="Palatino Linotype"/>
          <w:szCs w:val="20"/>
        </w:rPr>
        <w:t>are presented. Data are expressed as the mean ± SD (</w:t>
      </w:r>
      <w:r w:rsidRPr="007B7BC3">
        <w:rPr>
          <w:rFonts w:ascii="Palatino Linotype" w:hAnsi="Palatino Linotype"/>
          <w:i/>
          <w:szCs w:val="20"/>
        </w:rPr>
        <w:t>n</w:t>
      </w:r>
      <w:r w:rsidRPr="007B7BC3">
        <w:rPr>
          <w:rFonts w:ascii="Palatino Linotype" w:hAnsi="Palatino Linotype"/>
          <w:szCs w:val="20"/>
        </w:rPr>
        <w:t xml:space="preserve"> = 6). </w:t>
      </w:r>
      <w:r w:rsidRPr="007B7BC3">
        <w:rPr>
          <w:rFonts w:ascii="Palatino Linotype" w:hAnsi="Palatino Linotype"/>
          <w:szCs w:val="20"/>
          <w:vertAlign w:val="superscript"/>
        </w:rPr>
        <w:t>†</w:t>
      </w:r>
      <w:r w:rsidRPr="007B7BC3">
        <w:rPr>
          <w:rFonts w:ascii="Palatino Linotype" w:hAnsi="Palatino Linotype"/>
          <w:i/>
          <w:szCs w:val="20"/>
        </w:rPr>
        <w:t>p</w:t>
      </w:r>
      <w:r w:rsidR="00BE2B46">
        <w:rPr>
          <w:rFonts w:ascii="Palatino Linotype" w:hAnsi="Palatino Linotype"/>
          <w:i/>
          <w:szCs w:val="20"/>
        </w:rPr>
        <w:t xml:space="preserve"> </w:t>
      </w:r>
      <w:r w:rsidRPr="007B7BC3">
        <w:rPr>
          <w:rFonts w:ascii="Palatino Linotype" w:hAnsi="Palatino Linotype"/>
          <w:szCs w:val="20"/>
        </w:rPr>
        <w:t xml:space="preserve">&lt; 0.05 and </w:t>
      </w:r>
      <w:r w:rsidRPr="007B7BC3">
        <w:rPr>
          <w:rFonts w:ascii="Palatino Linotype" w:hAnsi="Palatino Linotype"/>
          <w:szCs w:val="20"/>
          <w:vertAlign w:val="superscript"/>
        </w:rPr>
        <w:t>††</w:t>
      </w:r>
      <w:r w:rsidRPr="007B7BC3">
        <w:rPr>
          <w:rFonts w:ascii="Palatino Linotype" w:hAnsi="Palatino Linotype"/>
          <w:i/>
          <w:szCs w:val="20"/>
        </w:rPr>
        <w:t>p</w:t>
      </w:r>
      <w:r w:rsidR="00BE2B46">
        <w:rPr>
          <w:rFonts w:ascii="Palatino Linotype" w:hAnsi="Palatino Linotype"/>
          <w:i/>
          <w:szCs w:val="20"/>
        </w:rPr>
        <w:t xml:space="preserve"> </w:t>
      </w:r>
      <w:r w:rsidRPr="007B7BC3">
        <w:rPr>
          <w:rFonts w:ascii="Palatino Linotype" w:hAnsi="Palatino Linotype"/>
          <w:szCs w:val="20"/>
        </w:rPr>
        <w:t xml:space="preserve">&lt; 0.01 compared with the control group; </w:t>
      </w:r>
      <w:r w:rsidRPr="007B7BC3">
        <w:rPr>
          <w:rFonts w:ascii="Palatino Linotype" w:hAnsi="Palatino Linotype"/>
          <w:szCs w:val="20"/>
          <w:vertAlign w:val="superscript"/>
        </w:rPr>
        <w:t>#</w:t>
      </w:r>
      <w:r w:rsidRPr="007B7BC3">
        <w:rPr>
          <w:rFonts w:ascii="Palatino Linotype" w:hAnsi="Palatino Linotype"/>
          <w:i/>
          <w:szCs w:val="20"/>
        </w:rPr>
        <w:t>p</w:t>
      </w:r>
      <w:r w:rsidRPr="007B7BC3">
        <w:rPr>
          <w:rFonts w:ascii="Palatino Linotype" w:hAnsi="Palatino Linotype"/>
          <w:szCs w:val="20"/>
        </w:rPr>
        <w:t xml:space="preserve">&lt; 0.05 compared with the fat diet 40 group; </w:t>
      </w:r>
      <w:r w:rsidRPr="007B7BC3">
        <w:rPr>
          <w:rFonts w:ascii="Palatino Linotype" w:hAnsi="Palatino Linotype"/>
          <w:szCs w:val="20"/>
          <w:vertAlign w:val="superscript"/>
        </w:rPr>
        <w:t>**</w:t>
      </w:r>
      <w:r w:rsidRPr="007B7BC3">
        <w:rPr>
          <w:rFonts w:ascii="Palatino Linotype" w:hAnsi="Palatino Linotype"/>
          <w:i/>
          <w:szCs w:val="20"/>
        </w:rPr>
        <w:t>p</w:t>
      </w:r>
      <w:r w:rsidR="00BE2B46">
        <w:rPr>
          <w:rFonts w:ascii="Palatino Linotype" w:hAnsi="Palatino Linotype"/>
          <w:i/>
          <w:szCs w:val="20"/>
        </w:rPr>
        <w:t xml:space="preserve"> </w:t>
      </w:r>
      <w:r w:rsidRPr="007B7BC3">
        <w:rPr>
          <w:rFonts w:ascii="Palatino Linotype" w:hAnsi="Palatino Linotype"/>
          <w:szCs w:val="20"/>
        </w:rPr>
        <w:t>&lt; 0.01 compared with the ethanol 20 group.</w:t>
      </w:r>
    </w:p>
    <w:p w14:paraId="74549CFC" w14:textId="77777777" w:rsidR="003400C9" w:rsidRPr="007B7BC3" w:rsidRDefault="003400C9" w:rsidP="003400C9">
      <w:pPr>
        <w:widowControl/>
        <w:wordWrap/>
        <w:autoSpaceDE/>
        <w:autoSpaceDN/>
        <w:spacing w:line="480" w:lineRule="auto"/>
        <w:rPr>
          <w:rFonts w:ascii="Palatino Linotype" w:hAnsi="Palatino Linotype"/>
          <w:b/>
          <w:sz w:val="28"/>
          <w:szCs w:val="20"/>
        </w:rPr>
      </w:pPr>
    </w:p>
    <w:p w14:paraId="755E9FBF" w14:textId="77777777" w:rsidR="007B7BC3" w:rsidRDefault="003400C9" w:rsidP="003400C9">
      <w:pPr>
        <w:spacing w:line="480" w:lineRule="auto"/>
        <w:rPr>
          <w:rFonts w:ascii="Palatino Linotype" w:hAnsi="Palatino Linotype"/>
          <w:b/>
          <w:szCs w:val="20"/>
        </w:rPr>
      </w:pPr>
      <w:r w:rsidRPr="007B7BC3">
        <w:rPr>
          <w:rFonts w:ascii="Palatino Linotype" w:hAnsi="Palatino Linotype"/>
          <w:b/>
          <w:szCs w:val="20"/>
        </w:rPr>
        <w:t xml:space="preserve">Fig. </w:t>
      </w:r>
      <w:r w:rsidR="00C2392E" w:rsidRPr="007B7BC3">
        <w:rPr>
          <w:rFonts w:ascii="Palatino Linotype" w:hAnsi="Palatino Linotype"/>
          <w:b/>
          <w:szCs w:val="20"/>
        </w:rPr>
        <w:t>S</w:t>
      </w:r>
      <w:r w:rsidRPr="007B7BC3">
        <w:rPr>
          <w:rFonts w:ascii="Palatino Linotype" w:hAnsi="Palatino Linotype"/>
          <w:b/>
          <w:szCs w:val="20"/>
        </w:rPr>
        <w:t>2</w:t>
      </w:r>
      <w:r w:rsidRPr="007D27EB">
        <w:rPr>
          <w:rFonts w:ascii="Palatino Linotype" w:hAnsi="Palatino Linotype"/>
          <w:bCs/>
          <w:szCs w:val="20"/>
        </w:rPr>
        <w:t>. Hepatic parameters for oxidative stress and antioxidant.</w:t>
      </w:r>
      <w:r w:rsidRPr="007B7BC3">
        <w:rPr>
          <w:rFonts w:ascii="Palatino Linotype" w:hAnsi="Palatino Linotype"/>
          <w:b/>
          <w:szCs w:val="20"/>
        </w:rPr>
        <w:t xml:space="preserve"> </w:t>
      </w:r>
    </w:p>
    <w:p w14:paraId="6D175F7D" w14:textId="31FE99CF" w:rsidR="003400C9" w:rsidRDefault="003400C9" w:rsidP="003400C9">
      <w:pPr>
        <w:spacing w:line="480" w:lineRule="auto"/>
        <w:rPr>
          <w:rFonts w:ascii="Palatino Linotype" w:hAnsi="Palatino Linotype"/>
          <w:szCs w:val="20"/>
        </w:rPr>
      </w:pPr>
      <w:r w:rsidRPr="007B7BC3">
        <w:rPr>
          <w:rFonts w:ascii="Palatino Linotype" w:hAnsi="Palatino Linotype"/>
          <w:szCs w:val="20"/>
        </w:rPr>
        <w:t xml:space="preserve">Rats were subjected to oral administration of the different doses of ethanol or/and fat diet </w:t>
      </w:r>
      <w:r w:rsidRPr="007B7BC3">
        <w:rPr>
          <w:rFonts w:ascii="Palatino Linotype" w:hAnsi="Palatino Linotype"/>
          <w:color w:val="000000"/>
          <w:szCs w:val="20"/>
        </w:rPr>
        <w:t xml:space="preserve">for 8 weeks. After removal of haptic tissues, </w:t>
      </w:r>
      <w:r w:rsidRPr="007B7BC3">
        <w:rPr>
          <w:rFonts w:ascii="Palatino Linotype" w:hAnsi="Palatino Linotype"/>
          <w:szCs w:val="20"/>
        </w:rPr>
        <w:t>parameters for oxidative stress (</w:t>
      </w:r>
      <w:r w:rsidRPr="007B7BC3">
        <w:rPr>
          <w:rFonts w:ascii="Palatino Linotype" w:hAnsi="Palatino Linotype"/>
          <w:color w:val="000000"/>
          <w:szCs w:val="20"/>
        </w:rPr>
        <w:t>A</w:t>
      </w:r>
      <w:r w:rsidRPr="007B7BC3">
        <w:rPr>
          <w:rFonts w:ascii="Palatino Linotype" w:hAnsi="Palatino Linotype"/>
          <w:szCs w:val="20"/>
        </w:rPr>
        <w:t xml:space="preserve"> to D) and antioxidant (E to H) were measured. Data are expressed as the mean ± SD (</w:t>
      </w:r>
      <w:r w:rsidRPr="007B7BC3">
        <w:rPr>
          <w:rFonts w:ascii="Palatino Linotype" w:hAnsi="Palatino Linotype"/>
          <w:i/>
          <w:szCs w:val="20"/>
        </w:rPr>
        <w:t>n</w:t>
      </w:r>
      <w:r w:rsidRPr="007B7BC3">
        <w:rPr>
          <w:rFonts w:ascii="Palatino Linotype" w:hAnsi="Palatino Linotype"/>
          <w:szCs w:val="20"/>
        </w:rPr>
        <w:t xml:space="preserve"> = 6). </w:t>
      </w:r>
      <w:r w:rsidRPr="007B7BC3">
        <w:rPr>
          <w:rFonts w:ascii="Palatino Linotype" w:hAnsi="Palatino Linotype"/>
          <w:szCs w:val="20"/>
          <w:vertAlign w:val="superscript"/>
        </w:rPr>
        <w:t>†</w:t>
      </w:r>
      <w:r w:rsidRPr="007B7BC3">
        <w:rPr>
          <w:rFonts w:ascii="Palatino Linotype" w:hAnsi="Palatino Linotype"/>
          <w:i/>
          <w:szCs w:val="20"/>
        </w:rPr>
        <w:t>p</w:t>
      </w:r>
      <w:r w:rsidR="00BE2B46">
        <w:rPr>
          <w:rFonts w:ascii="Palatino Linotype" w:hAnsi="Palatino Linotype"/>
          <w:i/>
          <w:szCs w:val="20"/>
        </w:rPr>
        <w:t xml:space="preserve"> </w:t>
      </w:r>
      <w:r w:rsidRPr="007B7BC3">
        <w:rPr>
          <w:rFonts w:ascii="Palatino Linotype" w:hAnsi="Palatino Linotype"/>
          <w:szCs w:val="20"/>
        </w:rPr>
        <w:t xml:space="preserve">&lt; 0.05 and </w:t>
      </w:r>
      <w:r w:rsidRPr="007B7BC3">
        <w:rPr>
          <w:rFonts w:ascii="Palatino Linotype" w:hAnsi="Palatino Linotype"/>
          <w:szCs w:val="20"/>
          <w:vertAlign w:val="superscript"/>
        </w:rPr>
        <w:t>††</w:t>
      </w:r>
      <w:r w:rsidRPr="007B7BC3">
        <w:rPr>
          <w:rFonts w:ascii="Palatino Linotype" w:hAnsi="Palatino Linotype"/>
          <w:i/>
          <w:szCs w:val="20"/>
        </w:rPr>
        <w:t>p</w:t>
      </w:r>
      <w:r w:rsidR="00BE2B46">
        <w:rPr>
          <w:rFonts w:ascii="Palatino Linotype" w:hAnsi="Palatino Linotype"/>
          <w:i/>
          <w:szCs w:val="20"/>
        </w:rPr>
        <w:t xml:space="preserve"> </w:t>
      </w:r>
      <w:r w:rsidRPr="007B7BC3">
        <w:rPr>
          <w:rFonts w:ascii="Palatino Linotype" w:hAnsi="Palatino Linotype"/>
          <w:szCs w:val="20"/>
        </w:rPr>
        <w:t xml:space="preserve">&lt; 0.01 compared with the control group; </w:t>
      </w:r>
      <w:r w:rsidRPr="007B7BC3">
        <w:rPr>
          <w:rFonts w:ascii="Palatino Linotype" w:hAnsi="Palatino Linotype"/>
          <w:szCs w:val="20"/>
          <w:vertAlign w:val="superscript"/>
        </w:rPr>
        <w:t>#</w:t>
      </w:r>
      <w:r w:rsidRPr="007B7BC3">
        <w:rPr>
          <w:rFonts w:ascii="Palatino Linotype" w:hAnsi="Palatino Linotype"/>
          <w:i/>
          <w:szCs w:val="20"/>
        </w:rPr>
        <w:t>p</w:t>
      </w:r>
      <w:r w:rsidRPr="007B7BC3">
        <w:rPr>
          <w:rFonts w:ascii="Palatino Linotype" w:hAnsi="Palatino Linotype"/>
          <w:szCs w:val="20"/>
        </w:rPr>
        <w:t xml:space="preserve">&lt; 0.05 compared with the fat diet 40 group; </w:t>
      </w:r>
      <w:r w:rsidRPr="007B7BC3">
        <w:rPr>
          <w:rFonts w:ascii="Palatino Linotype" w:hAnsi="Palatino Linotype"/>
          <w:szCs w:val="20"/>
          <w:vertAlign w:val="superscript"/>
        </w:rPr>
        <w:t>*</w:t>
      </w:r>
      <w:r w:rsidRPr="007B7BC3">
        <w:rPr>
          <w:rFonts w:ascii="Palatino Linotype" w:hAnsi="Palatino Linotype"/>
          <w:i/>
          <w:szCs w:val="20"/>
        </w:rPr>
        <w:t>p</w:t>
      </w:r>
      <w:r w:rsidRPr="007B7BC3">
        <w:rPr>
          <w:rFonts w:ascii="Palatino Linotype" w:hAnsi="Palatino Linotype"/>
          <w:szCs w:val="20"/>
        </w:rPr>
        <w:t>&lt; 0.05 compared with the ethanol 20 group.</w:t>
      </w:r>
    </w:p>
    <w:p w14:paraId="0F5F6342" w14:textId="596F9246" w:rsidR="004332A9" w:rsidRDefault="004332A9" w:rsidP="003400C9">
      <w:pPr>
        <w:spacing w:line="480" w:lineRule="auto"/>
        <w:rPr>
          <w:rFonts w:ascii="Palatino Linotype" w:hAnsi="Palatino Linotype"/>
          <w:szCs w:val="20"/>
        </w:rPr>
      </w:pPr>
    </w:p>
    <w:p w14:paraId="284B6338" w14:textId="6C65A0BF" w:rsidR="004332A9" w:rsidRDefault="004332A9" w:rsidP="003400C9">
      <w:pPr>
        <w:spacing w:line="480" w:lineRule="auto"/>
        <w:rPr>
          <w:rFonts w:ascii="Palatino Linotype" w:hAnsi="Palatino Linotype"/>
          <w:szCs w:val="20"/>
        </w:rPr>
      </w:pPr>
      <w:r w:rsidRPr="004332A9">
        <w:rPr>
          <w:rFonts w:ascii="Palatino Linotype" w:hAnsi="Palatino Linotype" w:hint="eastAsia"/>
          <w:b/>
          <w:bCs/>
          <w:szCs w:val="20"/>
        </w:rPr>
        <w:t>F</w:t>
      </w:r>
      <w:r w:rsidRPr="004332A9">
        <w:rPr>
          <w:rFonts w:ascii="Palatino Linotype" w:hAnsi="Palatino Linotype"/>
          <w:b/>
          <w:bCs/>
          <w:szCs w:val="20"/>
        </w:rPr>
        <w:t xml:space="preserve">ig. S3 </w:t>
      </w:r>
      <w:r>
        <w:rPr>
          <w:rFonts w:ascii="Palatino Linotype" w:hAnsi="Palatino Linotype"/>
          <w:szCs w:val="20"/>
        </w:rPr>
        <w:t>Alteration</w:t>
      </w:r>
      <w:r w:rsidR="006F6BD1">
        <w:rPr>
          <w:rFonts w:ascii="Palatino Linotype" w:hAnsi="Palatino Linotype"/>
          <w:szCs w:val="20"/>
        </w:rPr>
        <w:t xml:space="preserve"> of </w:t>
      </w:r>
      <w:r>
        <w:rPr>
          <w:rFonts w:ascii="Palatino Linotype" w:hAnsi="Palatino Linotype"/>
          <w:szCs w:val="20"/>
        </w:rPr>
        <w:t>Capspase-12</w:t>
      </w:r>
      <w:r w:rsidR="00A806E2" w:rsidRPr="00A806E2">
        <w:rPr>
          <w:rFonts w:ascii="Palatino Linotype" w:hAnsi="Palatino Linotype"/>
          <w:szCs w:val="20"/>
        </w:rPr>
        <w:t xml:space="preserve"> </w:t>
      </w:r>
      <w:r w:rsidR="00A806E2">
        <w:rPr>
          <w:rFonts w:ascii="Palatino Linotype" w:hAnsi="Palatino Linotype"/>
          <w:szCs w:val="20"/>
        </w:rPr>
        <w:t>activity</w:t>
      </w:r>
      <w:r>
        <w:rPr>
          <w:rFonts w:ascii="Palatino Linotype" w:hAnsi="Palatino Linotype"/>
          <w:szCs w:val="20"/>
        </w:rPr>
        <w:t xml:space="preserve"> in</w:t>
      </w:r>
      <w:r w:rsidR="00A806E2">
        <w:rPr>
          <w:rFonts w:ascii="Palatino Linotype" w:hAnsi="Palatino Linotype"/>
          <w:szCs w:val="20"/>
        </w:rPr>
        <w:t xml:space="preserve"> </w:t>
      </w:r>
      <w:r>
        <w:rPr>
          <w:rFonts w:ascii="Palatino Linotype" w:hAnsi="Palatino Linotype"/>
          <w:szCs w:val="20"/>
        </w:rPr>
        <w:t>HepG2 cells</w:t>
      </w:r>
    </w:p>
    <w:p w14:paraId="73102200" w14:textId="61D8334E" w:rsidR="00B92FED" w:rsidRDefault="004332A9" w:rsidP="004332A9">
      <w:pPr>
        <w:spacing w:line="480" w:lineRule="auto"/>
        <w:rPr>
          <w:rFonts w:ascii="Palatino Linotype" w:hAnsi="Palatino Linotype"/>
          <w:sz w:val="18"/>
          <w:szCs w:val="20"/>
        </w:rPr>
      </w:pPr>
      <w:r w:rsidRPr="004332A9">
        <w:rPr>
          <w:rFonts w:ascii="Palatino Linotype" w:hAnsi="Palatino Linotype"/>
          <w:szCs w:val="20"/>
        </w:rPr>
        <w:t xml:space="preserve">HepG2 cells were supplemented with </w:t>
      </w:r>
      <w:r>
        <w:rPr>
          <w:rFonts w:ascii="Palatino Linotype" w:hAnsi="Palatino Linotype"/>
          <w:szCs w:val="20"/>
        </w:rPr>
        <w:t>PBS</w:t>
      </w:r>
      <w:r w:rsidRPr="004332A9">
        <w:rPr>
          <w:rFonts w:ascii="Palatino Linotype" w:hAnsi="Palatino Linotype"/>
          <w:szCs w:val="20"/>
        </w:rPr>
        <w:t xml:space="preserve">, FFA 1 mM, ethanol 2%, </w:t>
      </w:r>
      <w:r>
        <w:rPr>
          <w:rFonts w:ascii="Palatino Linotype" w:hAnsi="Palatino Linotype"/>
          <w:szCs w:val="20"/>
        </w:rPr>
        <w:t>or</w:t>
      </w:r>
      <w:r w:rsidRPr="004332A9">
        <w:rPr>
          <w:rFonts w:ascii="Palatino Linotype" w:hAnsi="Palatino Linotype"/>
          <w:szCs w:val="20"/>
        </w:rPr>
        <w:t xml:space="preserve"> FFA 0.5 mM with ethanol 1%</w:t>
      </w:r>
      <w:r>
        <w:rPr>
          <w:rFonts w:ascii="Palatino Linotype" w:hAnsi="Palatino Linotype"/>
          <w:szCs w:val="20"/>
        </w:rPr>
        <w:t xml:space="preserve"> </w:t>
      </w:r>
      <w:r w:rsidR="006F6BD1">
        <w:rPr>
          <w:rFonts w:ascii="Palatino Linotype" w:hAnsi="Palatino Linotype"/>
          <w:szCs w:val="20"/>
        </w:rPr>
        <w:t xml:space="preserve">for 24 h. </w:t>
      </w:r>
      <w:r w:rsidR="006F6BD1" w:rsidRPr="006F6BD1">
        <w:rPr>
          <w:rFonts w:ascii="Palatino Linotype" w:hAnsi="Palatino Linotype"/>
          <w:szCs w:val="20"/>
        </w:rPr>
        <w:t xml:space="preserve">Western blotting analyses for </w:t>
      </w:r>
      <w:r w:rsidR="006F6BD1">
        <w:rPr>
          <w:rFonts w:ascii="Palatino Linotype" w:hAnsi="Palatino Linotype"/>
          <w:szCs w:val="20"/>
        </w:rPr>
        <w:t xml:space="preserve">pro caspase-12 and cleaved caspase-12 </w:t>
      </w:r>
      <w:r w:rsidR="006F6BD1" w:rsidRPr="006F6BD1">
        <w:rPr>
          <w:rFonts w:ascii="Palatino Linotype" w:hAnsi="Palatino Linotype"/>
          <w:szCs w:val="20"/>
        </w:rPr>
        <w:t>were conducted.</w:t>
      </w:r>
    </w:p>
    <w:p w14:paraId="029EBC3E" w14:textId="7D3694FD" w:rsidR="004332A9" w:rsidRPr="004238EF" w:rsidRDefault="004332A9">
      <w:pPr>
        <w:rPr>
          <w:rFonts w:ascii="Palatino Linotype" w:hAnsi="Palatino Linotype"/>
          <w:sz w:val="18"/>
          <w:szCs w:val="20"/>
        </w:rPr>
      </w:pPr>
    </w:p>
    <w:sectPr w:rsidR="004332A9" w:rsidRPr="004238E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809A6" w14:textId="77777777" w:rsidR="00E5366A" w:rsidRDefault="00E5366A" w:rsidP="00DA0B15">
      <w:r>
        <w:separator/>
      </w:r>
    </w:p>
  </w:endnote>
  <w:endnote w:type="continuationSeparator" w:id="0">
    <w:p w14:paraId="7867B88D" w14:textId="77777777" w:rsidR="00E5366A" w:rsidRDefault="00E5366A" w:rsidP="00DA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4A4E1" w14:textId="77777777" w:rsidR="00E5366A" w:rsidRDefault="00E5366A" w:rsidP="00DA0B15">
      <w:r>
        <w:separator/>
      </w:r>
    </w:p>
  </w:footnote>
  <w:footnote w:type="continuationSeparator" w:id="0">
    <w:p w14:paraId="286FB7E2" w14:textId="77777777" w:rsidR="00E5366A" w:rsidRDefault="00E5366A" w:rsidP="00DA0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0C9"/>
    <w:rsid w:val="00066B0C"/>
    <w:rsid w:val="00241E5B"/>
    <w:rsid w:val="003400C9"/>
    <w:rsid w:val="004238EF"/>
    <w:rsid w:val="004332A9"/>
    <w:rsid w:val="00550537"/>
    <w:rsid w:val="005E6231"/>
    <w:rsid w:val="00652D14"/>
    <w:rsid w:val="006B4E9E"/>
    <w:rsid w:val="006F6BD1"/>
    <w:rsid w:val="007B7BC3"/>
    <w:rsid w:val="007D27EB"/>
    <w:rsid w:val="00A3120B"/>
    <w:rsid w:val="00A806E2"/>
    <w:rsid w:val="00B946E2"/>
    <w:rsid w:val="00BE2B46"/>
    <w:rsid w:val="00C2392E"/>
    <w:rsid w:val="00DA0B15"/>
    <w:rsid w:val="00E348E9"/>
    <w:rsid w:val="00E5366A"/>
    <w:rsid w:val="00E85D76"/>
    <w:rsid w:val="00F0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313AE5"/>
  <w15:docId w15:val="{25276AAD-71FB-452E-B3C6-FF3740928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C9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B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A0B15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DA0B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A0B15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</dc:creator>
  <cp:lastModifiedBy>wang jinghua</cp:lastModifiedBy>
  <cp:revision>18</cp:revision>
  <dcterms:created xsi:type="dcterms:W3CDTF">2018-12-27T07:59:00Z</dcterms:created>
  <dcterms:modified xsi:type="dcterms:W3CDTF">2021-03-26T08:45:00Z</dcterms:modified>
</cp:coreProperties>
</file>