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CE155" w14:textId="5E4FC75E" w:rsidR="00187A67" w:rsidRPr="00B92469" w:rsidRDefault="00B92469" w:rsidP="00B92469">
      <w:pPr>
        <w:spacing w:after="100" w:afterAutospacing="1" w:line="480" w:lineRule="auto"/>
        <w:contextualSpacing/>
        <w:jc w:val="center"/>
        <w:outlineLvl w:val="2"/>
        <w:rPr>
          <w:rFonts w:ascii="Calibri" w:hAnsi="Calibri" w:cs="Calibri"/>
          <w:b/>
          <w:lang w:val="en-US" w:eastAsia="en-GB"/>
        </w:rPr>
      </w:pPr>
      <w:r w:rsidRPr="00B92469">
        <w:rPr>
          <w:rFonts w:ascii="Calibri" w:hAnsi="Calibri" w:cs="Calibri"/>
          <w:b/>
          <w:lang w:val="en-US" w:eastAsia="en-GB"/>
        </w:rPr>
        <w:t>SUPPLEMENTARY FILE S5</w:t>
      </w:r>
    </w:p>
    <w:p w14:paraId="79BF61F6" w14:textId="39435A57" w:rsidR="00A50AB3" w:rsidRDefault="00187A67" w:rsidP="00A50AB3">
      <w:pPr>
        <w:spacing w:after="100" w:afterAutospacing="1" w:line="480" w:lineRule="auto"/>
        <w:contextualSpacing/>
        <w:jc w:val="center"/>
        <w:outlineLvl w:val="2"/>
        <w:rPr>
          <w:rFonts w:ascii="Calibri" w:hAnsi="Calibri" w:cs="Calibri"/>
          <w:b/>
          <w:lang w:val="en-US" w:eastAsia="en-GB"/>
        </w:rPr>
      </w:pPr>
      <w:r w:rsidRPr="00B92469">
        <w:rPr>
          <w:rFonts w:ascii="Calibri" w:hAnsi="Calibri" w:cs="Calibri"/>
          <w:b/>
          <w:lang w:val="en-US" w:eastAsia="en-GB"/>
        </w:rPr>
        <w:t>Risk of Bias Assessment</w:t>
      </w:r>
    </w:p>
    <w:p w14:paraId="67ED979E" w14:textId="5E073A92" w:rsidR="00A50AB3" w:rsidRPr="00A50AB3" w:rsidRDefault="00713E7F" w:rsidP="00A50AB3">
      <w:pPr>
        <w:spacing w:after="100" w:afterAutospacing="1" w:line="276" w:lineRule="auto"/>
        <w:contextualSpacing/>
        <w:outlineLvl w:val="2"/>
        <w:rPr>
          <w:rFonts w:ascii="Calibri" w:hAnsi="Calibri" w:cs="Calibri"/>
          <w:b/>
          <w:lang w:val="en-US" w:eastAsia="en-GB"/>
        </w:rPr>
      </w:pPr>
      <w:r>
        <w:rPr>
          <w:rFonts w:ascii="Calibri" w:hAnsi="Calibri" w:cs="Calibri"/>
          <w:b/>
          <w:lang w:val="en-US" w:eastAsia="en-GB"/>
        </w:rPr>
        <w:t>Summary Tables</w:t>
      </w:r>
    </w:p>
    <w:tbl>
      <w:tblPr>
        <w:tblW w:w="15398" w:type="dxa"/>
        <w:tblCellMar>
          <w:left w:w="57" w:type="dxa"/>
          <w:right w:w="57" w:type="dxa"/>
        </w:tblCellMar>
        <w:tblLook w:val="04A0" w:firstRow="1" w:lastRow="0" w:firstColumn="1" w:lastColumn="0" w:noHBand="0" w:noVBand="1"/>
      </w:tblPr>
      <w:tblGrid>
        <w:gridCol w:w="15398"/>
      </w:tblGrid>
      <w:tr w:rsidR="00A50AB3" w14:paraId="64643227" w14:textId="77777777" w:rsidTr="00903862">
        <w:trPr>
          <w:trHeight w:val="73"/>
        </w:trPr>
        <w:tc>
          <w:tcPr>
            <w:tcW w:w="15398" w:type="dxa"/>
            <w:tcBorders>
              <w:top w:val="nil"/>
              <w:left w:val="nil"/>
              <w:bottom w:val="single" w:sz="4" w:space="0" w:color="auto"/>
              <w:right w:val="nil"/>
            </w:tcBorders>
          </w:tcPr>
          <w:p w14:paraId="35825784" w14:textId="585BE77A"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Risk of Bias Assessment (CASP Checklist for Cohort Studies)</w:t>
            </w:r>
          </w:p>
        </w:tc>
      </w:tr>
    </w:tbl>
    <w:p w14:paraId="41500FBB" w14:textId="77777777" w:rsidR="00903862" w:rsidRDefault="00903862"/>
    <w:tbl>
      <w:tblPr>
        <w:tblW w:w="15451" w:type="dxa"/>
        <w:tblCellMar>
          <w:left w:w="57" w:type="dxa"/>
          <w:right w:w="57" w:type="dxa"/>
        </w:tblCellMar>
        <w:tblLook w:val="04A0" w:firstRow="1" w:lastRow="0" w:firstColumn="1" w:lastColumn="0" w:noHBand="0" w:noVBand="1"/>
      </w:tblPr>
      <w:tblGrid>
        <w:gridCol w:w="1277"/>
        <w:gridCol w:w="1169"/>
        <w:gridCol w:w="1170"/>
        <w:gridCol w:w="1170"/>
        <w:gridCol w:w="1170"/>
        <w:gridCol w:w="1170"/>
        <w:gridCol w:w="1170"/>
        <w:gridCol w:w="1169"/>
        <w:gridCol w:w="1170"/>
        <w:gridCol w:w="1170"/>
        <w:gridCol w:w="1170"/>
        <w:gridCol w:w="1170"/>
        <w:gridCol w:w="1306"/>
      </w:tblGrid>
      <w:tr w:rsidR="00A50AB3" w14:paraId="48E8069B" w14:textId="77777777" w:rsidTr="00903862">
        <w:trPr>
          <w:trHeight w:val="480"/>
          <w:tblHeader/>
        </w:trPr>
        <w:tc>
          <w:tcPr>
            <w:tcW w:w="1277" w:type="dxa"/>
            <w:tcBorders>
              <w:top w:val="single" w:sz="4" w:space="0" w:color="auto"/>
              <w:left w:val="nil"/>
              <w:bottom w:val="single" w:sz="4" w:space="0" w:color="auto"/>
              <w:right w:val="nil"/>
            </w:tcBorders>
            <w:shd w:val="clear" w:color="auto" w:fill="2F75B5"/>
            <w:hideMark/>
          </w:tcPr>
          <w:p w14:paraId="50D06AC9" w14:textId="77777777" w:rsidR="00A50AB3" w:rsidRDefault="00A50AB3">
            <w:pPr>
              <w:ind w:right="91"/>
              <w:jc w:val="center"/>
              <w:rPr>
                <w:rFonts w:ascii="Calibri" w:hAnsi="Calibri" w:cs="Calibri"/>
                <w:b/>
                <w:bCs/>
                <w:color w:val="000000"/>
                <w:sz w:val="16"/>
                <w:szCs w:val="16"/>
                <w:lang w:val="en-US"/>
              </w:rPr>
            </w:pPr>
            <w:r>
              <w:rPr>
                <w:rFonts w:ascii="Calibri" w:hAnsi="Calibri" w:cs="Calibri"/>
                <w:b/>
                <w:bCs/>
                <w:color w:val="000000"/>
                <w:sz w:val="16"/>
                <w:szCs w:val="16"/>
                <w:lang w:val="en-US"/>
              </w:rPr>
              <w:t>Study ID</w:t>
            </w:r>
          </w:p>
        </w:tc>
        <w:tc>
          <w:tcPr>
            <w:tcW w:w="1169" w:type="dxa"/>
            <w:tcBorders>
              <w:top w:val="single" w:sz="4" w:space="0" w:color="auto"/>
              <w:left w:val="nil"/>
              <w:bottom w:val="single" w:sz="4" w:space="0" w:color="auto"/>
              <w:right w:val="nil"/>
            </w:tcBorders>
            <w:shd w:val="clear" w:color="auto" w:fill="BDD6EE" w:themeFill="accent5" w:themeFillTint="66"/>
            <w:hideMark/>
          </w:tcPr>
          <w:p w14:paraId="669D86D8" w14:textId="77777777" w:rsidR="00A50AB3" w:rsidRDefault="00A50AB3">
            <w:pPr>
              <w:ind w:right="91"/>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Research Question </w:t>
            </w:r>
          </w:p>
        </w:tc>
        <w:tc>
          <w:tcPr>
            <w:tcW w:w="1170" w:type="dxa"/>
            <w:tcBorders>
              <w:top w:val="single" w:sz="4" w:space="0" w:color="auto"/>
              <w:left w:val="nil"/>
              <w:bottom w:val="single" w:sz="4" w:space="0" w:color="auto"/>
              <w:right w:val="nil"/>
            </w:tcBorders>
            <w:shd w:val="clear" w:color="auto" w:fill="BDD6EE" w:themeFill="accent5" w:themeFillTint="66"/>
            <w:hideMark/>
          </w:tcPr>
          <w:p w14:paraId="444B06E7" w14:textId="77777777"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Selection bias </w:t>
            </w:r>
          </w:p>
        </w:tc>
        <w:tc>
          <w:tcPr>
            <w:tcW w:w="1170" w:type="dxa"/>
            <w:tcBorders>
              <w:top w:val="single" w:sz="4" w:space="0" w:color="auto"/>
              <w:left w:val="nil"/>
              <w:bottom w:val="single" w:sz="4" w:space="0" w:color="auto"/>
              <w:right w:val="nil"/>
            </w:tcBorders>
            <w:shd w:val="clear" w:color="auto" w:fill="BDD6EE" w:themeFill="accent5" w:themeFillTint="66"/>
            <w:hideMark/>
          </w:tcPr>
          <w:p w14:paraId="0D549E1E" w14:textId="77777777"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Measurement bias (exposure) </w:t>
            </w:r>
          </w:p>
        </w:tc>
        <w:tc>
          <w:tcPr>
            <w:tcW w:w="1170" w:type="dxa"/>
            <w:tcBorders>
              <w:top w:val="single" w:sz="4" w:space="0" w:color="auto"/>
              <w:left w:val="nil"/>
              <w:bottom w:val="single" w:sz="4" w:space="0" w:color="auto"/>
              <w:right w:val="nil"/>
            </w:tcBorders>
            <w:shd w:val="clear" w:color="auto" w:fill="BDD6EE" w:themeFill="accent5" w:themeFillTint="66"/>
            <w:hideMark/>
          </w:tcPr>
          <w:p w14:paraId="0242A258" w14:textId="77777777"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Measurement bias (outcomes) </w:t>
            </w:r>
          </w:p>
        </w:tc>
        <w:tc>
          <w:tcPr>
            <w:tcW w:w="1170" w:type="dxa"/>
            <w:tcBorders>
              <w:top w:val="single" w:sz="4" w:space="0" w:color="auto"/>
              <w:left w:val="nil"/>
              <w:bottom w:val="single" w:sz="4" w:space="0" w:color="auto"/>
              <w:right w:val="nil"/>
            </w:tcBorders>
            <w:shd w:val="clear" w:color="auto" w:fill="BDD6EE" w:themeFill="accent5" w:themeFillTint="66"/>
            <w:hideMark/>
          </w:tcPr>
          <w:p w14:paraId="515ABB59" w14:textId="77777777"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Confounding factors </w:t>
            </w:r>
          </w:p>
        </w:tc>
        <w:tc>
          <w:tcPr>
            <w:tcW w:w="1170" w:type="dxa"/>
            <w:tcBorders>
              <w:top w:val="single" w:sz="4" w:space="0" w:color="auto"/>
              <w:left w:val="nil"/>
              <w:bottom w:val="single" w:sz="4" w:space="0" w:color="auto"/>
              <w:right w:val="nil"/>
            </w:tcBorders>
            <w:shd w:val="clear" w:color="auto" w:fill="BDD6EE" w:themeFill="accent5" w:themeFillTint="66"/>
            <w:hideMark/>
          </w:tcPr>
          <w:p w14:paraId="20D213B6" w14:textId="77777777"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Follow-up </w:t>
            </w:r>
          </w:p>
        </w:tc>
        <w:tc>
          <w:tcPr>
            <w:tcW w:w="1169" w:type="dxa"/>
            <w:tcBorders>
              <w:top w:val="single" w:sz="4" w:space="0" w:color="auto"/>
              <w:left w:val="nil"/>
              <w:bottom w:val="single" w:sz="4" w:space="0" w:color="auto"/>
              <w:right w:val="nil"/>
            </w:tcBorders>
            <w:shd w:val="clear" w:color="auto" w:fill="BDD6EE" w:themeFill="accent5" w:themeFillTint="66"/>
            <w:hideMark/>
          </w:tcPr>
          <w:p w14:paraId="364AF772" w14:textId="77777777"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Magnitude of effect  </w:t>
            </w:r>
          </w:p>
        </w:tc>
        <w:tc>
          <w:tcPr>
            <w:tcW w:w="1170" w:type="dxa"/>
            <w:tcBorders>
              <w:top w:val="single" w:sz="4" w:space="0" w:color="auto"/>
              <w:left w:val="nil"/>
              <w:bottom w:val="single" w:sz="4" w:space="0" w:color="auto"/>
              <w:right w:val="nil"/>
            </w:tcBorders>
            <w:shd w:val="clear" w:color="auto" w:fill="BDD6EE" w:themeFill="accent5" w:themeFillTint="66"/>
            <w:hideMark/>
          </w:tcPr>
          <w:p w14:paraId="7503B171" w14:textId="77777777"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Precision of estimate </w:t>
            </w:r>
          </w:p>
        </w:tc>
        <w:tc>
          <w:tcPr>
            <w:tcW w:w="1170" w:type="dxa"/>
            <w:tcBorders>
              <w:top w:val="single" w:sz="4" w:space="0" w:color="auto"/>
              <w:left w:val="nil"/>
              <w:bottom w:val="single" w:sz="4" w:space="0" w:color="auto"/>
              <w:right w:val="nil"/>
            </w:tcBorders>
            <w:shd w:val="clear" w:color="auto" w:fill="BDD6EE" w:themeFill="accent5" w:themeFillTint="66"/>
            <w:hideMark/>
          </w:tcPr>
          <w:p w14:paraId="29BB44DF" w14:textId="77777777"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Credibility </w:t>
            </w:r>
          </w:p>
        </w:tc>
        <w:tc>
          <w:tcPr>
            <w:tcW w:w="1170" w:type="dxa"/>
            <w:tcBorders>
              <w:top w:val="single" w:sz="4" w:space="0" w:color="auto"/>
              <w:left w:val="nil"/>
              <w:bottom w:val="single" w:sz="4" w:space="0" w:color="auto"/>
              <w:right w:val="nil"/>
            </w:tcBorders>
            <w:shd w:val="clear" w:color="auto" w:fill="BDD6EE" w:themeFill="accent5" w:themeFillTint="66"/>
            <w:hideMark/>
          </w:tcPr>
          <w:p w14:paraId="104DEC91" w14:textId="77777777"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Empiric congruence </w:t>
            </w:r>
          </w:p>
        </w:tc>
        <w:tc>
          <w:tcPr>
            <w:tcW w:w="1170" w:type="dxa"/>
            <w:tcBorders>
              <w:top w:val="single" w:sz="4" w:space="0" w:color="auto"/>
              <w:left w:val="nil"/>
              <w:bottom w:val="single" w:sz="4" w:space="0" w:color="auto"/>
              <w:right w:val="nil"/>
            </w:tcBorders>
            <w:shd w:val="clear" w:color="auto" w:fill="BDD6EE" w:themeFill="accent5" w:themeFillTint="66"/>
            <w:hideMark/>
          </w:tcPr>
          <w:p w14:paraId="18792A14" w14:textId="77777777"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Applicability </w:t>
            </w:r>
          </w:p>
        </w:tc>
        <w:tc>
          <w:tcPr>
            <w:tcW w:w="1306" w:type="dxa"/>
            <w:tcBorders>
              <w:top w:val="single" w:sz="4" w:space="0" w:color="auto"/>
              <w:left w:val="nil"/>
              <w:bottom w:val="single" w:sz="4" w:space="0" w:color="auto"/>
              <w:right w:val="nil"/>
            </w:tcBorders>
            <w:shd w:val="clear" w:color="auto" w:fill="BDD6EE" w:themeFill="accent5" w:themeFillTint="66"/>
            <w:hideMark/>
          </w:tcPr>
          <w:p w14:paraId="7B500BF7" w14:textId="77777777" w:rsidR="00A50AB3" w:rsidRDefault="00A50AB3">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Implications to Practice </w:t>
            </w:r>
          </w:p>
        </w:tc>
      </w:tr>
      <w:tr w:rsidR="00713E7F" w14:paraId="465FD221" w14:textId="77777777" w:rsidTr="00903862">
        <w:trPr>
          <w:trHeight w:val="220"/>
        </w:trPr>
        <w:tc>
          <w:tcPr>
            <w:tcW w:w="15451" w:type="dxa"/>
            <w:gridSpan w:val="13"/>
            <w:tcBorders>
              <w:top w:val="single" w:sz="4" w:space="0" w:color="auto"/>
              <w:left w:val="nil"/>
              <w:bottom w:val="single" w:sz="4" w:space="0" w:color="auto"/>
              <w:right w:val="nil"/>
            </w:tcBorders>
          </w:tcPr>
          <w:p w14:paraId="2FF43346" w14:textId="153A1534"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Peri-operative </w:t>
            </w:r>
            <w:r w:rsidR="00691248">
              <w:rPr>
                <w:rFonts w:ascii="Calibri" w:hAnsi="Calibri" w:cs="Calibri"/>
                <w:b/>
                <w:bCs/>
                <w:color w:val="000000"/>
                <w:sz w:val="16"/>
                <w:szCs w:val="16"/>
                <w:lang w:val="en-US"/>
              </w:rPr>
              <w:t>interventional radiotherapy</w:t>
            </w:r>
            <w:r>
              <w:rPr>
                <w:rFonts w:ascii="Calibri" w:hAnsi="Calibri" w:cs="Calibri"/>
                <w:b/>
                <w:bCs/>
                <w:color w:val="000000"/>
                <w:sz w:val="16"/>
                <w:szCs w:val="16"/>
                <w:lang w:val="en-US"/>
              </w:rPr>
              <w:t xml:space="preserve"> in the primary setting</w:t>
            </w:r>
          </w:p>
        </w:tc>
      </w:tr>
      <w:tr w:rsidR="00A50AB3" w14:paraId="54F4922B" w14:textId="77777777" w:rsidTr="00713E7F">
        <w:trPr>
          <w:trHeight w:val="220"/>
        </w:trPr>
        <w:tc>
          <w:tcPr>
            <w:tcW w:w="15451" w:type="dxa"/>
            <w:gridSpan w:val="13"/>
            <w:tcBorders>
              <w:top w:val="single" w:sz="4" w:space="0" w:color="auto"/>
              <w:left w:val="nil"/>
              <w:bottom w:val="single" w:sz="4" w:space="0" w:color="auto"/>
              <w:right w:val="nil"/>
            </w:tcBorders>
            <w:hideMark/>
          </w:tcPr>
          <w:p w14:paraId="0852362A" w14:textId="79B0B8DD" w:rsidR="00A50AB3" w:rsidRDefault="00713E7F">
            <w:pPr>
              <w:rPr>
                <w:rFonts w:ascii="Calibri" w:hAnsi="Calibri" w:cs="Calibri"/>
                <w:b/>
                <w:bCs/>
                <w:color w:val="000000"/>
                <w:sz w:val="16"/>
                <w:szCs w:val="16"/>
                <w:lang w:val="en-US"/>
              </w:rPr>
            </w:pPr>
            <w:r>
              <w:rPr>
                <w:rFonts w:ascii="Calibri" w:hAnsi="Calibri" w:cs="Calibri"/>
                <w:b/>
                <w:bCs/>
                <w:color w:val="000000"/>
                <w:sz w:val="16"/>
                <w:szCs w:val="16"/>
                <w:lang w:val="en-US"/>
              </w:rPr>
              <w:t xml:space="preserve">Non-controlled </w:t>
            </w:r>
            <w:r w:rsidR="00A50AB3">
              <w:rPr>
                <w:rFonts w:ascii="Calibri" w:hAnsi="Calibri" w:cs="Calibri"/>
                <w:b/>
                <w:bCs/>
                <w:color w:val="000000"/>
                <w:sz w:val="16"/>
                <w:szCs w:val="16"/>
                <w:lang w:val="en-US"/>
              </w:rPr>
              <w:t>clinical trial</w:t>
            </w:r>
          </w:p>
        </w:tc>
      </w:tr>
      <w:tr w:rsidR="00043C52" w14:paraId="7BDA3796" w14:textId="77777777" w:rsidTr="00713E7F">
        <w:trPr>
          <w:trHeight w:val="240"/>
        </w:trPr>
        <w:tc>
          <w:tcPr>
            <w:tcW w:w="1277" w:type="dxa"/>
            <w:tcBorders>
              <w:top w:val="single" w:sz="4" w:space="0" w:color="auto"/>
              <w:left w:val="nil"/>
              <w:right w:val="nil"/>
            </w:tcBorders>
            <w:hideMark/>
          </w:tcPr>
          <w:p w14:paraId="45985C34" w14:textId="37D96CB6" w:rsidR="00043C52" w:rsidRDefault="00043C52" w:rsidP="00043C52">
            <w:pPr>
              <w:rPr>
                <w:rFonts w:ascii="Calibri" w:hAnsi="Calibri" w:cs="Calibri"/>
                <w:b/>
                <w:bCs/>
                <w:color w:val="000000"/>
                <w:sz w:val="16"/>
                <w:szCs w:val="16"/>
                <w:lang w:val="en-US"/>
              </w:rPr>
            </w:pPr>
            <w:proofErr w:type="spellStart"/>
            <w:r>
              <w:rPr>
                <w:rFonts w:ascii="Calibri" w:hAnsi="Calibri" w:cs="Calibri"/>
                <w:color w:val="000000"/>
                <w:sz w:val="16"/>
                <w:szCs w:val="16"/>
                <w:lang w:val="en-US"/>
              </w:rPr>
              <w:t>Ianovski</w:t>
            </w:r>
            <w:proofErr w:type="spellEnd"/>
            <w:r>
              <w:rPr>
                <w:rFonts w:ascii="Calibri" w:hAnsi="Calibri" w:cs="Calibri"/>
                <w:color w:val="000000"/>
                <w:sz w:val="16"/>
                <w:szCs w:val="16"/>
                <w:lang w:val="en-US"/>
              </w:rPr>
              <w:t xml:space="preserve"> 2020</w:t>
            </w:r>
          </w:p>
        </w:tc>
        <w:tc>
          <w:tcPr>
            <w:tcW w:w="1169" w:type="dxa"/>
            <w:tcBorders>
              <w:top w:val="single" w:sz="4" w:space="0" w:color="auto"/>
              <w:left w:val="nil"/>
              <w:right w:val="nil"/>
            </w:tcBorders>
            <w:hideMark/>
          </w:tcPr>
          <w:p w14:paraId="011615E7" w14:textId="6AF33A3F" w:rsidR="00043C52" w:rsidRDefault="00043C52" w:rsidP="00043C52">
            <w:pPr>
              <w:jc w:val="center"/>
              <w:rPr>
                <w:rFonts w:ascii="Calibri" w:hAnsi="Calibri" w:cs="Calibri"/>
                <w:b/>
                <w:bCs/>
                <w:color w:val="000000"/>
                <w:sz w:val="16"/>
                <w:szCs w:val="16"/>
                <w:lang w:val="en-US"/>
              </w:rPr>
            </w:pPr>
            <w:r w:rsidRPr="001B7B27">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4752FEAF" w14:textId="15E4F0D5" w:rsidR="00043C52" w:rsidRDefault="00043C52" w:rsidP="00043C52">
            <w:pPr>
              <w:jc w:val="center"/>
              <w:rPr>
                <w:rFonts w:ascii="Calibri" w:hAnsi="Calibri" w:cs="Calibri"/>
                <w:b/>
                <w:bCs/>
                <w:color w:val="000000"/>
                <w:sz w:val="16"/>
                <w:szCs w:val="16"/>
                <w:lang w:val="en-US"/>
              </w:rPr>
            </w:pPr>
            <w:r w:rsidRPr="001B7B27">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56014927" w14:textId="61068AE0" w:rsidR="00043C52" w:rsidRDefault="00043C52" w:rsidP="00043C52">
            <w:pPr>
              <w:jc w:val="center"/>
              <w:rPr>
                <w:rFonts w:ascii="Calibri" w:hAnsi="Calibri" w:cs="Calibri"/>
                <w:b/>
                <w:bCs/>
                <w:color w:val="000000"/>
                <w:sz w:val="16"/>
                <w:szCs w:val="16"/>
                <w:lang w:val="en-US"/>
              </w:rPr>
            </w:pPr>
            <w:r w:rsidRPr="001B7B27">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0A6050B6" w14:textId="57372462" w:rsidR="00043C52" w:rsidRDefault="00043C52" w:rsidP="00043C52">
            <w:pPr>
              <w:jc w:val="center"/>
              <w:rPr>
                <w:rFonts w:ascii="Calibri" w:hAnsi="Calibri" w:cs="Calibri"/>
                <w:b/>
                <w:bCs/>
                <w:color w:val="000000"/>
                <w:sz w:val="16"/>
                <w:szCs w:val="16"/>
                <w:lang w:val="en-US"/>
              </w:rPr>
            </w:pPr>
            <w:r w:rsidRPr="001B7B27">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2C050D0B" w14:textId="18E04C5E" w:rsidR="00043C52" w:rsidRDefault="00043C52" w:rsidP="00043C52">
            <w:pPr>
              <w:jc w:val="center"/>
              <w:rPr>
                <w:rFonts w:ascii="Calibri" w:hAnsi="Calibri" w:cs="Calibri"/>
                <w:b/>
                <w:bCs/>
                <w:color w:val="000000"/>
                <w:sz w:val="16"/>
                <w:szCs w:val="16"/>
                <w:lang w:val="en-US"/>
              </w:rPr>
            </w:pPr>
            <w:r w:rsidRPr="001B7B27">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58D217F1" w14:textId="456894B5" w:rsidR="00043C52" w:rsidRDefault="00043C52" w:rsidP="00043C52">
            <w:pPr>
              <w:jc w:val="center"/>
              <w:rPr>
                <w:rFonts w:ascii="Calibri" w:hAnsi="Calibri" w:cs="Calibri"/>
                <w:b/>
                <w:bCs/>
                <w:color w:val="000000"/>
                <w:sz w:val="16"/>
                <w:szCs w:val="16"/>
                <w:lang w:val="en-US"/>
              </w:rPr>
            </w:pPr>
            <w:r w:rsidRPr="001B7B27">
              <w:rPr>
                <w:rFonts w:ascii="Calibri" w:hAnsi="Calibri" w:cs="Calibri"/>
                <w:b/>
                <w:bCs/>
                <w:color w:val="000000"/>
                <w:sz w:val="16"/>
                <w:szCs w:val="16"/>
              </w:rPr>
              <w:t>Low risk</w:t>
            </w:r>
          </w:p>
        </w:tc>
        <w:tc>
          <w:tcPr>
            <w:tcW w:w="1169" w:type="dxa"/>
            <w:tcBorders>
              <w:top w:val="single" w:sz="4" w:space="0" w:color="auto"/>
              <w:left w:val="nil"/>
              <w:right w:val="nil"/>
            </w:tcBorders>
            <w:hideMark/>
          </w:tcPr>
          <w:p w14:paraId="0EED5431" w14:textId="06335696" w:rsidR="00043C52" w:rsidRDefault="00043C52" w:rsidP="00043C52">
            <w:pPr>
              <w:jc w:val="center"/>
              <w:rPr>
                <w:rFonts w:ascii="Calibri" w:hAnsi="Calibri" w:cs="Calibri"/>
                <w:b/>
                <w:bCs/>
                <w:color w:val="000000"/>
                <w:sz w:val="16"/>
                <w:szCs w:val="16"/>
                <w:lang w:val="en-US"/>
              </w:rPr>
            </w:pPr>
            <w:r w:rsidRPr="001B7B27">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41C394E5" w14:textId="1F768F21" w:rsidR="00043C52" w:rsidRDefault="00043C52" w:rsidP="00043C52">
            <w:pPr>
              <w:ind w:right="20"/>
              <w:jc w:val="center"/>
              <w:rPr>
                <w:rFonts w:ascii="Calibri" w:hAnsi="Calibri" w:cs="Calibri"/>
                <w:b/>
                <w:bCs/>
                <w:color w:val="C00000"/>
                <w:sz w:val="16"/>
                <w:szCs w:val="16"/>
                <w:lang w:val="en-US"/>
              </w:rPr>
            </w:pPr>
            <w:r w:rsidRPr="002C77F7">
              <w:rPr>
                <w:rFonts w:ascii="Calibri" w:hAnsi="Calibri" w:cs="Calibri"/>
                <w:b/>
                <w:bCs/>
                <w:color w:val="C00000"/>
                <w:sz w:val="16"/>
                <w:szCs w:val="16"/>
              </w:rPr>
              <w:t>High risk</w:t>
            </w:r>
          </w:p>
        </w:tc>
        <w:tc>
          <w:tcPr>
            <w:tcW w:w="1170" w:type="dxa"/>
            <w:tcBorders>
              <w:top w:val="single" w:sz="4" w:space="0" w:color="auto"/>
              <w:left w:val="nil"/>
              <w:right w:val="nil"/>
            </w:tcBorders>
            <w:hideMark/>
          </w:tcPr>
          <w:p w14:paraId="0733FEC5" w14:textId="7D8649B0" w:rsidR="00043C52" w:rsidRDefault="00043C52" w:rsidP="00043C52">
            <w:pPr>
              <w:jc w:val="center"/>
              <w:rPr>
                <w:rFonts w:ascii="Calibri" w:hAnsi="Calibri" w:cs="Calibri"/>
                <w:b/>
                <w:bCs/>
                <w:color w:val="000000"/>
                <w:sz w:val="16"/>
                <w:szCs w:val="16"/>
                <w:lang w:val="en-US"/>
              </w:rPr>
            </w:pPr>
            <w:r w:rsidRPr="001B7B27">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70C17C6B" w14:textId="7C168F40" w:rsidR="00043C52" w:rsidRDefault="00043C52" w:rsidP="00043C52">
            <w:pPr>
              <w:jc w:val="center"/>
              <w:rPr>
                <w:rFonts w:ascii="Calibri" w:hAnsi="Calibri" w:cs="Calibri"/>
                <w:b/>
                <w:bCs/>
                <w:color w:val="000000"/>
                <w:sz w:val="16"/>
                <w:szCs w:val="16"/>
                <w:lang w:val="en-US"/>
              </w:rPr>
            </w:pPr>
            <w:r w:rsidRPr="001B7B27">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49CEFF32" w14:textId="11A4C5B9" w:rsidR="00043C52" w:rsidRDefault="00043C52" w:rsidP="00043C52">
            <w:pPr>
              <w:jc w:val="center"/>
              <w:rPr>
                <w:rFonts w:ascii="Calibri" w:hAnsi="Calibri" w:cs="Calibri"/>
                <w:b/>
                <w:bCs/>
                <w:color w:val="000000"/>
                <w:sz w:val="16"/>
                <w:szCs w:val="16"/>
                <w:lang w:val="en-US"/>
              </w:rPr>
            </w:pPr>
            <w:r w:rsidRPr="001B7B27">
              <w:rPr>
                <w:rFonts w:ascii="Calibri" w:hAnsi="Calibri" w:cs="Calibri"/>
                <w:b/>
                <w:bCs/>
                <w:color w:val="000000"/>
                <w:sz w:val="16"/>
                <w:szCs w:val="16"/>
              </w:rPr>
              <w:t>Low risk</w:t>
            </w:r>
          </w:p>
        </w:tc>
        <w:tc>
          <w:tcPr>
            <w:tcW w:w="1306" w:type="dxa"/>
            <w:tcBorders>
              <w:top w:val="single" w:sz="4" w:space="0" w:color="auto"/>
              <w:left w:val="nil"/>
              <w:right w:val="nil"/>
            </w:tcBorders>
            <w:hideMark/>
          </w:tcPr>
          <w:p w14:paraId="2520F16A" w14:textId="74D606EC" w:rsidR="00043C52" w:rsidRDefault="00043C52" w:rsidP="00043C52">
            <w:pPr>
              <w:jc w:val="center"/>
              <w:rPr>
                <w:rFonts w:ascii="Calibri" w:hAnsi="Calibri" w:cs="Calibri"/>
                <w:b/>
                <w:bCs/>
                <w:color w:val="000000"/>
                <w:sz w:val="16"/>
                <w:szCs w:val="16"/>
                <w:lang w:val="en-US"/>
              </w:rPr>
            </w:pPr>
            <w:r w:rsidRPr="001B7B27">
              <w:rPr>
                <w:rFonts w:ascii="Calibri" w:hAnsi="Calibri" w:cs="Calibri"/>
                <w:b/>
                <w:bCs/>
                <w:color w:val="000000"/>
                <w:sz w:val="16"/>
                <w:szCs w:val="16"/>
              </w:rPr>
              <w:t>Low risk</w:t>
            </w:r>
          </w:p>
        </w:tc>
      </w:tr>
      <w:tr w:rsidR="00043C52" w14:paraId="48CC2E0A" w14:textId="77777777" w:rsidTr="00713E7F">
        <w:trPr>
          <w:trHeight w:val="240"/>
        </w:trPr>
        <w:tc>
          <w:tcPr>
            <w:tcW w:w="1277" w:type="dxa"/>
            <w:tcBorders>
              <w:left w:val="nil"/>
              <w:bottom w:val="single" w:sz="4" w:space="0" w:color="auto"/>
              <w:right w:val="nil"/>
            </w:tcBorders>
          </w:tcPr>
          <w:p w14:paraId="46AC8379" w14:textId="735A51A3" w:rsidR="00043C52" w:rsidRDefault="00043C52" w:rsidP="00043C52">
            <w:pPr>
              <w:rPr>
                <w:rFonts w:ascii="Calibri" w:hAnsi="Calibri" w:cs="Calibri"/>
                <w:color w:val="000000"/>
                <w:sz w:val="16"/>
                <w:szCs w:val="16"/>
                <w:lang w:val="en-US"/>
              </w:rPr>
            </w:pPr>
            <w:proofErr w:type="spellStart"/>
            <w:r>
              <w:rPr>
                <w:rFonts w:ascii="Calibri" w:hAnsi="Calibri" w:cs="Calibri"/>
                <w:color w:val="000000"/>
                <w:sz w:val="16"/>
                <w:szCs w:val="16"/>
                <w:lang w:val="en-US"/>
              </w:rPr>
              <w:t>Gaztañaga</w:t>
            </w:r>
            <w:proofErr w:type="spellEnd"/>
            <w:r>
              <w:rPr>
                <w:rFonts w:ascii="Calibri" w:hAnsi="Calibri" w:cs="Calibri"/>
                <w:color w:val="000000"/>
                <w:sz w:val="16"/>
                <w:szCs w:val="16"/>
                <w:lang w:val="en-US"/>
              </w:rPr>
              <w:t xml:space="preserve"> 2012</w:t>
            </w:r>
          </w:p>
        </w:tc>
        <w:tc>
          <w:tcPr>
            <w:tcW w:w="1169" w:type="dxa"/>
            <w:tcBorders>
              <w:left w:val="nil"/>
              <w:bottom w:val="single" w:sz="4" w:space="0" w:color="auto"/>
              <w:right w:val="nil"/>
            </w:tcBorders>
          </w:tcPr>
          <w:p w14:paraId="633C8F33" w14:textId="50B95981" w:rsidR="00043C52" w:rsidRDefault="00043C52" w:rsidP="00043C52">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left w:val="nil"/>
              <w:bottom w:val="single" w:sz="4" w:space="0" w:color="auto"/>
              <w:right w:val="nil"/>
            </w:tcBorders>
          </w:tcPr>
          <w:p w14:paraId="254E73FE" w14:textId="5DDC8B8F" w:rsidR="00043C52" w:rsidRDefault="00043C52" w:rsidP="00043C52">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left w:val="nil"/>
              <w:bottom w:val="single" w:sz="4" w:space="0" w:color="auto"/>
              <w:right w:val="nil"/>
            </w:tcBorders>
          </w:tcPr>
          <w:p w14:paraId="4DC4904B" w14:textId="48A5F166" w:rsidR="00043C52" w:rsidRDefault="00043C52" w:rsidP="00043C52">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left w:val="nil"/>
              <w:bottom w:val="single" w:sz="4" w:space="0" w:color="auto"/>
              <w:right w:val="nil"/>
            </w:tcBorders>
          </w:tcPr>
          <w:p w14:paraId="08E06FDB" w14:textId="7BB68C5D" w:rsidR="00043C52" w:rsidRDefault="00043C52" w:rsidP="00043C52">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left w:val="nil"/>
              <w:bottom w:val="single" w:sz="4" w:space="0" w:color="auto"/>
              <w:right w:val="nil"/>
            </w:tcBorders>
          </w:tcPr>
          <w:p w14:paraId="252FD989" w14:textId="4D4E0FDE" w:rsidR="00043C52" w:rsidRDefault="00043C52" w:rsidP="00043C52">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left w:val="nil"/>
              <w:bottom w:val="single" w:sz="4" w:space="0" w:color="auto"/>
              <w:right w:val="nil"/>
            </w:tcBorders>
          </w:tcPr>
          <w:p w14:paraId="37B9205B" w14:textId="5677E82D" w:rsidR="00043C52" w:rsidRDefault="00043C52" w:rsidP="00043C52">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69" w:type="dxa"/>
            <w:tcBorders>
              <w:left w:val="nil"/>
              <w:bottom w:val="single" w:sz="4" w:space="0" w:color="auto"/>
              <w:right w:val="nil"/>
            </w:tcBorders>
          </w:tcPr>
          <w:p w14:paraId="541B16C1" w14:textId="603194F0" w:rsidR="00043C52" w:rsidRDefault="00043C52" w:rsidP="00043C52">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left w:val="nil"/>
              <w:bottom w:val="single" w:sz="4" w:space="0" w:color="auto"/>
              <w:right w:val="nil"/>
            </w:tcBorders>
          </w:tcPr>
          <w:p w14:paraId="2E44BFD5" w14:textId="4BACF4ED" w:rsidR="00043C52" w:rsidRDefault="00043C52" w:rsidP="00043C52">
            <w:pPr>
              <w:ind w:right="20"/>
              <w:jc w:val="center"/>
              <w:rPr>
                <w:rFonts w:ascii="Calibri" w:hAnsi="Calibri" w:cs="Calibri"/>
                <w:b/>
                <w:bCs/>
                <w:color w:val="C00000"/>
                <w:sz w:val="16"/>
                <w:szCs w:val="16"/>
                <w:lang w:val="en-US"/>
              </w:rPr>
            </w:pPr>
            <w:r w:rsidRPr="00043C52">
              <w:rPr>
                <w:rFonts w:ascii="Calibri" w:hAnsi="Calibri" w:cs="Calibri"/>
                <w:b/>
                <w:bCs/>
                <w:color w:val="FF0000"/>
                <w:sz w:val="16"/>
                <w:szCs w:val="16"/>
              </w:rPr>
              <w:t>High risk</w:t>
            </w:r>
          </w:p>
        </w:tc>
        <w:tc>
          <w:tcPr>
            <w:tcW w:w="1170" w:type="dxa"/>
            <w:tcBorders>
              <w:left w:val="nil"/>
              <w:bottom w:val="single" w:sz="4" w:space="0" w:color="auto"/>
              <w:right w:val="nil"/>
            </w:tcBorders>
          </w:tcPr>
          <w:p w14:paraId="1E80206E" w14:textId="4FB40F0A" w:rsidR="00043C52" w:rsidRDefault="00043C52" w:rsidP="00043C52">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left w:val="nil"/>
              <w:bottom w:val="single" w:sz="4" w:space="0" w:color="auto"/>
              <w:right w:val="nil"/>
            </w:tcBorders>
          </w:tcPr>
          <w:p w14:paraId="3468CB77" w14:textId="488786E4" w:rsidR="00043C52" w:rsidRDefault="00043C52" w:rsidP="00043C52">
            <w:pPr>
              <w:jc w:val="center"/>
              <w:rPr>
                <w:rFonts w:ascii="Calibri" w:hAnsi="Calibri" w:cs="Calibri"/>
                <w:b/>
                <w:bCs/>
                <w:color w:val="000000"/>
                <w:sz w:val="16"/>
                <w:szCs w:val="16"/>
                <w:lang w:val="en-US"/>
              </w:rPr>
            </w:pPr>
            <w:r>
              <w:rPr>
                <w:rFonts w:ascii="Calibri" w:hAnsi="Calibri" w:cs="Calibri"/>
                <w:b/>
                <w:bCs/>
                <w:color w:val="FF0000"/>
                <w:sz w:val="16"/>
                <w:szCs w:val="16"/>
              </w:rPr>
              <w:t>High risk</w:t>
            </w:r>
          </w:p>
        </w:tc>
        <w:tc>
          <w:tcPr>
            <w:tcW w:w="1170" w:type="dxa"/>
            <w:tcBorders>
              <w:left w:val="nil"/>
              <w:bottom w:val="single" w:sz="4" w:space="0" w:color="auto"/>
              <w:right w:val="nil"/>
            </w:tcBorders>
          </w:tcPr>
          <w:p w14:paraId="33527437" w14:textId="710671D5" w:rsidR="00043C52" w:rsidRDefault="00043C52" w:rsidP="00043C52">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306" w:type="dxa"/>
            <w:tcBorders>
              <w:left w:val="nil"/>
              <w:bottom w:val="single" w:sz="4" w:space="0" w:color="auto"/>
              <w:right w:val="nil"/>
            </w:tcBorders>
          </w:tcPr>
          <w:p w14:paraId="7D412F9A" w14:textId="7231708D" w:rsidR="00043C52" w:rsidRDefault="00043C52" w:rsidP="00043C52">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r>
      <w:tr w:rsidR="00A50AB3" w14:paraId="1B95D0BE" w14:textId="77777777" w:rsidTr="00713E7F">
        <w:trPr>
          <w:trHeight w:val="240"/>
        </w:trPr>
        <w:tc>
          <w:tcPr>
            <w:tcW w:w="15451" w:type="dxa"/>
            <w:gridSpan w:val="13"/>
            <w:tcBorders>
              <w:top w:val="single" w:sz="4" w:space="0" w:color="auto"/>
              <w:left w:val="nil"/>
              <w:bottom w:val="single" w:sz="4" w:space="0" w:color="auto"/>
              <w:right w:val="nil"/>
            </w:tcBorders>
            <w:hideMark/>
          </w:tcPr>
          <w:p w14:paraId="7D936BA7" w14:textId="68161B67" w:rsidR="00A50AB3" w:rsidRDefault="00713E7F">
            <w:pPr>
              <w:rPr>
                <w:rFonts w:ascii="Calibri" w:hAnsi="Calibri" w:cs="Calibri"/>
                <w:b/>
                <w:bCs/>
                <w:color w:val="000000"/>
                <w:sz w:val="16"/>
                <w:szCs w:val="16"/>
                <w:lang w:val="en-US"/>
              </w:rPr>
            </w:pPr>
            <w:r>
              <w:rPr>
                <w:rFonts w:ascii="Calibri" w:hAnsi="Calibri" w:cs="Calibri"/>
                <w:b/>
                <w:bCs/>
                <w:color w:val="000000"/>
                <w:sz w:val="16"/>
                <w:szCs w:val="16"/>
                <w:lang w:val="en-US"/>
              </w:rPr>
              <w:t>Retrospective</w:t>
            </w:r>
            <w:r w:rsidR="00A50AB3">
              <w:rPr>
                <w:rFonts w:ascii="Calibri" w:hAnsi="Calibri" w:cs="Calibri"/>
                <w:b/>
                <w:bCs/>
                <w:color w:val="000000"/>
                <w:sz w:val="16"/>
                <w:szCs w:val="16"/>
                <w:lang w:val="en-US"/>
              </w:rPr>
              <w:t xml:space="preserve"> cohort</w:t>
            </w:r>
          </w:p>
        </w:tc>
      </w:tr>
      <w:tr w:rsidR="00713E7F" w14:paraId="7F04ED68" w14:textId="77777777" w:rsidTr="00713E7F">
        <w:trPr>
          <w:trHeight w:val="137"/>
        </w:trPr>
        <w:tc>
          <w:tcPr>
            <w:tcW w:w="1277" w:type="dxa"/>
            <w:tcBorders>
              <w:top w:val="single" w:sz="4" w:space="0" w:color="auto"/>
              <w:left w:val="nil"/>
              <w:right w:val="nil"/>
            </w:tcBorders>
            <w:hideMark/>
          </w:tcPr>
          <w:p w14:paraId="5D75D23A" w14:textId="6C293A97" w:rsidR="00713E7F" w:rsidRDefault="00713E7F" w:rsidP="00713E7F">
            <w:pPr>
              <w:rPr>
                <w:rFonts w:ascii="Calibri" w:hAnsi="Calibri" w:cs="Calibri"/>
                <w:b/>
                <w:bCs/>
                <w:color w:val="000000"/>
                <w:sz w:val="16"/>
                <w:szCs w:val="16"/>
                <w:lang w:val="en-US"/>
              </w:rPr>
            </w:pPr>
            <w:proofErr w:type="spellStart"/>
            <w:r>
              <w:rPr>
                <w:rFonts w:ascii="Calibri" w:hAnsi="Calibri" w:cs="Calibri"/>
                <w:color w:val="000000"/>
                <w:sz w:val="16"/>
                <w:szCs w:val="16"/>
                <w:lang w:val="en-US"/>
              </w:rPr>
              <w:t>Potharaju</w:t>
            </w:r>
            <w:proofErr w:type="spellEnd"/>
            <w:r>
              <w:rPr>
                <w:rFonts w:ascii="Calibri" w:hAnsi="Calibri" w:cs="Calibri"/>
                <w:color w:val="000000"/>
                <w:sz w:val="16"/>
                <w:szCs w:val="16"/>
                <w:lang w:val="en-US"/>
              </w:rPr>
              <w:t xml:space="preserve"> 2018</w:t>
            </w:r>
          </w:p>
        </w:tc>
        <w:tc>
          <w:tcPr>
            <w:tcW w:w="1169" w:type="dxa"/>
            <w:tcBorders>
              <w:top w:val="single" w:sz="4" w:space="0" w:color="auto"/>
              <w:left w:val="nil"/>
              <w:right w:val="nil"/>
            </w:tcBorders>
            <w:hideMark/>
          </w:tcPr>
          <w:p w14:paraId="0C0EE6AC" w14:textId="63EE65F0"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32B401AB" w14:textId="0F821635"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3EB0C4E7" w14:textId="21DDA311"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1E7EAC35" w14:textId="0B3735E2"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7CA1425E" w14:textId="0032A7C3"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517C1D8A" w14:textId="56130B21"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69" w:type="dxa"/>
            <w:tcBorders>
              <w:top w:val="single" w:sz="4" w:space="0" w:color="auto"/>
              <w:left w:val="nil"/>
              <w:right w:val="nil"/>
            </w:tcBorders>
            <w:hideMark/>
          </w:tcPr>
          <w:p w14:paraId="218607AF" w14:textId="6CC6E4F9"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2DE1822B" w14:textId="4A270EA1" w:rsidR="00713E7F" w:rsidRDefault="00713E7F" w:rsidP="00713E7F">
            <w:pPr>
              <w:jc w:val="center"/>
              <w:rPr>
                <w:rFonts w:ascii="Calibri" w:hAnsi="Calibri" w:cs="Calibri"/>
                <w:b/>
                <w:bCs/>
                <w:color w:val="C00000"/>
                <w:sz w:val="16"/>
                <w:szCs w:val="16"/>
                <w:lang w:val="en-US"/>
              </w:rPr>
            </w:pPr>
            <w:r>
              <w:rPr>
                <w:rFonts w:ascii="Calibri" w:hAnsi="Calibri" w:cs="Calibri"/>
                <w:b/>
                <w:bCs/>
                <w:color w:val="FF0000"/>
                <w:sz w:val="16"/>
                <w:szCs w:val="16"/>
              </w:rPr>
              <w:t>High risk</w:t>
            </w:r>
          </w:p>
        </w:tc>
        <w:tc>
          <w:tcPr>
            <w:tcW w:w="1170" w:type="dxa"/>
            <w:tcBorders>
              <w:top w:val="single" w:sz="4" w:space="0" w:color="auto"/>
              <w:left w:val="nil"/>
              <w:right w:val="nil"/>
            </w:tcBorders>
            <w:hideMark/>
          </w:tcPr>
          <w:p w14:paraId="3F4B6AF0" w14:textId="73036AF0"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4B523F52" w14:textId="26FEBFD7"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right w:val="nil"/>
            </w:tcBorders>
            <w:hideMark/>
          </w:tcPr>
          <w:p w14:paraId="2D54073B" w14:textId="5CC9DD56"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306" w:type="dxa"/>
            <w:tcBorders>
              <w:top w:val="single" w:sz="4" w:space="0" w:color="auto"/>
              <w:left w:val="nil"/>
              <w:right w:val="nil"/>
            </w:tcBorders>
            <w:hideMark/>
          </w:tcPr>
          <w:p w14:paraId="0BA61F21" w14:textId="0BB77E73"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r>
      <w:tr w:rsidR="00713E7F" w14:paraId="4E32171F" w14:textId="77777777" w:rsidTr="00713E7F">
        <w:trPr>
          <w:trHeight w:val="240"/>
        </w:trPr>
        <w:tc>
          <w:tcPr>
            <w:tcW w:w="1277" w:type="dxa"/>
            <w:tcBorders>
              <w:bottom w:val="single" w:sz="4" w:space="0" w:color="auto"/>
            </w:tcBorders>
            <w:hideMark/>
          </w:tcPr>
          <w:p w14:paraId="7B14A65D" w14:textId="2C77129E" w:rsidR="00713E7F" w:rsidRDefault="00713E7F" w:rsidP="00713E7F">
            <w:pPr>
              <w:rPr>
                <w:rFonts w:ascii="Calibri" w:hAnsi="Calibri" w:cs="Calibri"/>
                <w:color w:val="000000"/>
                <w:sz w:val="16"/>
                <w:szCs w:val="16"/>
                <w:lang w:val="en-US"/>
              </w:rPr>
            </w:pPr>
            <w:proofErr w:type="spellStart"/>
            <w:r>
              <w:rPr>
                <w:rFonts w:ascii="Calibri" w:hAnsi="Calibri" w:cs="Calibri"/>
                <w:color w:val="000000"/>
                <w:sz w:val="16"/>
                <w:szCs w:val="16"/>
                <w:lang w:val="en-US"/>
              </w:rPr>
              <w:t>Teudt</w:t>
            </w:r>
            <w:proofErr w:type="spellEnd"/>
            <w:r>
              <w:rPr>
                <w:rFonts w:ascii="Calibri" w:hAnsi="Calibri" w:cs="Calibri"/>
                <w:color w:val="000000"/>
                <w:sz w:val="16"/>
                <w:szCs w:val="16"/>
                <w:lang w:val="en-US"/>
              </w:rPr>
              <w:t xml:space="preserve"> 2014</w:t>
            </w:r>
          </w:p>
        </w:tc>
        <w:tc>
          <w:tcPr>
            <w:tcW w:w="1169" w:type="dxa"/>
            <w:tcBorders>
              <w:bottom w:val="single" w:sz="4" w:space="0" w:color="auto"/>
            </w:tcBorders>
            <w:hideMark/>
          </w:tcPr>
          <w:p w14:paraId="623F3A17" w14:textId="2150AF76"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bottom w:val="single" w:sz="4" w:space="0" w:color="auto"/>
            </w:tcBorders>
            <w:hideMark/>
          </w:tcPr>
          <w:p w14:paraId="2EA46B62" w14:textId="461BB606"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bottom w:val="single" w:sz="4" w:space="0" w:color="auto"/>
            </w:tcBorders>
            <w:hideMark/>
          </w:tcPr>
          <w:p w14:paraId="74B85F12" w14:textId="4441DC46" w:rsidR="00713E7F" w:rsidRDefault="00713E7F" w:rsidP="00713E7F">
            <w:pPr>
              <w:jc w:val="center"/>
              <w:rPr>
                <w:rFonts w:ascii="Calibri" w:hAnsi="Calibri" w:cs="Calibri"/>
                <w:b/>
                <w:bCs/>
                <w:color w:val="C00000"/>
                <w:sz w:val="16"/>
                <w:szCs w:val="16"/>
                <w:lang w:val="en-US"/>
              </w:rPr>
            </w:pPr>
            <w:r>
              <w:rPr>
                <w:rFonts w:ascii="Calibri" w:hAnsi="Calibri" w:cs="Calibri"/>
                <w:b/>
                <w:bCs/>
                <w:color w:val="FF0000"/>
                <w:sz w:val="16"/>
                <w:szCs w:val="16"/>
              </w:rPr>
              <w:t>High risk</w:t>
            </w:r>
          </w:p>
        </w:tc>
        <w:tc>
          <w:tcPr>
            <w:tcW w:w="1170" w:type="dxa"/>
            <w:tcBorders>
              <w:bottom w:val="single" w:sz="4" w:space="0" w:color="auto"/>
            </w:tcBorders>
            <w:hideMark/>
          </w:tcPr>
          <w:p w14:paraId="602438E3" w14:textId="4466E232"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bottom w:val="single" w:sz="4" w:space="0" w:color="auto"/>
            </w:tcBorders>
            <w:hideMark/>
          </w:tcPr>
          <w:p w14:paraId="68A74656" w14:textId="3E4D8018" w:rsidR="00713E7F" w:rsidRDefault="00713E7F" w:rsidP="00713E7F">
            <w:pPr>
              <w:jc w:val="center"/>
              <w:rPr>
                <w:rFonts w:ascii="Calibri" w:hAnsi="Calibri" w:cs="Calibri"/>
                <w:b/>
                <w:bCs/>
                <w:color w:val="C00000"/>
                <w:sz w:val="16"/>
                <w:szCs w:val="16"/>
                <w:lang w:val="en-US"/>
              </w:rPr>
            </w:pPr>
            <w:r>
              <w:rPr>
                <w:rFonts w:ascii="Calibri" w:hAnsi="Calibri" w:cs="Calibri"/>
                <w:b/>
                <w:bCs/>
                <w:color w:val="FF0000"/>
                <w:sz w:val="16"/>
                <w:szCs w:val="16"/>
              </w:rPr>
              <w:t>High risk</w:t>
            </w:r>
          </w:p>
        </w:tc>
        <w:tc>
          <w:tcPr>
            <w:tcW w:w="1170" w:type="dxa"/>
            <w:tcBorders>
              <w:bottom w:val="single" w:sz="4" w:space="0" w:color="auto"/>
            </w:tcBorders>
            <w:hideMark/>
          </w:tcPr>
          <w:p w14:paraId="74424454" w14:textId="058BF0AA"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69" w:type="dxa"/>
            <w:tcBorders>
              <w:bottom w:val="single" w:sz="4" w:space="0" w:color="auto"/>
            </w:tcBorders>
            <w:hideMark/>
          </w:tcPr>
          <w:p w14:paraId="2D444AB8" w14:textId="5F2A2787" w:rsidR="00713E7F" w:rsidRDefault="00713E7F" w:rsidP="00713E7F">
            <w:pPr>
              <w:jc w:val="center"/>
              <w:rPr>
                <w:rFonts w:ascii="Calibri" w:hAnsi="Calibri" w:cs="Calibri"/>
                <w:b/>
                <w:bCs/>
                <w:color w:val="000000"/>
                <w:sz w:val="16"/>
                <w:szCs w:val="16"/>
                <w:lang w:val="en-US"/>
              </w:rPr>
            </w:pPr>
            <w:r>
              <w:rPr>
                <w:rFonts w:ascii="Calibri" w:hAnsi="Calibri" w:cs="Calibri"/>
                <w:b/>
                <w:bCs/>
                <w:color w:val="C65911"/>
                <w:sz w:val="16"/>
                <w:szCs w:val="16"/>
              </w:rPr>
              <w:t>Uncertain risk</w:t>
            </w:r>
          </w:p>
        </w:tc>
        <w:tc>
          <w:tcPr>
            <w:tcW w:w="1170" w:type="dxa"/>
            <w:tcBorders>
              <w:bottom w:val="single" w:sz="4" w:space="0" w:color="auto"/>
            </w:tcBorders>
            <w:hideMark/>
          </w:tcPr>
          <w:p w14:paraId="2FF34698" w14:textId="4E92F855" w:rsidR="00713E7F" w:rsidRDefault="00713E7F" w:rsidP="00713E7F">
            <w:pPr>
              <w:jc w:val="center"/>
              <w:rPr>
                <w:rFonts w:ascii="Calibri" w:hAnsi="Calibri" w:cs="Calibri"/>
                <w:b/>
                <w:bCs/>
                <w:color w:val="000000"/>
                <w:sz w:val="16"/>
                <w:szCs w:val="16"/>
                <w:lang w:val="en-US"/>
              </w:rPr>
            </w:pPr>
            <w:r>
              <w:rPr>
                <w:rFonts w:ascii="Calibri" w:hAnsi="Calibri" w:cs="Calibri"/>
                <w:b/>
                <w:bCs/>
                <w:color w:val="FF0000"/>
                <w:sz w:val="16"/>
                <w:szCs w:val="16"/>
              </w:rPr>
              <w:t>High risk</w:t>
            </w:r>
          </w:p>
        </w:tc>
        <w:tc>
          <w:tcPr>
            <w:tcW w:w="1170" w:type="dxa"/>
            <w:tcBorders>
              <w:bottom w:val="single" w:sz="4" w:space="0" w:color="auto"/>
            </w:tcBorders>
            <w:hideMark/>
          </w:tcPr>
          <w:p w14:paraId="22E7EF37" w14:textId="7DB5722A"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bottom w:val="single" w:sz="4" w:space="0" w:color="auto"/>
            </w:tcBorders>
            <w:hideMark/>
          </w:tcPr>
          <w:p w14:paraId="36D0DB16" w14:textId="01E0E447"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c>
          <w:tcPr>
            <w:tcW w:w="1170" w:type="dxa"/>
            <w:tcBorders>
              <w:bottom w:val="single" w:sz="4" w:space="0" w:color="auto"/>
            </w:tcBorders>
            <w:hideMark/>
          </w:tcPr>
          <w:p w14:paraId="0571A720" w14:textId="07266A76" w:rsidR="00713E7F" w:rsidRDefault="00713E7F" w:rsidP="00713E7F">
            <w:pPr>
              <w:jc w:val="center"/>
              <w:rPr>
                <w:rFonts w:ascii="Calibri" w:hAnsi="Calibri" w:cs="Calibri"/>
                <w:b/>
                <w:bCs/>
                <w:color w:val="C00000"/>
                <w:sz w:val="16"/>
                <w:szCs w:val="16"/>
                <w:lang w:val="en-US"/>
              </w:rPr>
            </w:pPr>
            <w:r>
              <w:rPr>
                <w:rFonts w:ascii="Calibri" w:hAnsi="Calibri" w:cs="Calibri"/>
                <w:b/>
                <w:bCs/>
                <w:color w:val="FF0000"/>
                <w:sz w:val="16"/>
                <w:szCs w:val="16"/>
              </w:rPr>
              <w:t>High risk</w:t>
            </w:r>
          </w:p>
        </w:tc>
        <w:tc>
          <w:tcPr>
            <w:tcW w:w="1306" w:type="dxa"/>
            <w:tcBorders>
              <w:bottom w:val="single" w:sz="4" w:space="0" w:color="auto"/>
            </w:tcBorders>
            <w:hideMark/>
          </w:tcPr>
          <w:p w14:paraId="742518B7" w14:textId="0634DFFE" w:rsidR="00713E7F" w:rsidRDefault="00713E7F" w:rsidP="00713E7F">
            <w:pPr>
              <w:jc w:val="center"/>
              <w:rPr>
                <w:rFonts w:ascii="Calibri" w:hAnsi="Calibri" w:cs="Calibri"/>
                <w:b/>
                <w:bCs/>
                <w:color w:val="000000"/>
                <w:sz w:val="16"/>
                <w:szCs w:val="16"/>
                <w:lang w:val="en-US"/>
              </w:rPr>
            </w:pPr>
            <w:r>
              <w:rPr>
                <w:rFonts w:ascii="Calibri" w:hAnsi="Calibri" w:cs="Calibri"/>
                <w:b/>
                <w:bCs/>
                <w:color w:val="000000"/>
                <w:sz w:val="16"/>
                <w:szCs w:val="16"/>
              </w:rPr>
              <w:t>Low risk</w:t>
            </w:r>
          </w:p>
        </w:tc>
      </w:tr>
      <w:tr w:rsidR="00713E7F" w14:paraId="2115A575" w14:textId="77777777" w:rsidTr="00713E7F">
        <w:trPr>
          <w:trHeight w:val="240"/>
        </w:trPr>
        <w:tc>
          <w:tcPr>
            <w:tcW w:w="15451" w:type="dxa"/>
            <w:gridSpan w:val="13"/>
            <w:tcBorders>
              <w:top w:val="single" w:sz="4" w:space="0" w:color="auto"/>
            </w:tcBorders>
            <w:hideMark/>
          </w:tcPr>
          <w:p w14:paraId="5492DC2E" w14:textId="32341824" w:rsidR="00713E7F" w:rsidRDefault="00713E7F">
            <w:pPr>
              <w:jc w:val="center"/>
              <w:rPr>
                <w:rFonts w:ascii="Calibri" w:hAnsi="Calibri" w:cs="Calibri"/>
                <w:b/>
                <w:bCs/>
                <w:color w:val="000000"/>
                <w:sz w:val="16"/>
                <w:szCs w:val="16"/>
                <w:lang w:val="en-US"/>
              </w:rPr>
            </w:pPr>
            <w:r>
              <w:rPr>
                <w:rFonts w:ascii="Calibri" w:hAnsi="Calibri" w:cs="Calibri"/>
                <w:b/>
                <w:bCs/>
                <w:color w:val="000000"/>
                <w:sz w:val="16"/>
                <w:szCs w:val="16"/>
                <w:lang w:val="en-US"/>
              </w:rPr>
              <w:t xml:space="preserve">Peri-operative </w:t>
            </w:r>
            <w:r w:rsidR="00691248">
              <w:rPr>
                <w:rFonts w:ascii="Calibri" w:hAnsi="Calibri" w:cs="Calibri"/>
                <w:b/>
                <w:bCs/>
                <w:color w:val="000000"/>
                <w:sz w:val="16"/>
                <w:szCs w:val="16"/>
                <w:lang w:val="en-US"/>
              </w:rPr>
              <w:t>interventional radiotherapy</w:t>
            </w:r>
            <w:r>
              <w:rPr>
                <w:rFonts w:ascii="Calibri" w:hAnsi="Calibri" w:cs="Calibri"/>
                <w:b/>
                <w:bCs/>
                <w:color w:val="000000"/>
                <w:sz w:val="16"/>
                <w:szCs w:val="16"/>
                <w:lang w:val="en-US"/>
              </w:rPr>
              <w:t xml:space="preserve"> in the re-irradiation setting</w:t>
            </w:r>
          </w:p>
        </w:tc>
      </w:tr>
      <w:tr w:rsidR="00713E7F" w14:paraId="04406E05" w14:textId="77777777" w:rsidTr="00903862">
        <w:trPr>
          <w:trHeight w:val="240"/>
        </w:trPr>
        <w:tc>
          <w:tcPr>
            <w:tcW w:w="15451" w:type="dxa"/>
            <w:gridSpan w:val="13"/>
            <w:tcBorders>
              <w:top w:val="single" w:sz="4" w:space="0" w:color="auto"/>
              <w:left w:val="nil"/>
              <w:bottom w:val="single" w:sz="4" w:space="0" w:color="auto"/>
              <w:right w:val="nil"/>
            </w:tcBorders>
            <w:hideMark/>
          </w:tcPr>
          <w:p w14:paraId="56793DB0" w14:textId="00B46ABE" w:rsidR="00713E7F" w:rsidRPr="000D1A5B" w:rsidRDefault="00713E7F" w:rsidP="00713E7F">
            <w:pPr>
              <w:rPr>
                <w:rFonts w:ascii="Calibri" w:hAnsi="Calibri" w:cs="Calibri"/>
                <w:b/>
                <w:bCs/>
                <w:sz w:val="16"/>
                <w:szCs w:val="16"/>
                <w:lang w:val="en-US"/>
              </w:rPr>
            </w:pPr>
            <w:r w:rsidRPr="000D1A5B">
              <w:rPr>
                <w:rFonts w:ascii="Calibri" w:hAnsi="Calibri" w:cs="Calibri"/>
                <w:b/>
                <w:bCs/>
                <w:sz w:val="16"/>
                <w:szCs w:val="16"/>
                <w:lang w:val="en-US"/>
              </w:rPr>
              <w:t>Non-controlled clinical trial</w:t>
            </w:r>
          </w:p>
        </w:tc>
      </w:tr>
      <w:tr w:rsidR="00043C52" w14:paraId="5A5033FA" w14:textId="77777777" w:rsidTr="00903862">
        <w:trPr>
          <w:trHeight w:val="73"/>
        </w:trPr>
        <w:tc>
          <w:tcPr>
            <w:tcW w:w="1277" w:type="dxa"/>
            <w:tcBorders>
              <w:top w:val="single" w:sz="4" w:space="0" w:color="auto"/>
              <w:left w:val="nil"/>
              <w:bottom w:val="nil"/>
              <w:right w:val="nil"/>
            </w:tcBorders>
            <w:hideMark/>
          </w:tcPr>
          <w:p w14:paraId="36C96A91" w14:textId="04EF8764" w:rsidR="00043C52" w:rsidRPr="000D1A5B" w:rsidRDefault="00043C52" w:rsidP="00043C52">
            <w:pPr>
              <w:rPr>
                <w:rFonts w:ascii="Calibri" w:hAnsi="Calibri" w:cs="Calibri"/>
                <w:b/>
                <w:bCs/>
                <w:sz w:val="16"/>
                <w:szCs w:val="16"/>
                <w:lang w:val="en-US"/>
              </w:rPr>
            </w:pPr>
            <w:r w:rsidRPr="000D1A5B">
              <w:rPr>
                <w:rFonts w:ascii="Calibri" w:hAnsi="Calibri" w:cs="Calibri"/>
                <w:sz w:val="16"/>
                <w:szCs w:val="16"/>
                <w:lang w:val="en-US"/>
              </w:rPr>
              <w:t>Martínez-Fernández 2017</w:t>
            </w:r>
          </w:p>
        </w:tc>
        <w:tc>
          <w:tcPr>
            <w:tcW w:w="1169" w:type="dxa"/>
            <w:tcBorders>
              <w:top w:val="single" w:sz="4" w:space="0" w:color="auto"/>
              <w:left w:val="nil"/>
              <w:bottom w:val="nil"/>
              <w:right w:val="nil"/>
            </w:tcBorders>
            <w:hideMark/>
          </w:tcPr>
          <w:p w14:paraId="680A11B8" w14:textId="6D4D21C4" w:rsidR="00043C52" w:rsidRPr="000D1A5B" w:rsidRDefault="00043C52" w:rsidP="00043C52">
            <w:pPr>
              <w:jc w:val="center"/>
              <w:rPr>
                <w:rFonts w:ascii="Calibri" w:hAnsi="Calibri" w:cs="Calibri"/>
                <w:b/>
                <w:bCs/>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65569FE6" w14:textId="21F1DCB6" w:rsidR="00043C52" w:rsidRPr="000D1A5B" w:rsidRDefault="00043C52" w:rsidP="00043C52">
            <w:pPr>
              <w:jc w:val="center"/>
              <w:rPr>
                <w:rFonts w:ascii="Calibri" w:hAnsi="Calibri" w:cs="Calibri"/>
                <w:b/>
                <w:bCs/>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47413583" w14:textId="436958F3" w:rsidR="00043C52" w:rsidRPr="000D1A5B" w:rsidRDefault="00043C52" w:rsidP="00043C52">
            <w:pPr>
              <w:jc w:val="center"/>
              <w:rPr>
                <w:rFonts w:ascii="Calibri" w:hAnsi="Calibri" w:cs="Calibri"/>
                <w:b/>
                <w:bCs/>
                <w:sz w:val="16"/>
                <w:szCs w:val="16"/>
                <w:lang w:val="en-US"/>
              </w:rPr>
            </w:pPr>
            <w:r>
              <w:rPr>
                <w:rFonts w:ascii="Calibri" w:hAnsi="Calibri" w:cs="Calibri"/>
                <w:b/>
                <w:bCs/>
                <w:color w:val="FF0000"/>
                <w:sz w:val="16"/>
                <w:szCs w:val="16"/>
              </w:rPr>
              <w:t>High risk</w:t>
            </w:r>
          </w:p>
        </w:tc>
        <w:tc>
          <w:tcPr>
            <w:tcW w:w="1170" w:type="dxa"/>
            <w:tcBorders>
              <w:top w:val="single" w:sz="4" w:space="0" w:color="auto"/>
              <w:left w:val="nil"/>
              <w:bottom w:val="nil"/>
              <w:right w:val="nil"/>
            </w:tcBorders>
            <w:hideMark/>
          </w:tcPr>
          <w:p w14:paraId="2BAEBF34" w14:textId="27418222" w:rsidR="00043C52" w:rsidRPr="000D1A5B" w:rsidRDefault="00043C52" w:rsidP="00043C52">
            <w:pPr>
              <w:jc w:val="center"/>
              <w:rPr>
                <w:rFonts w:ascii="Calibri" w:hAnsi="Calibri" w:cs="Calibri"/>
                <w:b/>
                <w:bCs/>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69E9F4D8" w14:textId="45AC5F78" w:rsidR="00043C52" w:rsidRPr="000D1A5B" w:rsidRDefault="00043C52" w:rsidP="00043C52">
            <w:pPr>
              <w:jc w:val="center"/>
              <w:rPr>
                <w:rFonts w:ascii="Calibri" w:hAnsi="Calibri" w:cs="Calibri"/>
                <w:b/>
                <w:bCs/>
                <w:sz w:val="16"/>
                <w:szCs w:val="16"/>
                <w:lang w:val="en-US"/>
              </w:rPr>
            </w:pPr>
            <w:r>
              <w:rPr>
                <w:rFonts w:ascii="Calibri" w:hAnsi="Calibri" w:cs="Calibri"/>
                <w:b/>
                <w:bCs/>
                <w:color w:val="FF0000"/>
                <w:sz w:val="16"/>
                <w:szCs w:val="16"/>
              </w:rPr>
              <w:t>High risk</w:t>
            </w:r>
          </w:p>
        </w:tc>
        <w:tc>
          <w:tcPr>
            <w:tcW w:w="1170" w:type="dxa"/>
            <w:tcBorders>
              <w:top w:val="single" w:sz="4" w:space="0" w:color="auto"/>
              <w:left w:val="nil"/>
              <w:bottom w:val="nil"/>
              <w:right w:val="nil"/>
            </w:tcBorders>
            <w:hideMark/>
          </w:tcPr>
          <w:p w14:paraId="4F630332" w14:textId="5DFE67CD" w:rsidR="00043C52" w:rsidRPr="000D1A5B" w:rsidRDefault="00043C52" w:rsidP="00043C52">
            <w:pPr>
              <w:jc w:val="center"/>
              <w:rPr>
                <w:rFonts w:ascii="Calibri" w:hAnsi="Calibri" w:cs="Calibri"/>
                <w:b/>
                <w:bCs/>
                <w:sz w:val="16"/>
                <w:szCs w:val="16"/>
                <w:lang w:val="en-US"/>
              </w:rPr>
            </w:pPr>
            <w:r>
              <w:rPr>
                <w:rFonts w:ascii="Calibri" w:hAnsi="Calibri" w:cs="Calibri"/>
                <w:b/>
                <w:bCs/>
                <w:color w:val="000000"/>
                <w:sz w:val="16"/>
                <w:szCs w:val="16"/>
              </w:rPr>
              <w:t>Low risk</w:t>
            </w:r>
          </w:p>
        </w:tc>
        <w:tc>
          <w:tcPr>
            <w:tcW w:w="1169" w:type="dxa"/>
            <w:tcBorders>
              <w:top w:val="single" w:sz="4" w:space="0" w:color="auto"/>
              <w:left w:val="nil"/>
              <w:bottom w:val="nil"/>
              <w:right w:val="nil"/>
            </w:tcBorders>
            <w:hideMark/>
          </w:tcPr>
          <w:p w14:paraId="247E7141" w14:textId="69DE5DA3" w:rsidR="00043C52" w:rsidRPr="000D1A5B" w:rsidRDefault="00043C52" w:rsidP="00043C52">
            <w:pPr>
              <w:jc w:val="center"/>
              <w:rPr>
                <w:rFonts w:ascii="Calibri" w:hAnsi="Calibri" w:cs="Calibri"/>
                <w:b/>
                <w:bCs/>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21CB8728" w14:textId="2E4F7028" w:rsidR="00043C52" w:rsidRPr="000D1A5B" w:rsidRDefault="00043C52" w:rsidP="00043C52">
            <w:pPr>
              <w:jc w:val="center"/>
              <w:rPr>
                <w:rFonts w:ascii="Calibri" w:hAnsi="Calibri" w:cs="Calibri"/>
                <w:b/>
                <w:bCs/>
                <w:sz w:val="16"/>
                <w:szCs w:val="16"/>
                <w:lang w:val="en-US"/>
              </w:rPr>
            </w:pPr>
            <w:r>
              <w:rPr>
                <w:rFonts w:ascii="Calibri" w:hAnsi="Calibri" w:cs="Calibri"/>
                <w:b/>
                <w:bCs/>
                <w:color w:val="FF0000"/>
                <w:sz w:val="16"/>
                <w:szCs w:val="16"/>
              </w:rPr>
              <w:t>High risk</w:t>
            </w:r>
          </w:p>
        </w:tc>
        <w:tc>
          <w:tcPr>
            <w:tcW w:w="1170" w:type="dxa"/>
            <w:tcBorders>
              <w:top w:val="single" w:sz="4" w:space="0" w:color="auto"/>
              <w:left w:val="nil"/>
              <w:bottom w:val="nil"/>
              <w:right w:val="nil"/>
            </w:tcBorders>
            <w:hideMark/>
          </w:tcPr>
          <w:p w14:paraId="180CDA62" w14:textId="4A5B2C80" w:rsidR="00043C52" w:rsidRPr="000D1A5B" w:rsidRDefault="00043C52" w:rsidP="00043C52">
            <w:pPr>
              <w:jc w:val="center"/>
              <w:rPr>
                <w:rFonts w:ascii="Calibri" w:hAnsi="Calibri" w:cs="Calibri"/>
                <w:b/>
                <w:bCs/>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402294B4" w14:textId="3C99884B" w:rsidR="00043C52" w:rsidRPr="000D1A5B" w:rsidRDefault="00043C52" w:rsidP="00043C52">
            <w:pPr>
              <w:jc w:val="center"/>
              <w:rPr>
                <w:rFonts w:ascii="Calibri" w:hAnsi="Calibri" w:cs="Calibri"/>
                <w:b/>
                <w:bCs/>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09AF9296" w14:textId="6D42343F" w:rsidR="00043C52" w:rsidRPr="000D1A5B" w:rsidRDefault="00043C52" w:rsidP="00043C52">
            <w:pPr>
              <w:jc w:val="center"/>
              <w:rPr>
                <w:rFonts w:ascii="Calibri" w:hAnsi="Calibri" w:cs="Calibri"/>
                <w:b/>
                <w:bCs/>
                <w:sz w:val="16"/>
                <w:szCs w:val="16"/>
                <w:lang w:val="en-US"/>
              </w:rPr>
            </w:pPr>
            <w:r>
              <w:rPr>
                <w:rFonts w:ascii="Calibri" w:hAnsi="Calibri" w:cs="Calibri"/>
                <w:b/>
                <w:bCs/>
                <w:color w:val="FF0000"/>
                <w:sz w:val="16"/>
                <w:szCs w:val="16"/>
              </w:rPr>
              <w:t>High risk</w:t>
            </w:r>
          </w:p>
        </w:tc>
        <w:tc>
          <w:tcPr>
            <w:tcW w:w="1306" w:type="dxa"/>
            <w:tcBorders>
              <w:top w:val="single" w:sz="4" w:space="0" w:color="auto"/>
              <w:left w:val="nil"/>
              <w:bottom w:val="nil"/>
              <w:right w:val="nil"/>
            </w:tcBorders>
            <w:hideMark/>
          </w:tcPr>
          <w:p w14:paraId="2F974C20" w14:textId="3A7EFA92" w:rsidR="00043C52" w:rsidRPr="000D1A5B" w:rsidRDefault="00043C52" w:rsidP="00043C52">
            <w:pPr>
              <w:jc w:val="center"/>
              <w:rPr>
                <w:rFonts w:ascii="Calibri" w:hAnsi="Calibri" w:cs="Calibri"/>
                <w:b/>
                <w:bCs/>
                <w:sz w:val="16"/>
                <w:szCs w:val="16"/>
                <w:lang w:val="en-US"/>
              </w:rPr>
            </w:pPr>
            <w:r>
              <w:rPr>
                <w:rFonts w:ascii="Calibri" w:hAnsi="Calibri" w:cs="Calibri"/>
                <w:b/>
                <w:bCs/>
                <w:color w:val="000000"/>
                <w:sz w:val="16"/>
                <w:szCs w:val="16"/>
              </w:rPr>
              <w:t>Low risk</w:t>
            </w:r>
          </w:p>
        </w:tc>
      </w:tr>
      <w:tr w:rsidR="00713E7F" w14:paraId="4ADED9BA" w14:textId="77777777" w:rsidTr="00903862">
        <w:trPr>
          <w:trHeight w:val="220"/>
        </w:trPr>
        <w:tc>
          <w:tcPr>
            <w:tcW w:w="15451" w:type="dxa"/>
            <w:gridSpan w:val="13"/>
            <w:tcBorders>
              <w:top w:val="single" w:sz="4" w:space="0" w:color="auto"/>
              <w:left w:val="nil"/>
              <w:bottom w:val="single" w:sz="4" w:space="0" w:color="auto"/>
              <w:right w:val="nil"/>
            </w:tcBorders>
            <w:hideMark/>
          </w:tcPr>
          <w:p w14:paraId="45403284" w14:textId="3E103CC8" w:rsidR="00713E7F" w:rsidRPr="000D1A5B" w:rsidRDefault="00713E7F" w:rsidP="00713E7F">
            <w:pPr>
              <w:rPr>
                <w:rFonts w:ascii="Calibri" w:hAnsi="Calibri" w:cs="Calibri"/>
                <w:b/>
                <w:bCs/>
                <w:sz w:val="16"/>
                <w:szCs w:val="16"/>
                <w:lang w:val="en-US"/>
              </w:rPr>
            </w:pPr>
            <w:r w:rsidRPr="000D1A5B">
              <w:rPr>
                <w:rFonts w:ascii="Calibri" w:hAnsi="Calibri" w:cs="Calibri"/>
                <w:b/>
                <w:bCs/>
                <w:sz w:val="16"/>
                <w:szCs w:val="16"/>
                <w:lang w:val="en-US"/>
              </w:rPr>
              <w:t>Retrospective cohort</w:t>
            </w:r>
          </w:p>
        </w:tc>
      </w:tr>
      <w:tr w:rsidR="000D1A5B" w14:paraId="1107AFF8" w14:textId="77777777" w:rsidTr="00903862">
        <w:trPr>
          <w:trHeight w:val="240"/>
        </w:trPr>
        <w:tc>
          <w:tcPr>
            <w:tcW w:w="1277" w:type="dxa"/>
            <w:tcBorders>
              <w:top w:val="single" w:sz="4" w:space="0" w:color="auto"/>
              <w:left w:val="nil"/>
              <w:bottom w:val="nil"/>
              <w:right w:val="nil"/>
            </w:tcBorders>
            <w:hideMark/>
          </w:tcPr>
          <w:p w14:paraId="6253A45D" w14:textId="71E36B53" w:rsidR="000D1A5B" w:rsidRPr="000D1A5B" w:rsidRDefault="000D1A5B" w:rsidP="000D1A5B">
            <w:pPr>
              <w:rPr>
                <w:rFonts w:ascii="Calibri" w:hAnsi="Calibri" w:cs="Calibri"/>
                <w:color w:val="833C0B" w:themeColor="accent2" w:themeShade="80"/>
                <w:sz w:val="16"/>
                <w:szCs w:val="16"/>
                <w:lang w:val="en-US"/>
              </w:rPr>
            </w:pPr>
            <w:proofErr w:type="spellStart"/>
            <w:r w:rsidRPr="000D1A5B">
              <w:rPr>
                <w:rFonts w:ascii="Calibri" w:hAnsi="Calibri" w:cs="Calibri"/>
                <w:sz w:val="16"/>
                <w:szCs w:val="16"/>
                <w:lang w:val="en-US"/>
              </w:rPr>
              <w:t>Bussu</w:t>
            </w:r>
            <w:proofErr w:type="spellEnd"/>
            <w:r w:rsidRPr="000D1A5B">
              <w:rPr>
                <w:rFonts w:ascii="Calibri" w:hAnsi="Calibri" w:cs="Calibri"/>
                <w:sz w:val="16"/>
                <w:szCs w:val="16"/>
                <w:lang w:val="en-US"/>
              </w:rPr>
              <w:t xml:space="preserve"> 2024</w:t>
            </w:r>
          </w:p>
        </w:tc>
        <w:tc>
          <w:tcPr>
            <w:tcW w:w="1169" w:type="dxa"/>
            <w:tcBorders>
              <w:top w:val="single" w:sz="4" w:space="0" w:color="auto"/>
              <w:left w:val="nil"/>
              <w:bottom w:val="nil"/>
              <w:right w:val="nil"/>
            </w:tcBorders>
            <w:hideMark/>
          </w:tcPr>
          <w:p w14:paraId="3DD55DED" w14:textId="59643B23"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3D811448" w14:textId="55146DE5"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1BF3D710" w14:textId="2EBC4819"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748E5089" w14:textId="5111B76C"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12B47BCD" w14:textId="0BAFF3A4"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tcBorders>
              <w:top w:val="single" w:sz="4" w:space="0" w:color="auto"/>
              <w:left w:val="nil"/>
              <w:bottom w:val="nil"/>
              <w:right w:val="nil"/>
            </w:tcBorders>
            <w:hideMark/>
          </w:tcPr>
          <w:p w14:paraId="30FE2DD5" w14:textId="628DAB4A"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69" w:type="dxa"/>
            <w:tcBorders>
              <w:top w:val="single" w:sz="4" w:space="0" w:color="auto"/>
              <w:left w:val="nil"/>
              <w:bottom w:val="nil"/>
              <w:right w:val="nil"/>
            </w:tcBorders>
            <w:hideMark/>
          </w:tcPr>
          <w:p w14:paraId="22310D5C" w14:textId="0EDAF389"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tcBorders>
              <w:top w:val="single" w:sz="4" w:space="0" w:color="auto"/>
              <w:left w:val="nil"/>
              <w:bottom w:val="nil"/>
              <w:right w:val="nil"/>
            </w:tcBorders>
            <w:hideMark/>
          </w:tcPr>
          <w:p w14:paraId="4EDA591D" w14:textId="0384E22E"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tcBorders>
              <w:top w:val="single" w:sz="4" w:space="0" w:color="auto"/>
              <w:left w:val="nil"/>
              <w:bottom w:val="nil"/>
              <w:right w:val="nil"/>
            </w:tcBorders>
            <w:hideMark/>
          </w:tcPr>
          <w:p w14:paraId="29998D72" w14:textId="565EF3B1"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02D41513" w14:textId="0816ABE8"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tcBorders>
              <w:top w:val="single" w:sz="4" w:space="0" w:color="auto"/>
              <w:left w:val="nil"/>
              <w:bottom w:val="nil"/>
              <w:right w:val="nil"/>
            </w:tcBorders>
            <w:hideMark/>
          </w:tcPr>
          <w:p w14:paraId="1D393865" w14:textId="3337157A" w:rsidR="000D1A5B" w:rsidRPr="00534F53" w:rsidRDefault="000D1A5B" w:rsidP="000D1A5B">
            <w:pPr>
              <w:ind w:right="8"/>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306" w:type="dxa"/>
            <w:tcBorders>
              <w:top w:val="single" w:sz="4" w:space="0" w:color="auto"/>
              <w:left w:val="nil"/>
              <w:bottom w:val="nil"/>
              <w:right w:val="nil"/>
            </w:tcBorders>
            <w:hideMark/>
          </w:tcPr>
          <w:p w14:paraId="373540E7" w14:textId="1D157143"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r>
      <w:tr w:rsidR="000D1A5B" w14:paraId="0984B755" w14:textId="77777777" w:rsidTr="00903862">
        <w:trPr>
          <w:trHeight w:val="240"/>
        </w:trPr>
        <w:tc>
          <w:tcPr>
            <w:tcW w:w="1277" w:type="dxa"/>
            <w:hideMark/>
          </w:tcPr>
          <w:p w14:paraId="6EF66C99" w14:textId="701E6F89" w:rsidR="000D1A5B" w:rsidRPr="00534F53" w:rsidRDefault="000D1A5B" w:rsidP="000D1A5B">
            <w:pPr>
              <w:rPr>
                <w:rFonts w:ascii="Calibri" w:hAnsi="Calibri" w:cs="Calibri"/>
                <w:color w:val="833C0B" w:themeColor="accent2" w:themeShade="80"/>
                <w:sz w:val="16"/>
                <w:szCs w:val="16"/>
                <w:lang w:val="en-US"/>
              </w:rPr>
            </w:pPr>
            <w:r w:rsidRPr="000D1A5B">
              <w:rPr>
                <w:rFonts w:ascii="Calibri" w:hAnsi="Calibri" w:cs="Calibri"/>
                <w:sz w:val="16"/>
                <w:szCs w:val="16"/>
                <w:lang w:val="en-US"/>
              </w:rPr>
              <w:t>Soror 2023</w:t>
            </w:r>
          </w:p>
        </w:tc>
        <w:tc>
          <w:tcPr>
            <w:tcW w:w="1169" w:type="dxa"/>
            <w:hideMark/>
          </w:tcPr>
          <w:p w14:paraId="7EB10990" w14:textId="6B404C3A"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hideMark/>
          </w:tcPr>
          <w:p w14:paraId="68C8CD60" w14:textId="06F9A041"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hideMark/>
          </w:tcPr>
          <w:p w14:paraId="7A7BC3A6" w14:textId="6B5599F3"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hideMark/>
          </w:tcPr>
          <w:p w14:paraId="790DA718" w14:textId="6D866B0E"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hideMark/>
          </w:tcPr>
          <w:p w14:paraId="1BD04439" w14:textId="3DA222E7"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hideMark/>
          </w:tcPr>
          <w:p w14:paraId="1FD605F7" w14:textId="7D7E6560"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69" w:type="dxa"/>
            <w:hideMark/>
          </w:tcPr>
          <w:p w14:paraId="70AFA49A" w14:textId="39BC66D7"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hideMark/>
          </w:tcPr>
          <w:p w14:paraId="1D4A99EA" w14:textId="32EE45F7"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hideMark/>
          </w:tcPr>
          <w:p w14:paraId="51FF641F" w14:textId="41500886"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hideMark/>
          </w:tcPr>
          <w:p w14:paraId="4DB0E95B" w14:textId="318AE293"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hideMark/>
          </w:tcPr>
          <w:p w14:paraId="16F517B6" w14:textId="2C89BF30" w:rsidR="000D1A5B" w:rsidRPr="00534F53" w:rsidRDefault="000D1A5B" w:rsidP="000D1A5B">
            <w:pPr>
              <w:ind w:right="8"/>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306" w:type="dxa"/>
            <w:hideMark/>
          </w:tcPr>
          <w:p w14:paraId="539B57D0" w14:textId="1168A24D"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r>
      <w:tr w:rsidR="000D1A5B" w14:paraId="32A052A8" w14:textId="77777777" w:rsidTr="00903862">
        <w:trPr>
          <w:trHeight w:val="240"/>
        </w:trPr>
        <w:tc>
          <w:tcPr>
            <w:tcW w:w="1277" w:type="dxa"/>
            <w:hideMark/>
          </w:tcPr>
          <w:p w14:paraId="4379F984" w14:textId="3DCE7A29" w:rsidR="000D1A5B" w:rsidRPr="000D1A5B" w:rsidRDefault="000D1A5B" w:rsidP="000D1A5B">
            <w:pPr>
              <w:rPr>
                <w:rFonts w:ascii="Calibri" w:hAnsi="Calibri" w:cs="Calibri"/>
                <w:sz w:val="16"/>
                <w:szCs w:val="16"/>
                <w:lang w:val="en-US"/>
              </w:rPr>
            </w:pPr>
            <w:r w:rsidRPr="000D1A5B">
              <w:rPr>
                <w:rFonts w:ascii="Calibri" w:hAnsi="Calibri" w:cs="Calibri"/>
                <w:sz w:val="16"/>
                <w:szCs w:val="16"/>
                <w:lang w:val="en-US"/>
              </w:rPr>
              <w:t>Ritter 2016</w:t>
            </w:r>
          </w:p>
        </w:tc>
        <w:tc>
          <w:tcPr>
            <w:tcW w:w="1169" w:type="dxa"/>
            <w:hideMark/>
          </w:tcPr>
          <w:p w14:paraId="39661B4A" w14:textId="7A8E2C42"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sz w:val="16"/>
                <w:szCs w:val="16"/>
              </w:rPr>
              <w:t>Low risk</w:t>
            </w:r>
          </w:p>
        </w:tc>
        <w:tc>
          <w:tcPr>
            <w:tcW w:w="1170" w:type="dxa"/>
            <w:hideMark/>
          </w:tcPr>
          <w:p w14:paraId="1D31B3A9" w14:textId="5D224D67"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hideMark/>
          </w:tcPr>
          <w:p w14:paraId="16C622B4" w14:textId="10B7E496"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hideMark/>
          </w:tcPr>
          <w:p w14:paraId="4A2E11BB" w14:textId="309C6A69"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hideMark/>
          </w:tcPr>
          <w:p w14:paraId="646B1191" w14:textId="6E25ABD2"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hideMark/>
          </w:tcPr>
          <w:p w14:paraId="7A8DD152" w14:textId="70183A7D"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69" w:type="dxa"/>
            <w:hideMark/>
          </w:tcPr>
          <w:p w14:paraId="2DA43B57" w14:textId="55818629"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hideMark/>
          </w:tcPr>
          <w:p w14:paraId="10853886" w14:textId="00A56B7D"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hideMark/>
          </w:tcPr>
          <w:p w14:paraId="61D61DD5" w14:textId="168E91FC"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C65911"/>
                <w:sz w:val="16"/>
                <w:szCs w:val="16"/>
              </w:rPr>
              <w:t>Uncertain risk</w:t>
            </w:r>
          </w:p>
        </w:tc>
        <w:tc>
          <w:tcPr>
            <w:tcW w:w="1170" w:type="dxa"/>
            <w:hideMark/>
          </w:tcPr>
          <w:p w14:paraId="6E435436" w14:textId="23C700CA"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C65911"/>
                <w:sz w:val="16"/>
                <w:szCs w:val="16"/>
              </w:rPr>
              <w:t>Uncertain risk</w:t>
            </w:r>
          </w:p>
        </w:tc>
        <w:tc>
          <w:tcPr>
            <w:tcW w:w="1170" w:type="dxa"/>
            <w:hideMark/>
          </w:tcPr>
          <w:p w14:paraId="280281AC" w14:textId="5E1AD31C"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306" w:type="dxa"/>
            <w:hideMark/>
          </w:tcPr>
          <w:p w14:paraId="03356640" w14:textId="159E0E9C"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sz w:val="16"/>
                <w:szCs w:val="16"/>
              </w:rPr>
              <w:t>Low risk</w:t>
            </w:r>
          </w:p>
        </w:tc>
      </w:tr>
      <w:tr w:rsidR="000D1A5B" w14:paraId="2ED62699" w14:textId="77777777" w:rsidTr="00903862">
        <w:trPr>
          <w:trHeight w:val="240"/>
        </w:trPr>
        <w:tc>
          <w:tcPr>
            <w:tcW w:w="1277" w:type="dxa"/>
            <w:hideMark/>
          </w:tcPr>
          <w:p w14:paraId="4B8FD3B8" w14:textId="2005B420" w:rsidR="000D1A5B" w:rsidRPr="00534F53" w:rsidRDefault="000D1A5B" w:rsidP="000D1A5B">
            <w:pPr>
              <w:rPr>
                <w:rFonts w:ascii="Calibri" w:hAnsi="Calibri" w:cs="Calibri"/>
                <w:color w:val="833C0B" w:themeColor="accent2" w:themeShade="80"/>
                <w:sz w:val="16"/>
                <w:szCs w:val="16"/>
                <w:lang w:val="en-US"/>
              </w:rPr>
            </w:pPr>
            <w:proofErr w:type="spellStart"/>
            <w:r w:rsidRPr="000D1A5B">
              <w:rPr>
                <w:rFonts w:ascii="Calibri" w:hAnsi="Calibri" w:cs="Calibri"/>
                <w:sz w:val="16"/>
                <w:szCs w:val="16"/>
                <w:lang w:val="en-US"/>
              </w:rPr>
              <w:t>Teudt</w:t>
            </w:r>
            <w:proofErr w:type="spellEnd"/>
            <w:r w:rsidRPr="000D1A5B">
              <w:rPr>
                <w:rFonts w:ascii="Calibri" w:hAnsi="Calibri" w:cs="Calibri"/>
                <w:sz w:val="16"/>
                <w:szCs w:val="16"/>
                <w:lang w:val="en-US"/>
              </w:rPr>
              <w:t xml:space="preserve"> 2014</w:t>
            </w:r>
          </w:p>
        </w:tc>
        <w:tc>
          <w:tcPr>
            <w:tcW w:w="1169" w:type="dxa"/>
            <w:hideMark/>
          </w:tcPr>
          <w:p w14:paraId="67BA1EC5" w14:textId="35182274"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hideMark/>
          </w:tcPr>
          <w:p w14:paraId="6A3B5F1B" w14:textId="5052F77C"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C65911"/>
                <w:sz w:val="16"/>
                <w:szCs w:val="16"/>
              </w:rPr>
              <w:t>Uncertain risk</w:t>
            </w:r>
          </w:p>
        </w:tc>
        <w:tc>
          <w:tcPr>
            <w:tcW w:w="1170" w:type="dxa"/>
            <w:hideMark/>
          </w:tcPr>
          <w:p w14:paraId="02BC6C19" w14:textId="3C4FA569"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hideMark/>
          </w:tcPr>
          <w:p w14:paraId="118BB408" w14:textId="74B60718"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70" w:type="dxa"/>
            <w:hideMark/>
          </w:tcPr>
          <w:p w14:paraId="37864C2F" w14:textId="27145884"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hideMark/>
          </w:tcPr>
          <w:p w14:paraId="3625772C" w14:textId="27618F00"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c>
          <w:tcPr>
            <w:tcW w:w="1169" w:type="dxa"/>
            <w:hideMark/>
          </w:tcPr>
          <w:p w14:paraId="5659B37E" w14:textId="78AA97C0"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C65911"/>
                <w:sz w:val="16"/>
                <w:szCs w:val="16"/>
              </w:rPr>
              <w:t>Uncertain risk</w:t>
            </w:r>
          </w:p>
        </w:tc>
        <w:tc>
          <w:tcPr>
            <w:tcW w:w="1170" w:type="dxa"/>
            <w:hideMark/>
          </w:tcPr>
          <w:p w14:paraId="4A47C0D0" w14:textId="0491A7C5"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170" w:type="dxa"/>
            <w:hideMark/>
          </w:tcPr>
          <w:p w14:paraId="3DBCD5D0" w14:textId="741AFBD5"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C65911"/>
                <w:sz w:val="16"/>
                <w:szCs w:val="16"/>
              </w:rPr>
              <w:t>Uncertain risk</w:t>
            </w:r>
          </w:p>
        </w:tc>
        <w:tc>
          <w:tcPr>
            <w:tcW w:w="1170" w:type="dxa"/>
            <w:hideMark/>
          </w:tcPr>
          <w:p w14:paraId="106355C5" w14:textId="7B791E77"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C65911"/>
                <w:sz w:val="16"/>
                <w:szCs w:val="16"/>
              </w:rPr>
              <w:t>Uncertain risk</w:t>
            </w:r>
          </w:p>
        </w:tc>
        <w:tc>
          <w:tcPr>
            <w:tcW w:w="1170" w:type="dxa"/>
            <w:hideMark/>
          </w:tcPr>
          <w:p w14:paraId="4DDE2BCD" w14:textId="48CB7C08" w:rsidR="000D1A5B" w:rsidRPr="00534F53" w:rsidRDefault="000D1A5B" w:rsidP="000D1A5B">
            <w:pPr>
              <w:ind w:right="11"/>
              <w:jc w:val="center"/>
              <w:rPr>
                <w:rFonts w:ascii="Calibri" w:hAnsi="Calibri" w:cs="Calibri"/>
                <w:b/>
                <w:bCs/>
                <w:color w:val="833C0B" w:themeColor="accent2" w:themeShade="80"/>
                <w:sz w:val="16"/>
                <w:szCs w:val="16"/>
                <w:lang w:val="en-US"/>
              </w:rPr>
            </w:pPr>
            <w:r>
              <w:rPr>
                <w:rFonts w:ascii="Calibri" w:hAnsi="Calibri" w:cs="Calibri"/>
                <w:b/>
                <w:bCs/>
                <w:color w:val="FF0000"/>
                <w:sz w:val="16"/>
                <w:szCs w:val="16"/>
              </w:rPr>
              <w:t>High risk</w:t>
            </w:r>
          </w:p>
        </w:tc>
        <w:tc>
          <w:tcPr>
            <w:tcW w:w="1306" w:type="dxa"/>
            <w:hideMark/>
          </w:tcPr>
          <w:p w14:paraId="5F432B04" w14:textId="6DEB8B92" w:rsidR="000D1A5B" w:rsidRPr="00534F53" w:rsidRDefault="000D1A5B" w:rsidP="000D1A5B">
            <w:pPr>
              <w:jc w:val="center"/>
              <w:rPr>
                <w:rFonts w:ascii="Calibri" w:hAnsi="Calibri" w:cs="Calibri"/>
                <w:b/>
                <w:bCs/>
                <w:color w:val="833C0B" w:themeColor="accent2" w:themeShade="80"/>
                <w:sz w:val="16"/>
                <w:szCs w:val="16"/>
                <w:lang w:val="en-US"/>
              </w:rPr>
            </w:pPr>
            <w:r>
              <w:rPr>
                <w:rFonts w:ascii="Calibri" w:hAnsi="Calibri" w:cs="Calibri"/>
                <w:b/>
                <w:bCs/>
                <w:color w:val="000000"/>
                <w:sz w:val="16"/>
                <w:szCs w:val="16"/>
              </w:rPr>
              <w:t>Low risk</w:t>
            </w:r>
          </w:p>
        </w:tc>
      </w:tr>
      <w:tr w:rsidR="000D1A5B" w14:paraId="79A50A1F" w14:textId="77777777" w:rsidTr="00903862">
        <w:trPr>
          <w:trHeight w:val="240"/>
        </w:trPr>
        <w:tc>
          <w:tcPr>
            <w:tcW w:w="1277" w:type="dxa"/>
          </w:tcPr>
          <w:p w14:paraId="78A053DF" w14:textId="4527AF4D" w:rsidR="000D1A5B" w:rsidRPr="000D1A5B" w:rsidRDefault="000D1A5B" w:rsidP="000D1A5B">
            <w:pPr>
              <w:rPr>
                <w:rFonts w:ascii="Calibri" w:hAnsi="Calibri" w:cs="Calibri"/>
                <w:sz w:val="16"/>
                <w:szCs w:val="16"/>
                <w:lang w:val="en-US"/>
              </w:rPr>
            </w:pPr>
            <w:proofErr w:type="spellStart"/>
            <w:r w:rsidRPr="000D1A5B">
              <w:rPr>
                <w:rFonts w:ascii="Calibri" w:hAnsi="Calibri" w:cs="Calibri"/>
                <w:sz w:val="16"/>
                <w:szCs w:val="16"/>
                <w:lang w:val="en-US"/>
              </w:rPr>
              <w:t>Rudzianskas</w:t>
            </w:r>
            <w:proofErr w:type="spellEnd"/>
            <w:r w:rsidRPr="000D1A5B">
              <w:rPr>
                <w:rFonts w:ascii="Calibri" w:hAnsi="Calibri" w:cs="Calibri"/>
                <w:sz w:val="16"/>
                <w:szCs w:val="16"/>
                <w:lang w:val="en-US"/>
              </w:rPr>
              <w:t>, 2012</w:t>
            </w:r>
          </w:p>
        </w:tc>
        <w:tc>
          <w:tcPr>
            <w:tcW w:w="1169" w:type="dxa"/>
          </w:tcPr>
          <w:p w14:paraId="39BE8327" w14:textId="1C17F2D2" w:rsidR="000D1A5B" w:rsidRDefault="000D1A5B" w:rsidP="000D1A5B">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70" w:type="dxa"/>
          </w:tcPr>
          <w:p w14:paraId="5CBA53CC" w14:textId="5DCB30BD" w:rsidR="000D1A5B" w:rsidRDefault="000D1A5B" w:rsidP="000D1A5B">
            <w:pPr>
              <w:jc w:val="center"/>
              <w:rPr>
                <w:rFonts w:ascii="Calibri" w:hAnsi="Calibri" w:cs="Calibri"/>
                <w:b/>
                <w:bCs/>
                <w:color w:val="C65911"/>
                <w:sz w:val="16"/>
                <w:szCs w:val="16"/>
              </w:rPr>
            </w:pPr>
            <w:r>
              <w:rPr>
                <w:rFonts w:ascii="Calibri" w:hAnsi="Calibri" w:cs="Calibri"/>
                <w:b/>
                <w:bCs/>
                <w:color w:val="000000"/>
                <w:sz w:val="16"/>
                <w:szCs w:val="16"/>
              </w:rPr>
              <w:t>Low risk</w:t>
            </w:r>
          </w:p>
        </w:tc>
        <w:tc>
          <w:tcPr>
            <w:tcW w:w="1170" w:type="dxa"/>
          </w:tcPr>
          <w:p w14:paraId="732D90C6" w14:textId="5719BA52" w:rsidR="000D1A5B" w:rsidRDefault="000D1A5B" w:rsidP="000D1A5B">
            <w:pPr>
              <w:jc w:val="center"/>
              <w:rPr>
                <w:rFonts w:ascii="Calibri" w:hAnsi="Calibri" w:cs="Calibri"/>
                <w:b/>
                <w:bCs/>
                <w:color w:val="FF0000"/>
                <w:sz w:val="16"/>
                <w:szCs w:val="16"/>
              </w:rPr>
            </w:pPr>
            <w:r>
              <w:rPr>
                <w:rFonts w:ascii="Calibri" w:hAnsi="Calibri" w:cs="Calibri"/>
                <w:b/>
                <w:bCs/>
                <w:color w:val="000000"/>
                <w:sz w:val="16"/>
                <w:szCs w:val="16"/>
              </w:rPr>
              <w:t>Low risk</w:t>
            </w:r>
          </w:p>
        </w:tc>
        <w:tc>
          <w:tcPr>
            <w:tcW w:w="1170" w:type="dxa"/>
          </w:tcPr>
          <w:p w14:paraId="3617E9B3" w14:textId="110DB8B4" w:rsidR="000D1A5B" w:rsidRDefault="000D1A5B" w:rsidP="000D1A5B">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70" w:type="dxa"/>
          </w:tcPr>
          <w:p w14:paraId="4E6D55E9" w14:textId="56738DDB" w:rsidR="000D1A5B" w:rsidRDefault="000D1A5B" w:rsidP="000D1A5B">
            <w:pPr>
              <w:jc w:val="center"/>
              <w:rPr>
                <w:rFonts w:ascii="Calibri" w:hAnsi="Calibri" w:cs="Calibri"/>
                <w:b/>
                <w:bCs/>
                <w:color w:val="FF0000"/>
                <w:sz w:val="16"/>
                <w:szCs w:val="16"/>
              </w:rPr>
            </w:pPr>
            <w:r>
              <w:rPr>
                <w:rFonts w:ascii="Calibri" w:hAnsi="Calibri" w:cs="Calibri"/>
                <w:b/>
                <w:bCs/>
                <w:color w:val="000000"/>
                <w:sz w:val="16"/>
                <w:szCs w:val="16"/>
              </w:rPr>
              <w:t>Low risk</w:t>
            </w:r>
          </w:p>
        </w:tc>
        <w:tc>
          <w:tcPr>
            <w:tcW w:w="1170" w:type="dxa"/>
          </w:tcPr>
          <w:p w14:paraId="5385BC56" w14:textId="2A15FACE" w:rsidR="000D1A5B" w:rsidRDefault="000D1A5B" w:rsidP="000D1A5B">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69" w:type="dxa"/>
          </w:tcPr>
          <w:p w14:paraId="4C971046" w14:textId="2843680F" w:rsidR="000D1A5B" w:rsidRDefault="000D1A5B" w:rsidP="000D1A5B">
            <w:pPr>
              <w:jc w:val="center"/>
              <w:rPr>
                <w:rFonts w:ascii="Calibri" w:hAnsi="Calibri" w:cs="Calibri"/>
                <w:b/>
                <w:bCs/>
                <w:color w:val="C65911"/>
                <w:sz w:val="16"/>
                <w:szCs w:val="16"/>
              </w:rPr>
            </w:pPr>
            <w:r>
              <w:rPr>
                <w:rFonts w:ascii="Calibri" w:hAnsi="Calibri" w:cs="Calibri"/>
                <w:b/>
                <w:bCs/>
                <w:color w:val="000000"/>
                <w:sz w:val="16"/>
                <w:szCs w:val="16"/>
              </w:rPr>
              <w:t>Low risk</w:t>
            </w:r>
          </w:p>
        </w:tc>
        <w:tc>
          <w:tcPr>
            <w:tcW w:w="1170" w:type="dxa"/>
          </w:tcPr>
          <w:p w14:paraId="5A582FE2" w14:textId="3CFBDC45" w:rsidR="000D1A5B" w:rsidRDefault="000D1A5B" w:rsidP="000D1A5B">
            <w:pPr>
              <w:jc w:val="center"/>
              <w:rPr>
                <w:rFonts w:ascii="Calibri" w:hAnsi="Calibri" w:cs="Calibri"/>
                <w:b/>
                <w:bCs/>
                <w:color w:val="FF0000"/>
                <w:sz w:val="16"/>
                <w:szCs w:val="16"/>
              </w:rPr>
            </w:pPr>
            <w:r>
              <w:rPr>
                <w:rFonts w:ascii="Calibri" w:hAnsi="Calibri" w:cs="Calibri"/>
                <w:b/>
                <w:bCs/>
                <w:color w:val="FF0000"/>
                <w:sz w:val="16"/>
                <w:szCs w:val="16"/>
              </w:rPr>
              <w:t>High risk</w:t>
            </w:r>
          </w:p>
        </w:tc>
        <w:tc>
          <w:tcPr>
            <w:tcW w:w="1170" w:type="dxa"/>
          </w:tcPr>
          <w:p w14:paraId="0431E4DF" w14:textId="253E0E39" w:rsidR="000D1A5B" w:rsidRDefault="000D1A5B" w:rsidP="000D1A5B">
            <w:pPr>
              <w:jc w:val="center"/>
              <w:rPr>
                <w:rFonts w:ascii="Calibri" w:hAnsi="Calibri" w:cs="Calibri"/>
                <w:b/>
                <w:bCs/>
                <w:color w:val="C65911"/>
                <w:sz w:val="16"/>
                <w:szCs w:val="16"/>
              </w:rPr>
            </w:pPr>
            <w:r>
              <w:rPr>
                <w:rFonts w:ascii="Calibri" w:hAnsi="Calibri" w:cs="Calibri"/>
                <w:b/>
                <w:bCs/>
                <w:color w:val="000000"/>
                <w:sz w:val="16"/>
                <w:szCs w:val="16"/>
              </w:rPr>
              <w:t>Low risk</w:t>
            </w:r>
          </w:p>
        </w:tc>
        <w:tc>
          <w:tcPr>
            <w:tcW w:w="1170" w:type="dxa"/>
          </w:tcPr>
          <w:p w14:paraId="0925E47B" w14:textId="58B45B4D" w:rsidR="000D1A5B" w:rsidRDefault="000D1A5B" w:rsidP="000D1A5B">
            <w:pPr>
              <w:jc w:val="center"/>
              <w:rPr>
                <w:rFonts w:ascii="Calibri" w:hAnsi="Calibri" w:cs="Calibri"/>
                <w:b/>
                <w:bCs/>
                <w:color w:val="C65911"/>
                <w:sz w:val="16"/>
                <w:szCs w:val="16"/>
              </w:rPr>
            </w:pPr>
            <w:r>
              <w:rPr>
                <w:rFonts w:ascii="Calibri" w:hAnsi="Calibri" w:cs="Calibri"/>
                <w:b/>
                <w:bCs/>
                <w:color w:val="C65911"/>
                <w:sz w:val="16"/>
                <w:szCs w:val="16"/>
              </w:rPr>
              <w:t>Uncertain risk</w:t>
            </w:r>
          </w:p>
        </w:tc>
        <w:tc>
          <w:tcPr>
            <w:tcW w:w="1170" w:type="dxa"/>
          </w:tcPr>
          <w:p w14:paraId="0DBAEF45" w14:textId="1A1F7476" w:rsidR="000D1A5B" w:rsidRDefault="000D1A5B" w:rsidP="000D1A5B">
            <w:pPr>
              <w:ind w:right="11"/>
              <w:jc w:val="center"/>
              <w:rPr>
                <w:rFonts w:ascii="Calibri" w:hAnsi="Calibri" w:cs="Calibri"/>
                <w:b/>
                <w:bCs/>
                <w:color w:val="FF0000"/>
                <w:sz w:val="16"/>
                <w:szCs w:val="16"/>
              </w:rPr>
            </w:pPr>
            <w:r>
              <w:rPr>
                <w:rFonts w:ascii="Calibri" w:hAnsi="Calibri" w:cs="Calibri"/>
                <w:b/>
                <w:bCs/>
                <w:color w:val="000000"/>
                <w:sz w:val="16"/>
                <w:szCs w:val="16"/>
              </w:rPr>
              <w:t>Low risk</w:t>
            </w:r>
          </w:p>
        </w:tc>
        <w:tc>
          <w:tcPr>
            <w:tcW w:w="1306" w:type="dxa"/>
          </w:tcPr>
          <w:p w14:paraId="5779E077" w14:textId="43C3A464" w:rsidR="000D1A5B" w:rsidRDefault="000D1A5B" w:rsidP="000D1A5B">
            <w:pPr>
              <w:jc w:val="center"/>
              <w:rPr>
                <w:rFonts w:ascii="Calibri" w:hAnsi="Calibri" w:cs="Calibri"/>
                <w:b/>
                <w:bCs/>
                <w:color w:val="000000"/>
                <w:sz w:val="16"/>
                <w:szCs w:val="16"/>
              </w:rPr>
            </w:pPr>
            <w:r>
              <w:rPr>
                <w:rFonts w:ascii="Calibri" w:hAnsi="Calibri" w:cs="Calibri"/>
                <w:b/>
                <w:bCs/>
                <w:color w:val="000000"/>
                <w:sz w:val="16"/>
                <w:szCs w:val="16"/>
              </w:rPr>
              <w:t>Low risk</w:t>
            </w:r>
          </w:p>
        </w:tc>
      </w:tr>
      <w:tr w:rsidR="000D1A5B" w14:paraId="2C0BD6F3" w14:textId="77777777" w:rsidTr="00903862">
        <w:trPr>
          <w:trHeight w:val="240"/>
        </w:trPr>
        <w:tc>
          <w:tcPr>
            <w:tcW w:w="1277" w:type="dxa"/>
          </w:tcPr>
          <w:p w14:paraId="32FF96F2" w14:textId="1A632E66" w:rsidR="000D1A5B" w:rsidRPr="000D1A5B" w:rsidRDefault="000D1A5B" w:rsidP="000D1A5B">
            <w:pPr>
              <w:rPr>
                <w:rFonts w:ascii="Calibri" w:hAnsi="Calibri" w:cs="Calibri"/>
                <w:sz w:val="16"/>
                <w:szCs w:val="16"/>
                <w:lang w:val="en-US"/>
              </w:rPr>
            </w:pPr>
            <w:proofErr w:type="spellStart"/>
            <w:r w:rsidRPr="000D1A5B">
              <w:rPr>
                <w:rFonts w:ascii="Calibri" w:hAnsi="Calibri" w:cs="Calibri"/>
                <w:sz w:val="16"/>
                <w:szCs w:val="16"/>
                <w:lang w:val="en-US"/>
              </w:rPr>
              <w:t>Pellizzon</w:t>
            </w:r>
            <w:proofErr w:type="spellEnd"/>
            <w:r w:rsidRPr="000D1A5B">
              <w:rPr>
                <w:rFonts w:ascii="Calibri" w:hAnsi="Calibri" w:cs="Calibri"/>
                <w:sz w:val="16"/>
                <w:szCs w:val="16"/>
                <w:lang w:val="en-US"/>
              </w:rPr>
              <w:t>, 2006</w:t>
            </w:r>
          </w:p>
        </w:tc>
        <w:tc>
          <w:tcPr>
            <w:tcW w:w="1169" w:type="dxa"/>
          </w:tcPr>
          <w:p w14:paraId="124E93F7" w14:textId="71BCD69B" w:rsidR="000D1A5B" w:rsidRDefault="000D1A5B" w:rsidP="000D1A5B">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70" w:type="dxa"/>
          </w:tcPr>
          <w:p w14:paraId="6B8F1A3C" w14:textId="7481ECA2" w:rsidR="000D1A5B" w:rsidRDefault="000D1A5B" w:rsidP="000D1A5B">
            <w:pPr>
              <w:jc w:val="center"/>
              <w:rPr>
                <w:rFonts w:ascii="Calibri" w:hAnsi="Calibri" w:cs="Calibri"/>
                <w:b/>
                <w:bCs/>
                <w:color w:val="C65911"/>
                <w:sz w:val="16"/>
                <w:szCs w:val="16"/>
              </w:rPr>
            </w:pPr>
            <w:r>
              <w:rPr>
                <w:rFonts w:ascii="Calibri" w:hAnsi="Calibri" w:cs="Calibri"/>
                <w:b/>
                <w:bCs/>
                <w:color w:val="FF0000"/>
                <w:sz w:val="16"/>
                <w:szCs w:val="16"/>
              </w:rPr>
              <w:t>High risk</w:t>
            </w:r>
          </w:p>
        </w:tc>
        <w:tc>
          <w:tcPr>
            <w:tcW w:w="1170" w:type="dxa"/>
          </w:tcPr>
          <w:p w14:paraId="6BEE4FC7" w14:textId="375FEFE0" w:rsidR="000D1A5B" w:rsidRDefault="000D1A5B" w:rsidP="000D1A5B">
            <w:pPr>
              <w:jc w:val="center"/>
              <w:rPr>
                <w:rFonts w:ascii="Calibri" w:hAnsi="Calibri" w:cs="Calibri"/>
                <w:b/>
                <w:bCs/>
                <w:color w:val="FF0000"/>
                <w:sz w:val="16"/>
                <w:szCs w:val="16"/>
              </w:rPr>
            </w:pPr>
            <w:r>
              <w:rPr>
                <w:rFonts w:ascii="Calibri" w:hAnsi="Calibri" w:cs="Calibri"/>
                <w:b/>
                <w:bCs/>
                <w:color w:val="FF0000"/>
                <w:sz w:val="16"/>
                <w:szCs w:val="16"/>
              </w:rPr>
              <w:t>High risk</w:t>
            </w:r>
          </w:p>
        </w:tc>
        <w:tc>
          <w:tcPr>
            <w:tcW w:w="1170" w:type="dxa"/>
          </w:tcPr>
          <w:p w14:paraId="3077795C" w14:textId="768222F0" w:rsidR="000D1A5B" w:rsidRDefault="000D1A5B" w:rsidP="000D1A5B">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170" w:type="dxa"/>
          </w:tcPr>
          <w:p w14:paraId="72777FD5" w14:textId="798344B9" w:rsidR="000D1A5B" w:rsidRDefault="000D1A5B" w:rsidP="000D1A5B">
            <w:pPr>
              <w:jc w:val="center"/>
              <w:rPr>
                <w:rFonts w:ascii="Calibri" w:hAnsi="Calibri" w:cs="Calibri"/>
                <w:b/>
                <w:bCs/>
                <w:color w:val="FF0000"/>
                <w:sz w:val="16"/>
                <w:szCs w:val="16"/>
              </w:rPr>
            </w:pPr>
            <w:r>
              <w:rPr>
                <w:rFonts w:ascii="Calibri" w:hAnsi="Calibri" w:cs="Calibri"/>
                <w:b/>
                <w:bCs/>
                <w:color w:val="000000"/>
                <w:sz w:val="16"/>
                <w:szCs w:val="16"/>
              </w:rPr>
              <w:t>Low risk</w:t>
            </w:r>
          </w:p>
        </w:tc>
        <w:tc>
          <w:tcPr>
            <w:tcW w:w="1170" w:type="dxa"/>
          </w:tcPr>
          <w:p w14:paraId="6D6FFE2B" w14:textId="3BF07102" w:rsidR="000D1A5B" w:rsidRDefault="000D1A5B" w:rsidP="000D1A5B">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169" w:type="dxa"/>
          </w:tcPr>
          <w:p w14:paraId="7C76B81F" w14:textId="122C20B0" w:rsidR="000D1A5B" w:rsidRDefault="000D1A5B" w:rsidP="000D1A5B">
            <w:pPr>
              <w:jc w:val="center"/>
              <w:rPr>
                <w:rFonts w:ascii="Calibri" w:hAnsi="Calibri" w:cs="Calibri"/>
                <w:b/>
                <w:bCs/>
                <w:color w:val="C65911"/>
                <w:sz w:val="16"/>
                <w:szCs w:val="16"/>
              </w:rPr>
            </w:pPr>
            <w:r>
              <w:rPr>
                <w:rFonts w:ascii="Calibri" w:hAnsi="Calibri" w:cs="Calibri"/>
                <w:b/>
                <w:bCs/>
                <w:color w:val="000000"/>
                <w:sz w:val="16"/>
                <w:szCs w:val="16"/>
              </w:rPr>
              <w:t>Low risk</w:t>
            </w:r>
          </w:p>
        </w:tc>
        <w:tc>
          <w:tcPr>
            <w:tcW w:w="1170" w:type="dxa"/>
          </w:tcPr>
          <w:p w14:paraId="71826AE1" w14:textId="41EEB3F0" w:rsidR="000D1A5B" w:rsidRDefault="000D1A5B" w:rsidP="000D1A5B">
            <w:pPr>
              <w:jc w:val="center"/>
              <w:rPr>
                <w:rFonts w:ascii="Calibri" w:hAnsi="Calibri" w:cs="Calibri"/>
                <w:b/>
                <w:bCs/>
                <w:color w:val="FF0000"/>
                <w:sz w:val="16"/>
                <w:szCs w:val="16"/>
              </w:rPr>
            </w:pPr>
            <w:r>
              <w:rPr>
                <w:rFonts w:ascii="Calibri" w:hAnsi="Calibri" w:cs="Calibri"/>
                <w:b/>
                <w:bCs/>
                <w:color w:val="FF0000"/>
                <w:sz w:val="16"/>
                <w:szCs w:val="16"/>
              </w:rPr>
              <w:t>High risk</w:t>
            </w:r>
          </w:p>
        </w:tc>
        <w:tc>
          <w:tcPr>
            <w:tcW w:w="1170" w:type="dxa"/>
          </w:tcPr>
          <w:p w14:paraId="334B300D" w14:textId="7D79DA45" w:rsidR="000D1A5B" w:rsidRDefault="000D1A5B" w:rsidP="000D1A5B">
            <w:pPr>
              <w:jc w:val="center"/>
              <w:rPr>
                <w:rFonts w:ascii="Calibri" w:hAnsi="Calibri" w:cs="Calibri"/>
                <w:b/>
                <w:bCs/>
                <w:color w:val="C65911"/>
                <w:sz w:val="16"/>
                <w:szCs w:val="16"/>
              </w:rPr>
            </w:pPr>
            <w:r>
              <w:rPr>
                <w:rFonts w:ascii="Calibri" w:hAnsi="Calibri" w:cs="Calibri"/>
                <w:b/>
                <w:bCs/>
                <w:color w:val="000000"/>
                <w:sz w:val="16"/>
                <w:szCs w:val="16"/>
              </w:rPr>
              <w:t>Low risk</w:t>
            </w:r>
          </w:p>
        </w:tc>
        <w:tc>
          <w:tcPr>
            <w:tcW w:w="1170" w:type="dxa"/>
          </w:tcPr>
          <w:p w14:paraId="667F355E" w14:textId="46B79256" w:rsidR="000D1A5B" w:rsidRDefault="000D1A5B" w:rsidP="000D1A5B">
            <w:pPr>
              <w:jc w:val="center"/>
              <w:rPr>
                <w:rFonts w:ascii="Calibri" w:hAnsi="Calibri" w:cs="Calibri"/>
                <w:b/>
                <w:bCs/>
                <w:color w:val="C65911"/>
                <w:sz w:val="16"/>
                <w:szCs w:val="16"/>
              </w:rPr>
            </w:pPr>
            <w:r>
              <w:rPr>
                <w:rFonts w:ascii="Calibri" w:hAnsi="Calibri" w:cs="Calibri"/>
                <w:b/>
                <w:bCs/>
                <w:color w:val="000000"/>
                <w:sz w:val="16"/>
                <w:szCs w:val="16"/>
              </w:rPr>
              <w:t>Low risk</w:t>
            </w:r>
          </w:p>
        </w:tc>
        <w:tc>
          <w:tcPr>
            <w:tcW w:w="1170" w:type="dxa"/>
          </w:tcPr>
          <w:p w14:paraId="392F3E66" w14:textId="0B75BE18" w:rsidR="000D1A5B" w:rsidRDefault="000D1A5B" w:rsidP="000D1A5B">
            <w:pPr>
              <w:ind w:right="11"/>
              <w:jc w:val="center"/>
              <w:rPr>
                <w:rFonts w:ascii="Calibri" w:hAnsi="Calibri" w:cs="Calibri"/>
                <w:b/>
                <w:bCs/>
                <w:color w:val="FF0000"/>
                <w:sz w:val="16"/>
                <w:szCs w:val="16"/>
              </w:rPr>
            </w:pPr>
            <w:r>
              <w:rPr>
                <w:rFonts w:ascii="Calibri" w:hAnsi="Calibri" w:cs="Calibri"/>
                <w:b/>
                <w:bCs/>
                <w:color w:val="000000"/>
                <w:sz w:val="16"/>
                <w:szCs w:val="16"/>
              </w:rPr>
              <w:t>Low risk</w:t>
            </w:r>
          </w:p>
        </w:tc>
        <w:tc>
          <w:tcPr>
            <w:tcW w:w="1306" w:type="dxa"/>
          </w:tcPr>
          <w:p w14:paraId="6479B46E" w14:textId="3F0A51D2" w:rsidR="000D1A5B" w:rsidRDefault="000D1A5B" w:rsidP="000D1A5B">
            <w:pPr>
              <w:jc w:val="center"/>
              <w:rPr>
                <w:rFonts w:ascii="Calibri" w:hAnsi="Calibri" w:cs="Calibri"/>
                <w:b/>
                <w:bCs/>
                <w:color w:val="000000"/>
                <w:sz w:val="16"/>
                <w:szCs w:val="16"/>
              </w:rPr>
            </w:pPr>
            <w:r>
              <w:rPr>
                <w:rFonts w:ascii="Calibri" w:hAnsi="Calibri" w:cs="Calibri"/>
                <w:b/>
                <w:bCs/>
                <w:color w:val="000000"/>
                <w:sz w:val="16"/>
                <w:szCs w:val="16"/>
              </w:rPr>
              <w:t>Low risk</w:t>
            </w:r>
          </w:p>
        </w:tc>
      </w:tr>
      <w:tr w:rsidR="00903862" w14:paraId="46943A44" w14:textId="77777777" w:rsidTr="00903862">
        <w:trPr>
          <w:trHeight w:val="240"/>
        </w:trPr>
        <w:tc>
          <w:tcPr>
            <w:tcW w:w="15451" w:type="dxa"/>
            <w:gridSpan w:val="13"/>
            <w:tcBorders>
              <w:top w:val="single" w:sz="4" w:space="0" w:color="auto"/>
              <w:left w:val="nil"/>
              <w:right w:val="nil"/>
            </w:tcBorders>
          </w:tcPr>
          <w:p w14:paraId="15039C6A" w14:textId="77777777" w:rsidR="00903862" w:rsidRPr="00534F53" w:rsidRDefault="00903862">
            <w:pPr>
              <w:jc w:val="center"/>
              <w:rPr>
                <w:rFonts w:ascii="Calibri" w:hAnsi="Calibri" w:cs="Calibri"/>
                <w:b/>
                <w:bCs/>
                <w:color w:val="833C0B" w:themeColor="accent2" w:themeShade="80"/>
                <w:sz w:val="16"/>
                <w:szCs w:val="16"/>
                <w:lang w:val="en-US"/>
              </w:rPr>
            </w:pPr>
          </w:p>
        </w:tc>
      </w:tr>
    </w:tbl>
    <w:p w14:paraId="66376759" w14:textId="77777777" w:rsidR="008249B5" w:rsidRDefault="008249B5" w:rsidP="008249B5">
      <w:pPr>
        <w:spacing w:after="100" w:afterAutospacing="1" w:line="276" w:lineRule="auto"/>
        <w:contextualSpacing/>
        <w:outlineLvl w:val="2"/>
        <w:rPr>
          <w:rFonts w:asciiTheme="minorHAnsi" w:hAnsiTheme="minorHAnsi" w:cstheme="minorHAnsi"/>
          <w:b/>
          <w:lang w:val="en-US" w:eastAsia="en-GB"/>
        </w:rPr>
      </w:pPr>
    </w:p>
    <w:p w14:paraId="118CE6D9" w14:textId="77777777" w:rsidR="00713E7F" w:rsidRDefault="00713E7F">
      <w:pPr>
        <w:rPr>
          <w:rFonts w:asciiTheme="minorHAnsi" w:hAnsiTheme="minorHAnsi" w:cstheme="minorHAnsi"/>
          <w:b/>
          <w:lang w:val="en-US" w:eastAsia="en-GB"/>
        </w:rPr>
      </w:pPr>
      <w:r>
        <w:rPr>
          <w:rFonts w:asciiTheme="minorHAnsi" w:hAnsiTheme="minorHAnsi" w:cstheme="minorHAnsi"/>
          <w:b/>
          <w:lang w:val="en-US" w:eastAsia="en-GB"/>
        </w:rPr>
        <w:br w:type="page"/>
      </w:r>
    </w:p>
    <w:p w14:paraId="7F651300" w14:textId="565EE53B" w:rsidR="00A50AB3" w:rsidRPr="00A50AB3" w:rsidRDefault="00A50AB3" w:rsidP="008249B5">
      <w:pPr>
        <w:spacing w:after="100" w:afterAutospacing="1" w:line="276" w:lineRule="auto"/>
        <w:contextualSpacing/>
        <w:outlineLvl w:val="2"/>
        <w:rPr>
          <w:rFonts w:asciiTheme="minorHAnsi" w:hAnsiTheme="minorHAnsi" w:cstheme="minorHAnsi"/>
          <w:b/>
          <w:lang w:val="en-US" w:eastAsia="en-GB"/>
        </w:rPr>
      </w:pPr>
      <w:r w:rsidRPr="00A50AB3">
        <w:rPr>
          <w:rFonts w:asciiTheme="minorHAnsi" w:hAnsiTheme="minorHAnsi" w:cstheme="minorHAnsi"/>
          <w:b/>
          <w:lang w:val="en-US" w:eastAsia="en-GB"/>
        </w:rPr>
        <w:lastRenderedPageBreak/>
        <w:t xml:space="preserve">Detailed Critical Appraisal </w:t>
      </w:r>
    </w:p>
    <w:tbl>
      <w:tblPr>
        <w:tblW w:w="15314" w:type="dxa"/>
        <w:tblCellMar>
          <w:left w:w="57" w:type="dxa"/>
          <w:right w:w="57" w:type="dxa"/>
        </w:tblCellMar>
        <w:tblLook w:val="04A0" w:firstRow="1" w:lastRow="0" w:firstColumn="1" w:lastColumn="0" w:noHBand="0" w:noVBand="1"/>
      </w:tblPr>
      <w:tblGrid>
        <w:gridCol w:w="15314"/>
      </w:tblGrid>
      <w:tr w:rsidR="000619D4" w:rsidRPr="001B7B27" w14:paraId="4FE4DF6A" w14:textId="77777777" w:rsidTr="008249B5">
        <w:trPr>
          <w:trHeight w:val="73"/>
        </w:trPr>
        <w:tc>
          <w:tcPr>
            <w:tcW w:w="15314" w:type="dxa"/>
            <w:tcBorders>
              <w:top w:val="nil"/>
              <w:left w:val="nil"/>
              <w:bottom w:val="single" w:sz="4" w:space="0" w:color="auto"/>
              <w:right w:val="nil"/>
            </w:tcBorders>
            <w:shd w:val="clear" w:color="auto" w:fill="auto"/>
            <w:noWrap/>
            <w:hideMark/>
          </w:tcPr>
          <w:p w14:paraId="6C212DBF" w14:textId="6EF3E36B" w:rsidR="000619D4" w:rsidRPr="001B7B27" w:rsidRDefault="000619D4" w:rsidP="000619D4">
            <w:pPr>
              <w:jc w:val="center"/>
              <w:rPr>
                <w:rFonts w:ascii="Calibri" w:hAnsi="Calibri" w:cs="Calibri"/>
                <w:b/>
                <w:bCs/>
                <w:color w:val="000000"/>
                <w:sz w:val="16"/>
                <w:szCs w:val="16"/>
              </w:rPr>
            </w:pPr>
            <w:r>
              <w:rPr>
                <w:rFonts w:ascii="Calibri" w:hAnsi="Calibri" w:cs="Calibri"/>
                <w:b/>
                <w:bCs/>
                <w:color w:val="000000"/>
                <w:sz w:val="16"/>
                <w:szCs w:val="16"/>
                <w:lang w:val="en-US"/>
              </w:rPr>
              <w:t xml:space="preserve">Peri-operative </w:t>
            </w:r>
            <w:r w:rsidR="00691248">
              <w:rPr>
                <w:rFonts w:ascii="Calibri" w:hAnsi="Calibri" w:cs="Calibri"/>
                <w:b/>
                <w:bCs/>
                <w:color w:val="000000"/>
                <w:sz w:val="16"/>
                <w:szCs w:val="16"/>
                <w:lang w:val="en-US"/>
              </w:rPr>
              <w:t>interventional radiotherapy</w:t>
            </w:r>
            <w:r>
              <w:rPr>
                <w:rFonts w:ascii="Calibri" w:hAnsi="Calibri" w:cs="Calibri"/>
                <w:b/>
                <w:bCs/>
                <w:color w:val="000000"/>
                <w:sz w:val="16"/>
                <w:szCs w:val="16"/>
                <w:lang w:val="en-US"/>
              </w:rPr>
              <w:t xml:space="preserve"> in the primary setting</w:t>
            </w:r>
          </w:p>
        </w:tc>
      </w:tr>
    </w:tbl>
    <w:p w14:paraId="39996435" w14:textId="77777777" w:rsidR="001A714E" w:rsidRPr="00864DF6" w:rsidRDefault="001A714E">
      <w:pPr>
        <w:rPr>
          <w:sz w:val="16"/>
          <w:szCs w:val="16"/>
        </w:rPr>
      </w:pPr>
    </w:p>
    <w:tbl>
      <w:tblPr>
        <w:tblW w:w="15314" w:type="dxa"/>
        <w:tblLayout w:type="fixed"/>
        <w:tblCellMar>
          <w:left w:w="57" w:type="dxa"/>
          <w:right w:w="57" w:type="dxa"/>
        </w:tblCellMar>
        <w:tblLook w:val="04A0" w:firstRow="1" w:lastRow="0" w:firstColumn="1" w:lastColumn="0" w:noHBand="0" w:noVBand="1"/>
      </w:tblPr>
      <w:tblGrid>
        <w:gridCol w:w="707"/>
        <w:gridCol w:w="1274"/>
        <w:gridCol w:w="1280"/>
        <w:gridCol w:w="1134"/>
        <w:gridCol w:w="1275"/>
        <w:gridCol w:w="1276"/>
        <w:gridCol w:w="1134"/>
        <w:gridCol w:w="1559"/>
        <w:gridCol w:w="851"/>
        <w:gridCol w:w="1134"/>
        <w:gridCol w:w="1276"/>
        <w:gridCol w:w="1134"/>
        <w:gridCol w:w="1280"/>
      </w:tblGrid>
      <w:tr w:rsidR="002543FC" w:rsidRPr="001B7B27" w14:paraId="002ECFA1" w14:textId="77777777" w:rsidTr="00864DF6">
        <w:trPr>
          <w:trHeight w:val="480"/>
          <w:tblHeader/>
        </w:trPr>
        <w:tc>
          <w:tcPr>
            <w:tcW w:w="707" w:type="dxa"/>
            <w:tcBorders>
              <w:top w:val="single" w:sz="4" w:space="0" w:color="auto"/>
              <w:left w:val="nil"/>
              <w:bottom w:val="single" w:sz="4" w:space="0" w:color="auto"/>
              <w:right w:val="nil"/>
            </w:tcBorders>
            <w:shd w:val="clear" w:color="000000" w:fill="2F75B5"/>
            <w:hideMark/>
          </w:tcPr>
          <w:p w14:paraId="1A5BB60F" w14:textId="77777777" w:rsidR="001B7B27" w:rsidRPr="001B7B27" w:rsidRDefault="001B7B27" w:rsidP="002543FC">
            <w:pPr>
              <w:ind w:right="91"/>
              <w:jc w:val="center"/>
              <w:rPr>
                <w:rFonts w:ascii="Calibri" w:hAnsi="Calibri" w:cs="Calibri"/>
                <w:b/>
                <w:bCs/>
                <w:color w:val="000000"/>
                <w:sz w:val="16"/>
                <w:szCs w:val="16"/>
              </w:rPr>
            </w:pPr>
            <w:r w:rsidRPr="001B7B27">
              <w:rPr>
                <w:rFonts w:ascii="Calibri" w:hAnsi="Calibri" w:cs="Calibri"/>
                <w:b/>
                <w:bCs/>
                <w:color w:val="000000"/>
                <w:sz w:val="16"/>
                <w:szCs w:val="16"/>
              </w:rPr>
              <w:t>Study ID</w:t>
            </w:r>
          </w:p>
        </w:tc>
        <w:tc>
          <w:tcPr>
            <w:tcW w:w="1274" w:type="dxa"/>
            <w:tcBorders>
              <w:top w:val="single" w:sz="4" w:space="0" w:color="auto"/>
              <w:left w:val="nil"/>
              <w:bottom w:val="single" w:sz="4" w:space="0" w:color="auto"/>
              <w:right w:val="nil"/>
            </w:tcBorders>
            <w:shd w:val="clear" w:color="000000" w:fill="A9D08E"/>
            <w:hideMark/>
          </w:tcPr>
          <w:p w14:paraId="4B641B0A" w14:textId="77777777" w:rsidR="001B7B27" w:rsidRPr="001B7B27" w:rsidRDefault="001B7B27" w:rsidP="0011445E">
            <w:pPr>
              <w:ind w:right="91"/>
              <w:jc w:val="center"/>
              <w:rPr>
                <w:rFonts w:ascii="Calibri" w:hAnsi="Calibri" w:cs="Calibri"/>
                <w:b/>
                <w:bCs/>
                <w:color w:val="000000"/>
                <w:sz w:val="16"/>
                <w:szCs w:val="16"/>
              </w:rPr>
            </w:pPr>
            <w:r w:rsidRPr="001B7B27">
              <w:rPr>
                <w:rFonts w:ascii="Calibri" w:hAnsi="Calibri" w:cs="Calibri"/>
                <w:b/>
                <w:bCs/>
                <w:color w:val="000000"/>
                <w:sz w:val="16"/>
                <w:szCs w:val="16"/>
              </w:rPr>
              <w:t xml:space="preserve">Research Question </w:t>
            </w:r>
          </w:p>
        </w:tc>
        <w:tc>
          <w:tcPr>
            <w:tcW w:w="1280" w:type="dxa"/>
            <w:tcBorders>
              <w:top w:val="single" w:sz="4" w:space="0" w:color="auto"/>
              <w:left w:val="nil"/>
              <w:bottom w:val="single" w:sz="4" w:space="0" w:color="auto"/>
              <w:right w:val="nil"/>
            </w:tcBorders>
            <w:shd w:val="clear" w:color="000000" w:fill="A9D08E"/>
            <w:hideMark/>
          </w:tcPr>
          <w:p w14:paraId="5A6E344F" w14:textId="77777777" w:rsidR="001B7B27" w:rsidRPr="001B7B27" w:rsidRDefault="001B7B27" w:rsidP="001B7B27">
            <w:pPr>
              <w:jc w:val="center"/>
              <w:rPr>
                <w:rFonts w:ascii="Calibri" w:hAnsi="Calibri" w:cs="Calibri"/>
                <w:b/>
                <w:bCs/>
                <w:color w:val="000000"/>
                <w:sz w:val="16"/>
                <w:szCs w:val="16"/>
              </w:rPr>
            </w:pPr>
            <w:r w:rsidRPr="001B7B27">
              <w:rPr>
                <w:rFonts w:ascii="Calibri" w:hAnsi="Calibri" w:cs="Calibri"/>
                <w:b/>
                <w:bCs/>
                <w:color w:val="000000"/>
                <w:sz w:val="16"/>
                <w:szCs w:val="16"/>
              </w:rPr>
              <w:t xml:space="preserve">Selection bias </w:t>
            </w:r>
          </w:p>
        </w:tc>
        <w:tc>
          <w:tcPr>
            <w:tcW w:w="1134" w:type="dxa"/>
            <w:tcBorders>
              <w:top w:val="single" w:sz="4" w:space="0" w:color="auto"/>
              <w:left w:val="nil"/>
              <w:bottom w:val="single" w:sz="4" w:space="0" w:color="auto"/>
              <w:right w:val="nil"/>
            </w:tcBorders>
            <w:shd w:val="clear" w:color="000000" w:fill="A9D08E"/>
            <w:hideMark/>
          </w:tcPr>
          <w:p w14:paraId="50D9A732" w14:textId="77777777" w:rsidR="001B7B27" w:rsidRPr="001B7B27" w:rsidRDefault="001B7B27" w:rsidP="0011445E">
            <w:pPr>
              <w:jc w:val="center"/>
              <w:rPr>
                <w:rFonts w:ascii="Calibri" w:hAnsi="Calibri" w:cs="Calibri"/>
                <w:b/>
                <w:bCs/>
                <w:color w:val="000000"/>
                <w:sz w:val="16"/>
                <w:szCs w:val="16"/>
              </w:rPr>
            </w:pPr>
            <w:r w:rsidRPr="001B7B27">
              <w:rPr>
                <w:rFonts w:ascii="Calibri" w:hAnsi="Calibri" w:cs="Calibri"/>
                <w:b/>
                <w:bCs/>
                <w:color w:val="000000"/>
                <w:sz w:val="16"/>
                <w:szCs w:val="16"/>
              </w:rPr>
              <w:t xml:space="preserve">Measurement bias (exposure) </w:t>
            </w:r>
          </w:p>
        </w:tc>
        <w:tc>
          <w:tcPr>
            <w:tcW w:w="1275" w:type="dxa"/>
            <w:tcBorders>
              <w:top w:val="single" w:sz="4" w:space="0" w:color="auto"/>
              <w:left w:val="nil"/>
              <w:bottom w:val="single" w:sz="4" w:space="0" w:color="auto"/>
              <w:right w:val="nil"/>
            </w:tcBorders>
            <w:shd w:val="clear" w:color="000000" w:fill="A9D08E"/>
            <w:hideMark/>
          </w:tcPr>
          <w:p w14:paraId="48F0039A" w14:textId="77777777" w:rsidR="001B7B27" w:rsidRPr="001B7B27" w:rsidRDefault="001B7B27" w:rsidP="001B7B27">
            <w:pPr>
              <w:jc w:val="center"/>
              <w:rPr>
                <w:rFonts w:ascii="Calibri" w:hAnsi="Calibri" w:cs="Calibri"/>
                <w:b/>
                <w:bCs/>
                <w:color w:val="000000"/>
                <w:sz w:val="16"/>
                <w:szCs w:val="16"/>
              </w:rPr>
            </w:pPr>
            <w:r w:rsidRPr="001B7B27">
              <w:rPr>
                <w:rFonts w:ascii="Calibri" w:hAnsi="Calibri" w:cs="Calibri"/>
                <w:b/>
                <w:bCs/>
                <w:color w:val="000000"/>
                <w:sz w:val="16"/>
                <w:szCs w:val="16"/>
              </w:rPr>
              <w:t xml:space="preserve">Measurement bias (outcomes) </w:t>
            </w:r>
          </w:p>
        </w:tc>
        <w:tc>
          <w:tcPr>
            <w:tcW w:w="1276" w:type="dxa"/>
            <w:tcBorders>
              <w:top w:val="single" w:sz="4" w:space="0" w:color="auto"/>
              <w:left w:val="nil"/>
              <w:bottom w:val="single" w:sz="4" w:space="0" w:color="auto"/>
              <w:right w:val="nil"/>
            </w:tcBorders>
            <w:shd w:val="clear" w:color="000000" w:fill="A9D08E"/>
            <w:hideMark/>
          </w:tcPr>
          <w:p w14:paraId="3AC70E00" w14:textId="77777777" w:rsidR="001B7B27" w:rsidRPr="001B7B27" w:rsidRDefault="001B7B27" w:rsidP="001B7B27">
            <w:pPr>
              <w:jc w:val="center"/>
              <w:rPr>
                <w:rFonts w:ascii="Calibri" w:hAnsi="Calibri" w:cs="Calibri"/>
                <w:b/>
                <w:bCs/>
                <w:color w:val="000000"/>
                <w:sz w:val="16"/>
                <w:szCs w:val="16"/>
              </w:rPr>
            </w:pPr>
            <w:r w:rsidRPr="001B7B27">
              <w:rPr>
                <w:rFonts w:ascii="Calibri" w:hAnsi="Calibri" w:cs="Calibri"/>
                <w:b/>
                <w:bCs/>
                <w:color w:val="000000"/>
                <w:sz w:val="16"/>
                <w:szCs w:val="16"/>
              </w:rPr>
              <w:t xml:space="preserve">Confounding factors </w:t>
            </w:r>
          </w:p>
        </w:tc>
        <w:tc>
          <w:tcPr>
            <w:tcW w:w="1134" w:type="dxa"/>
            <w:tcBorders>
              <w:top w:val="single" w:sz="4" w:space="0" w:color="auto"/>
              <w:left w:val="nil"/>
              <w:bottom w:val="single" w:sz="4" w:space="0" w:color="auto"/>
              <w:right w:val="nil"/>
            </w:tcBorders>
            <w:shd w:val="clear" w:color="000000" w:fill="A9D08E"/>
            <w:hideMark/>
          </w:tcPr>
          <w:p w14:paraId="0170F4CA" w14:textId="77777777" w:rsidR="001B7B27" w:rsidRPr="001B7B27" w:rsidRDefault="001B7B27" w:rsidP="001B7B27">
            <w:pPr>
              <w:jc w:val="center"/>
              <w:rPr>
                <w:rFonts w:ascii="Calibri" w:hAnsi="Calibri" w:cs="Calibri"/>
                <w:b/>
                <w:bCs/>
                <w:color w:val="000000"/>
                <w:sz w:val="16"/>
                <w:szCs w:val="16"/>
              </w:rPr>
            </w:pPr>
            <w:r w:rsidRPr="001B7B27">
              <w:rPr>
                <w:rFonts w:ascii="Calibri" w:hAnsi="Calibri" w:cs="Calibri"/>
                <w:b/>
                <w:bCs/>
                <w:color w:val="000000"/>
                <w:sz w:val="16"/>
                <w:szCs w:val="16"/>
              </w:rPr>
              <w:t xml:space="preserve">Follow-up </w:t>
            </w:r>
          </w:p>
        </w:tc>
        <w:tc>
          <w:tcPr>
            <w:tcW w:w="1559" w:type="dxa"/>
            <w:tcBorders>
              <w:top w:val="single" w:sz="4" w:space="0" w:color="auto"/>
              <w:left w:val="nil"/>
              <w:bottom w:val="single" w:sz="4" w:space="0" w:color="auto"/>
              <w:right w:val="nil"/>
            </w:tcBorders>
            <w:shd w:val="clear" w:color="000000" w:fill="A9D08E"/>
            <w:hideMark/>
          </w:tcPr>
          <w:p w14:paraId="656B943D" w14:textId="77777777" w:rsidR="001B7B27" w:rsidRPr="001B7B27" w:rsidRDefault="001B7B27" w:rsidP="001B7B27">
            <w:pPr>
              <w:jc w:val="center"/>
              <w:rPr>
                <w:rFonts w:ascii="Calibri" w:hAnsi="Calibri" w:cs="Calibri"/>
                <w:b/>
                <w:bCs/>
                <w:color w:val="000000"/>
                <w:sz w:val="16"/>
                <w:szCs w:val="16"/>
              </w:rPr>
            </w:pPr>
            <w:r w:rsidRPr="001B7B27">
              <w:rPr>
                <w:rFonts w:ascii="Calibri" w:hAnsi="Calibri" w:cs="Calibri"/>
                <w:b/>
                <w:bCs/>
                <w:color w:val="000000"/>
                <w:sz w:val="16"/>
                <w:szCs w:val="16"/>
              </w:rPr>
              <w:t xml:space="preserve">Magnitude of effect  </w:t>
            </w:r>
          </w:p>
        </w:tc>
        <w:tc>
          <w:tcPr>
            <w:tcW w:w="851" w:type="dxa"/>
            <w:tcBorders>
              <w:top w:val="single" w:sz="4" w:space="0" w:color="auto"/>
              <w:left w:val="nil"/>
              <w:bottom w:val="single" w:sz="4" w:space="0" w:color="auto"/>
              <w:right w:val="nil"/>
            </w:tcBorders>
            <w:shd w:val="clear" w:color="000000" w:fill="A9D08E"/>
            <w:hideMark/>
          </w:tcPr>
          <w:p w14:paraId="6B22E477" w14:textId="77777777" w:rsidR="001B7B27" w:rsidRPr="001B7B27" w:rsidRDefault="001B7B27" w:rsidP="001B7B27">
            <w:pPr>
              <w:jc w:val="center"/>
              <w:rPr>
                <w:rFonts w:ascii="Calibri" w:hAnsi="Calibri" w:cs="Calibri"/>
                <w:b/>
                <w:bCs/>
                <w:color w:val="000000"/>
                <w:sz w:val="16"/>
                <w:szCs w:val="16"/>
              </w:rPr>
            </w:pPr>
            <w:r w:rsidRPr="001B7B27">
              <w:rPr>
                <w:rFonts w:ascii="Calibri" w:hAnsi="Calibri" w:cs="Calibri"/>
                <w:b/>
                <w:bCs/>
                <w:color w:val="000000"/>
                <w:sz w:val="16"/>
                <w:szCs w:val="16"/>
              </w:rPr>
              <w:t xml:space="preserve">Precision of estimate </w:t>
            </w:r>
          </w:p>
        </w:tc>
        <w:tc>
          <w:tcPr>
            <w:tcW w:w="1134" w:type="dxa"/>
            <w:tcBorders>
              <w:top w:val="single" w:sz="4" w:space="0" w:color="auto"/>
              <w:left w:val="nil"/>
              <w:bottom w:val="single" w:sz="4" w:space="0" w:color="auto"/>
              <w:right w:val="nil"/>
            </w:tcBorders>
            <w:shd w:val="clear" w:color="000000" w:fill="A9D08E"/>
            <w:hideMark/>
          </w:tcPr>
          <w:p w14:paraId="34A39BA6" w14:textId="77777777" w:rsidR="001B7B27" w:rsidRPr="001B7B27" w:rsidRDefault="001B7B27" w:rsidP="001B7B27">
            <w:pPr>
              <w:jc w:val="center"/>
              <w:rPr>
                <w:rFonts w:ascii="Calibri" w:hAnsi="Calibri" w:cs="Calibri"/>
                <w:b/>
                <w:bCs/>
                <w:color w:val="000000"/>
                <w:sz w:val="16"/>
                <w:szCs w:val="16"/>
              </w:rPr>
            </w:pPr>
            <w:r w:rsidRPr="001B7B27">
              <w:rPr>
                <w:rFonts w:ascii="Calibri" w:hAnsi="Calibri" w:cs="Calibri"/>
                <w:b/>
                <w:bCs/>
                <w:color w:val="000000"/>
                <w:sz w:val="16"/>
                <w:szCs w:val="16"/>
              </w:rPr>
              <w:t xml:space="preserve">Credibility </w:t>
            </w:r>
          </w:p>
        </w:tc>
        <w:tc>
          <w:tcPr>
            <w:tcW w:w="1276" w:type="dxa"/>
            <w:tcBorders>
              <w:top w:val="single" w:sz="4" w:space="0" w:color="auto"/>
              <w:left w:val="nil"/>
              <w:bottom w:val="single" w:sz="4" w:space="0" w:color="auto"/>
              <w:right w:val="nil"/>
            </w:tcBorders>
            <w:shd w:val="clear" w:color="000000" w:fill="A9D08E"/>
            <w:hideMark/>
          </w:tcPr>
          <w:p w14:paraId="0396F0DF" w14:textId="77777777" w:rsidR="001B7B27" w:rsidRPr="001B7B27" w:rsidRDefault="001B7B27" w:rsidP="001B7B27">
            <w:pPr>
              <w:jc w:val="center"/>
              <w:rPr>
                <w:rFonts w:ascii="Calibri" w:hAnsi="Calibri" w:cs="Calibri"/>
                <w:b/>
                <w:bCs/>
                <w:color w:val="000000"/>
                <w:sz w:val="16"/>
                <w:szCs w:val="16"/>
              </w:rPr>
            </w:pPr>
            <w:r w:rsidRPr="001B7B27">
              <w:rPr>
                <w:rFonts w:ascii="Calibri" w:hAnsi="Calibri" w:cs="Calibri"/>
                <w:b/>
                <w:bCs/>
                <w:color w:val="000000"/>
                <w:sz w:val="16"/>
                <w:szCs w:val="16"/>
              </w:rPr>
              <w:t xml:space="preserve">Empiric congruence </w:t>
            </w:r>
          </w:p>
        </w:tc>
        <w:tc>
          <w:tcPr>
            <w:tcW w:w="1134" w:type="dxa"/>
            <w:tcBorders>
              <w:top w:val="single" w:sz="4" w:space="0" w:color="auto"/>
              <w:left w:val="nil"/>
              <w:bottom w:val="single" w:sz="4" w:space="0" w:color="auto"/>
              <w:right w:val="nil"/>
            </w:tcBorders>
            <w:shd w:val="clear" w:color="000000" w:fill="A9D08E"/>
            <w:hideMark/>
          </w:tcPr>
          <w:p w14:paraId="50A34C04" w14:textId="77777777" w:rsidR="001B7B27" w:rsidRPr="001B7B27" w:rsidRDefault="001B7B27" w:rsidP="001B7B27">
            <w:pPr>
              <w:jc w:val="center"/>
              <w:rPr>
                <w:rFonts w:ascii="Calibri" w:hAnsi="Calibri" w:cs="Calibri"/>
                <w:b/>
                <w:bCs/>
                <w:color w:val="000000"/>
                <w:sz w:val="16"/>
                <w:szCs w:val="16"/>
              </w:rPr>
            </w:pPr>
            <w:r w:rsidRPr="001B7B27">
              <w:rPr>
                <w:rFonts w:ascii="Calibri" w:hAnsi="Calibri" w:cs="Calibri"/>
                <w:b/>
                <w:bCs/>
                <w:color w:val="000000"/>
                <w:sz w:val="16"/>
                <w:szCs w:val="16"/>
              </w:rPr>
              <w:t xml:space="preserve">Applicability </w:t>
            </w:r>
          </w:p>
        </w:tc>
        <w:tc>
          <w:tcPr>
            <w:tcW w:w="1280" w:type="dxa"/>
            <w:tcBorders>
              <w:top w:val="single" w:sz="4" w:space="0" w:color="auto"/>
              <w:left w:val="nil"/>
              <w:bottom w:val="single" w:sz="4" w:space="0" w:color="auto"/>
              <w:right w:val="nil"/>
            </w:tcBorders>
            <w:shd w:val="clear" w:color="000000" w:fill="A9D08E"/>
            <w:hideMark/>
          </w:tcPr>
          <w:p w14:paraId="23A8075A" w14:textId="77777777" w:rsidR="001B7B27" w:rsidRPr="001B7B27" w:rsidRDefault="001B7B27" w:rsidP="0011445E">
            <w:pPr>
              <w:jc w:val="center"/>
              <w:rPr>
                <w:rFonts w:ascii="Calibri" w:hAnsi="Calibri" w:cs="Calibri"/>
                <w:b/>
                <w:bCs/>
                <w:color w:val="000000"/>
                <w:sz w:val="16"/>
                <w:szCs w:val="16"/>
              </w:rPr>
            </w:pPr>
            <w:r w:rsidRPr="001B7B27">
              <w:rPr>
                <w:rFonts w:ascii="Calibri" w:hAnsi="Calibri" w:cs="Calibri"/>
                <w:b/>
                <w:bCs/>
                <w:color w:val="000000"/>
                <w:sz w:val="16"/>
                <w:szCs w:val="16"/>
              </w:rPr>
              <w:t xml:space="preserve">Implications to Practice </w:t>
            </w:r>
          </w:p>
        </w:tc>
      </w:tr>
      <w:tr w:rsidR="00C51B3B" w:rsidRPr="001B7B27" w14:paraId="159FEA93" w14:textId="77777777" w:rsidTr="003A64FC">
        <w:trPr>
          <w:trHeight w:val="220"/>
        </w:trPr>
        <w:tc>
          <w:tcPr>
            <w:tcW w:w="15314" w:type="dxa"/>
            <w:gridSpan w:val="13"/>
            <w:tcBorders>
              <w:top w:val="single" w:sz="4" w:space="0" w:color="auto"/>
              <w:left w:val="nil"/>
              <w:bottom w:val="single" w:sz="4" w:space="0" w:color="auto"/>
              <w:right w:val="nil"/>
            </w:tcBorders>
            <w:shd w:val="clear" w:color="auto" w:fill="auto"/>
            <w:hideMark/>
          </w:tcPr>
          <w:p w14:paraId="1EE0155A" w14:textId="0D5F249C" w:rsidR="00C51B3B" w:rsidRPr="001B7B27" w:rsidRDefault="00C51B3B" w:rsidP="00C51B3B">
            <w:pPr>
              <w:rPr>
                <w:rFonts w:ascii="Calibri" w:hAnsi="Calibri" w:cs="Calibri"/>
                <w:b/>
                <w:bCs/>
                <w:color w:val="000000"/>
                <w:sz w:val="16"/>
                <w:szCs w:val="16"/>
              </w:rPr>
            </w:pPr>
            <w:r w:rsidRPr="00C51B3B">
              <w:rPr>
                <w:rFonts w:ascii="Calibri" w:hAnsi="Calibri" w:cs="Calibri"/>
                <w:b/>
                <w:bCs/>
                <w:color w:val="000000"/>
                <w:sz w:val="16"/>
                <w:szCs w:val="16"/>
              </w:rPr>
              <w:t>Non-controlled clinical trial</w:t>
            </w:r>
          </w:p>
        </w:tc>
      </w:tr>
      <w:tr w:rsidR="00C51B3B" w:rsidRPr="001B7B27" w14:paraId="29421921" w14:textId="77777777" w:rsidTr="00C51B3B">
        <w:trPr>
          <w:trHeight w:val="70"/>
        </w:trPr>
        <w:tc>
          <w:tcPr>
            <w:tcW w:w="707" w:type="dxa"/>
            <w:vMerge w:val="restart"/>
            <w:tcBorders>
              <w:top w:val="single" w:sz="4" w:space="0" w:color="auto"/>
              <w:left w:val="nil"/>
              <w:right w:val="nil"/>
            </w:tcBorders>
            <w:shd w:val="clear" w:color="auto" w:fill="auto"/>
            <w:hideMark/>
          </w:tcPr>
          <w:p w14:paraId="78AA72DD" w14:textId="77777777" w:rsidR="00C51B3B" w:rsidRDefault="00C51B3B" w:rsidP="00C51B3B">
            <w:pPr>
              <w:rPr>
                <w:rFonts w:ascii="Calibri" w:hAnsi="Calibri" w:cs="Calibri"/>
                <w:color w:val="000000"/>
                <w:sz w:val="16"/>
                <w:szCs w:val="16"/>
              </w:rPr>
            </w:pPr>
            <w:proofErr w:type="spellStart"/>
            <w:r>
              <w:rPr>
                <w:rFonts w:ascii="Calibri" w:hAnsi="Calibri" w:cs="Calibri"/>
                <w:color w:val="000000"/>
                <w:sz w:val="16"/>
                <w:szCs w:val="16"/>
              </w:rPr>
              <w:t>Ianovski</w:t>
            </w:r>
            <w:proofErr w:type="spellEnd"/>
            <w:r>
              <w:rPr>
                <w:rFonts w:ascii="Calibri" w:hAnsi="Calibri" w:cs="Calibri"/>
                <w:color w:val="000000"/>
                <w:sz w:val="16"/>
                <w:szCs w:val="16"/>
              </w:rPr>
              <w:t>, 2020</w:t>
            </w:r>
          </w:p>
          <w:p w14:paraId="32F6D934" w14:textId="7F670458" w:rsidR="00C51B3B" w:rsidRPr="001B7B27" w:rsidRDefault="00C51B3B" w:rsidP="00C51B3B">
            <w:pPr>
              <w:rPr>
                <w:rFonts w:ascii="Calibri" w:hAnsi="Calibri" w:cs="Calibri"/>
                <w:b/>
                <w:bCs/>
                <w:color w:val="000000"/>
                <w:sz w:val="16"/>
                <w:szCs w:val="16"/>
              </w:rPr>
            </w:pPr>
          </w:p>
        </w:tc>
        <w:tc>
          <w:tcPr>
            <w:tcW w:w="1274" w:type="dxa"/>
            <w:tcBorders>
              <w:top w:val="single" w:sz="4" w:space="0" w:color="auto"/>
              <w:left w:val="nil"/>
              <w:right w:val="nil"/>
            </w:tcBorders>
            <w:shd w:val="clear" w:color="auto" w:fill="auto"/>
            <w:hideMark/>
          </w:tcPr>
          <w:p w14:paraId="42F76486" w14:textId="77777777" w:rsidR="00C51B3B" w:rsidRPr="001B7B27" w:rsidRDefault="00C51B3B" w:rsidP="00C51B3B">
            <w:pPr>
              <w:jc w:val="center"/>
              <w:rPr>
                <w:rFonts w:ascii="Calibri" w:hAnsi="Calibri" w:cs="Calibri"/>
                <w:b/>
                <w:bCs/>
                <w:color w:val="000000"/>
                <w:sz w:val="16"/>
                <w:szCs w:val="16"/>
              </w:rPr>
            </w:pPr>
            <w:r w:rsidRPr="001B7B27">
              <w:rPr>
                <w:rFonts w:ascii="Calibri" w:hAnsi="Calibri" w:cs="Calibri"/>
                <w:b/>
                <w:bCs/>
                <w:color w:val="000000"/>
                <w:sz w:val="16"/>
                <w:szCs w:val="16"/>
              </w:rPr>
              <w:t>Low risk</w:t>
            </w:r>
          </w:p>
        </w:tc>
        <w:tc>
          <w:tcPr>
            <w:tcW w:w="1280" w:type="dxa"/>
            <w:tcBorders>
              <w:top w:val="single" w:sz="4" w:space="0" w:color="auto"/>
              <w:left w:val="nil"/>
              <w:right w:val="nil"/>
            </w:tcBorders>
            <w:shd w:val="clear" w:color="auto" w:fill="auto"/>
            <w:hideMark/>
          </w:tcPr>
          <w:p w14:paraId="27D85135" w14:textId="77777777" w:rsidR="00C51B3B" w:rsidRPr="001B7B27" w:rsidRDefault="00C51B3B" w:rsidP="00C51B3B">
            <w:pPr>
              <w:jc w:val="center"/>
              <w:rPr>
                <w:rFonts w:ascii="Calibri" w:hAnsi="Calibri" w:cs="Calibri"/>
                <w:b/>
                <w:bCs/>
                <w:color w:val="000000"/>
                <w:sz w:val="16"/>
                <w:szCs w:val="16"/>
              </w:rPr>
            </w:pPr>
            <w:r w:rsidRPr="001B7B27">
              <w:rPr>
                <w:rFonts w:ascii="Calibri" w:hAnsi="Calibri" w:cs="Calibri"/>
                <w:b/>
                <w:bCs/>
                <w:color w:val="000000"/>
                <w:sz w:val="16"/>
                <w:szCs w:val="16"/>
              </w:rPr>
              <w:t>Low risk</w:t>
            </w:r>
          </w:p>
        </w:tc>
        <w:tc>
          <w:tcPr>
            <w:tcW w:w="1134" w:type="dxa"/>
            <w:tcBorders>
              <w:top w:val="single" w:sz="4" w:space="0" w:color="auto"/>
              <w:left w:val="nil"/>
              <w:right w:val="nil"/>
            </w:tcBorders>
            <w:shd w:val="clear" w:color="auto" w:fill="auto"/>
            <w:hideMark/>
          </w:tcPr>
          <w:p w14:paraId="30B020A4" w14:textId="77777777" w:rsidR="00C51B3B" w:rsidRPr="001B7B27" w:rsidRDefault="00C51B3B" w:rsidP="00C51B3B">
            <w:pPr>
              <w:jc w:val="center"/>
              <w:rPr>
                <w:rFonts w:ascii="Calibri" w:hAnsi="Calibri" w:cs="Calibri"/>
                <w:b/>
                <w:bCs/>
                <w:color w:val="000000"/>
                <w:sz w:val="16"/>
                <w:szCs w:val="16"/>
              </w:rPr>
            </w:pPr>
            <w:r w:rsidRPr="001B7B27">
              <w:rPr>
                <w:rFonts w:ascii="Calibri" w:hAnsi="Calibri" w:cs="Calibri"/>
                <w:b/>
                <w:bCs/>
                <w:color w:val="000000"/>
                <w:sz w:val="16"/>
                <w:szCs w:val="16"/>
              </w:rPr>
              <w:t>Low risk</w:t>
            </w:r>
          </w:p>
        </w:tc>
        <w:tc>
          <w:tcPr>
            <w:tcW w:w="1275" w:type="dxa"/>
            <w:tcBorders>
              <w:top w:val="single" w:sz="4" w:space="0" w:color="auto"/>
              <w:left w:val="nil"/>
              <w:right w:val="nil"/>
            </w:tcBorders>
            <w:shd w:val="clear" w:color="auto" w:fill="auto"/>
            <w:hideMark/>
          </w:tcPr>
          <w:p w14:paraId="6FE10ADE" w14:textId="77777777" w:rsidR="00C51B3B" w:rsidRPr="001B7B27" w:rsidRDefault="00C51B3B" w:rsidP="00C51B3B">
            <w:pPr>
              <w:jc w:val="center"/>
              <w:rPr>
                <w:rFonts w:ascii="Calibri" w:hAnsi="Calibri" w:cs="Calibri"/>
                <w:b/>
                <w:bCs/>
                <w:color w:val="000000"/>
                <w:sz w:val="16"/>
                <w:szCs w:val="16"/>
              </w:rPr>
            </w:pPr>
            <w:r w:rsidRPr="001B7B27">
              <w:rPr>
                <w:rFonts w:ascii="Calibri" w:hAnsi="Calibri" w:cs="Calibri"/>
                <w:b/>
                <w:bCs/>
                <w:color w:val="000000"/>
                <w:sz w:val="16"/>
                <w:szCs w:val="16"/>
              </w:rPr>
              <w:t>Low risk</w:t>
            </w:r>
          </w:p>
        </w:tc>
        <w:tc>
          <w:tcPr>
            <w:tcW w:w="1276" w:type="dxa"/>
            <w:tcBorders>
              <w:top w:val="single" w:sz="4" w:space="0" w:color="auto"/>
              <w:left w:val="nil"/>
              <w:right w:val="nil"/>
            </w:tcBorders>
            <w:shd w:val="clear" w:color="auto" w:fill="auto"/>
            <w:hideMark/>
          </w:tcPr>
          <w:p w14:paraId="276AD7F1" w14:textId="77777777" w:rsidR="00C51B3B" w:rsidRPr="001B7B27" w:rsidRDefault="00C51B3B" w:rsidP="00C51B3B">
            <w:pPr>
              <w:jc w:val="center"/>
              <w:rPr>
                <w:rFonts w:ascii="Calibri" w:hAnsi="Calibri" w:cs="Calibri"/>
                <w:b/>
                <w:bCs/>
                <w:color w:val="000000"/>
                <w:sz w:val="16"/>
                <w:szCs w:val="16"/>
              </w:rPr>
            </w:pPr>
            <w:r w:rsidRPr="001B7B27">
              <w:rPr>
                <w:rFonts w:ascii="Calibri" w:hAnsi="Calibri" w:cs="Calibri"/>
                <w:b/>
                <w:bCs/>
                <w:color w:val="000000"/>
                <w:sz w:val="16"/>
                <w:szCs w:val="16"/>
              </w:rPr>
              <w:t>Low risk</w:t>
            </w:r>
          </w:p>
        </w:tc>
        <w:tc>
          <w:tcPr>
            <w:tcW w:w="1134" w:type="dxa"/>
            <w:tcBorders>
              <w:top w:val="single" w:sz="4" w:space="0" w:color="auto"/>
              <w:left w:val="nil"/>
              <w:right w:val="nil"/>
            </w:tcBorders>
            <w:shd w:val="clear" w:color="auto" w:fill="auto"/>
            <w:hideMark/>
          </w:tcPr>
          <w:p w14:paraId="48EB049A" w14:textId="77777777" w:rsidR="00C51B3B" w:rsidRPr="001B7B27" w:rsidRDefault="00C51B3B" w:rsidP="00C51B3B">
            <w:pPr>
              <w:jc w:val="center"/>
              <w:rPr>
                <w:rFonts w:ascii="Calibri" w:hAnsi="Calibri" w:cs="Calibri"/>
                <w:b/>
                <w:bCs/>
                <w:color w:val="000000"/>
                <w:sz w:val="16"/>
                <w:szCs w:val="16"/>
              </w:rPr>
            </w:pPr>
            <w:r w:rsidRPr="001B7B27">
              <w:rPr>
                <w:rFonts w:ascii="Calibri" w:hAnsi="Calibri" w:cs="Calibri"/>
                <w:b/>
                <w:bCs/>
                <w:color w:val="000000"/>
                <w:sz w:val="16"/>
                <w:szCs w:val="16"/>
              </w:rPr>
              <w:t>Low risk</w:t>
            </w:r>
          </w:p>
        </w:tc>
        <w:tc>
          <w:tcPr>
            <w:tcW w:w="1559" w:type="dxa"/>
            <w:tcBorders>
              <w:top w:val="single" w:sz="4" w:space="0" w:color="auto"/>
              <w:left w:val="nil"/>
              <w:right w:val="nil"/>
            </w:tcBorders>
            <w:shd w:val="clear" w:color="auto" w:fill="auto"/>
            <w:hideMark/>
          </w:tcPr>
          <w:p w14:paraId="7B1C6FCB" w14:textId="77777777" w:rsidR="00C51B3B" w:rsidRPr="001B7B27" w:rsidRDefault="00C51B3B" w:rsidP="00C51B3B">
            <w:pPr>
              <w:jc w:val="center"/>
              <w:rPr>
                <w:rFonts w:ascii="Calibri" w:hAnsi="Calibri" w:cs="Calibri"/>
                <w:b/>
                <w:bCs/>
                <w:color w:val="000000"/>
                <w:sz w:val="16"/>
                <w:szCs w:val="16"/>
              </w:rPr>
            </w:pPr>
            <w:r w:rsidRPr="001B7B27">
              <w:rPr>
                <w:rFonts w:ascii="Calibri" w:hAnsi="Calibri" w:cs="Calibri"/>
                <w:b/>
                <w:bCs/>
                <w:color w:val="000000"/>
                <w:sz w:val="16"/>
                <w:szCs w:val="16"/>
              </w:rPr>
              <w:t>Low risk</w:t>
            </w:r>
          </w:p>
        </w:tc>
        <w:tc>
          <w:tcPr>
            <w:tcW w:w="851" w:type="dxa"/>
            <w:tcBorders>
              <w:top w:val="single" w:sz="4" w:space="0" w:color="auto"/>
              <w:left w:val="nil"/>
              <w:right w:val="nil"/>
            </w:tcBorders>
            <w:shd w:val="clear" w:color="auto" w:fill="auto"/>
            <w:hideMark/>
          </w:tcPr>
          <w:p w14:paraId="0CF9B583" w14:textId="77777777" w:rsidR="00C51B3B" w:rsidRPr="002C77F7" w:rsidRDefault="00C51B3B" w:rsidP="00C51B3B">
            <w:pPr>
              <w:ind w:right="20"/>
              <w:jc w:val="center"/>
              <w:rPr>
                <w:rFonts w:ascii="Calibri" w:hAnsi="Calibri" w:cs="Calibri"/>
                <w:b/>
                <w:bCs/>
                <w:color w:val="C00000"/>
                <w:sz w:val="16"/>
                <w:szCs w:val="16"/>
              </w:rPr>
            </w:pPr>
            <w:r w:rsidRPr="002C77F7">
              <w:rPr>
                <w:rFonts w:ascii="Calibri" w:hAnsi="Calibri" w:cs="Calibri"/>
                <w:b/>
                <w:bCs/>
                <w:color w:val="C00000"/>
                <w:sz w:val="16"/>
                <w:szCs w:val="16"/>
              </w:rPr>
              <w:t>High risk</w:t>
            </w:r>
          </w:p>
        </w:tc>
        <w:tc>
          <w:tcPr>
            <w:tcW w:w="1134" w:type="dxa"/>
            <w:tcBorders>
              <w:top w:val="single" w:sz="4" w:space="0" w:color="auto"/>
              <w:left w:val="nil"/>
              <w:right w:val="nil"/>
            </w:tcBorders>
            <w:shd w:val="clear" w:color="auto" w:fill="auto"/>
            <w:hideMark/>
          </w:tcPr>
          <w:p w14:paraId="62B51251" w14:textId="77777777" w:rsidR="00C51B3B" w:rsidRPr="001B7B27" w:rsidRDefault="00C51B3B" w:rsidP="00C51B3B">
            <w:pPr>
              <w:jc w:val="center"/>
              <w:rPr>
                <w:rFonts w:ascii="Calibri" w:hAnsi="Calibri" w:cs="Calibri"/>
                <w:b/>
                <w:bCs/>
                <w:color w:val="000000"/>
                <w:sz w:val="16"/>
                <w:szCs w:val="16"/>
              </w:rPr>
            </w:pPr>
            <w:r w:rsidRPr="001B7B27">
              <w:rPr>
                <w:rFonts w:ascii="Calibri" w:hAnsi="Calibri" w:cs="Calibri"/>
                <w:b/>
                <w:bCs/>
                <w:color w:val="000000"/>
                <w:sz w:val="16"/>
                <w:szCs w:val="16"/>
              </w:rPr>
              <w:t>Low risk</w:t>
            </w:r>
          </w:p>
        </w:tc>
        <w:tc>
          <w:tcPr>
            <w:tcW w:w="1276" w:type="dxa"/>
            <w:tcBorders>
              <w:top w:val="single" w:sz="4" w:space="0" w:color="auto"/>
              <w:left w:val="nil"/>
              <w:right w:val="nil"/>
            </w:tcBorders>
            <w:shd w:val="clear" w:color="auto" w:fill="auto"/>
            <w:hideMark/>
          </w:tcPr>
          <w:p w14:paraId="578CA250" w14:textId="77777777" w:rsidR="00C51B3B" w:rsidRPr="001B7B27" w:rsidRDefault="00C51B3B" w:rsidP="00C51B3B">
            <w:pPr>
              <w:jc w:val="center"/>
              <w:rPr>
                <w:rFonts w:ascii="Calibri" w:hAnsi="Calibri" w:cs="Calibri"/>
                <w:b/>
                <w:bCs/>
                <w:color w:val="000000"/>
                <w:sz w:val="16"/>
                <w:szCs w:val="16"/>
              </w:rPr>
            </w:pPr>
            <w:r w:rsidRPr="001B7B27">
              <w:rPr>
                <w:rFonts w:ascii="Calibri" w:hAnsi="Calibri" w:cs="Calibri"/>
                <w:b/>
                <w:bCs/>
                <w:color w:val="000000"/>
                <w:sz w:val="16"/>
                <w:szCs w:val="16"/>
              </w:rPr>
              <w:t>Low risk</w:t>
            </w:r>
          </w:p>
        </w:tc>
        <w:tc>
          <w:tcPr>
            <w:tcW w:w="1134" w:type="dxa"/>
            <w:tcBorders>
              <w:top w:val="single" w:sz="4" w:space="0" w:color="auto"/>
              <w:left w:val="nil"/>
              <w:right w:val="nil"/>
            </w:tcBorders>
            <w:shd w:val="clear" w:color="auto" w:fill="auto"/>
            <w:hideMark/>
          </w:tcPr>
          <w:p w14:paraId="493BBEB0" w14:textId="77777777" w:rsidR="00C51B3B" w:rsidRPr="001B7B27" w:rsidRDefault="00C51B3B" w:rsidP="00C51B3B">
            <w:pPr>
              <w:jc w:val="center"/>
              <w:rPr>
                <w:rFonts w:ascii="Calibri" w:hAnsi="Calibri" w:cs="Calibri"/>
                <w:b/>
                <w:bCs/>
                <w:color w:val="000000"/>
                <w:sz w:val="16"/>
                <w:szCs w:val="16"/>
              </w:rPr>
            </w:pPr>
            <w:r w:rsidRPr="001B7B27">
              <w:rPr>
                <w:rFonts w:ascii="Calibri" w:hAnsi="Calibri" w:cs="Calibri"/>
                <w:b/>
                <w:bCs/>
                <w:color w:val="000000"/>
                <w:sz w:val="16"/>
                <w:szCs w:val="16"/>
              </w:rPr>
              <w:t>Low risk</w:t>
            </w:r>
          </w:p>
        </w:tc>
        <w:tc>
          <w:tcPr>
            <w:tcW w:w="1280" w:type="dxa"/>
            <w:tcBorders>
              <w:top w:val="single" w:sz="4" w:space="0" w:color="auto"/>
              <w:left w:val="nil"/>
              <w:right w:val="nil"/>
            </w:tcBorders>
            <w:shd w:val="clear" w:color="auto" w:fill="auto"/>
            <w:hideMark/>
          </w:tcPr>
          <w:p w14:paraId="140F47CC" w14:textId="77777777" w:rsidR="00C51B3B" w:rsidRPr="001B7B27" w:rsidRDefault="00C51B3B" w:rsidP="00C51B3B">
            <w:pPr>
              <w:jc w:val="center"/>
              <w:rPr>
                <w:rFonts w:ascii="Calibri" w:hAnsi="Calibri" w:cs="Calibri"/>
                <w:b/>
                <w:bCs/>
                <w:color w:val="000000"/>
                <w:sz w:val="16"/>
                <w:szCs w:val="16"/>
              </w:rPr>
            </w:pPr>
            <w:r w:rsidRPr="001B7B27">
              <w:rPr>
                <w:rFonts w:ascii="Calibri" w:hAnsi="Calibri" w:cs="Calibri"/>
                <w:b/>
                <w:bCs/>
                <w:color w:val="000000"/>
                <w:sz w:val="16"/>
                <w:szCs w:val="16"/>
              </w:rPr>
              <w:t>Low risk</w:t>
            </w:r>
          </w:p>
        </w:tc>
      </w:tr>
      <w:tr w:rsidR="00C51B3B" w:rsidRPr="001B7B27" w14:paraId="6C115BDF" w14:textId="77777777" w:rsidTr="00C51B3B">
        <w:trPr>
          <w:trHeight w:val="6370"/>
        </w:trPr>
        <w:tc>
          <w:tcPr>
            <w:tcW w:w="707" w:type="dxa"/>
            <w:vMerge/>
            <w:tcBorders>
              <w:left w:val="nil"/>
              <w:bottom w:val="single" w:sz="4" w:space="0" w:color="auto"/>
              <w:right w:val="nil"/>
            </w:tcBorders>
            <w:shd w:val="clear" w:color="auto" w:fill="auto"/>
            <w:hideMark/>
          </w:tcPr>
          <w:p w14:paraId="67CACD6B" w14:textId="7DA3E9FF" w:rsidR="00C51B3B" w:rsidRPr="001B7B27" w:rsidRDefault="00C51B3B" w:rsidP="00C51B3B">
            <w:pPr>
              <w:rPr>
                <w:rFonts w:ascii="Calibri" w:hAnsi="Calibri" w:cs="Calibri"/>
                <w:color w:val="000000"/>
                <w:sz w:val="16"/>
                <w:szCs w:val="16"/>
              </w:rPr>
            </w:pPr>
          </w:p>
        </w:tc>
        <w:tc>
          <w:tcPr>
            <w:tcW w:w="1274" w:type="dxa"/>
            <w:tcBorders>
              <w:left w:val="nil"/>
              <w:bottom w:val="single" w:sz="4" w:space="0" w:color="auto"/>
              <w:right w:val="nil"/>
            </w:tcBorders>
            <w:shd w:val="clear" w:color="auto" w:fill="auto"/>
            <w:hideMark/>
          </w:tcPr>
          <w:p w14:paraId="6A37782E" w14:textId="5B5F87C9" w:rsidR="00C51B3B" w:rsidRPr="001B7B27" w:rsidRDefault="00C51B3B" w:rsidP="00C51B3B">
            <w:pPr>
              <w:rPr>
                <w:rFonts w:ascii="Calibri" w:hAnsi="Calibri" w:cs="Calibri"/>
                <w:color w:val="000000"/>
                <w:sz w:val="16"/>
                <w:szCs w:val="16"/>
              </w:rPr>
            </w:pPr>
            <w:r>
              <w:rPr>
                <w:rFonts w:ascii="Calibri" w:hAnsi="Calibri" w:cs="Calibri"/>
                <w:color w:val="000000"/>
                <w:sz w:val="16"/>
                <w:szCs w:val="16"/>
              </w:rPr>
              <w:t xml:space="preserve">The study prospectively assessed the feasibility and effectiveness, in terms of recurrence, survival, and toxicity outcomes, of </w:t>
            </w:r>
            <w:r w:rsidR="00691248">
              <w:rPr>
                <w:rFonts w:ascii="Calibri" w:hAnsi="Calibri" w:cs="Calibri"/>
                <w:color w:val="000000"/>
                <w:sz w:val="16"/>
                <w:szCs w:val="16"/>
              </w:rPr>
              <w:t>POIRT</w:t>
            </w:r>
            <w:r>
              <w:rPr>
                <w:rFonts w:ascii="Calibri" w:hAnsi="Calibri" w:cs="Calibri"/>
                <w:color w:val="000000"/>
                <w:sz w:val="16"/>
                <w:szCs w:val="16"/>
              </w:rPr>
              <w:t xml:space="preserve"> with or without EBRT for resected, nonmetastatic OTSCC with positive or narrow margins.</w:t>
            </w:r>
          </w:p>
        </w:tc>
        <w:tc>
          <w:tcPr>
            <w:tcW w:w="1280" w:type="dxa"/>
            <w:tcBorders>
              <w:left w:val="nil"/>
              <w:bottom w:val="single" w:sz="4" w:space="0" w:color="auto"/>
              <w:right w:val="nil"/>
            </w:tcBorders>
            <w:shd w:val="clear" w:color="auto" w:fill="auto"/>
            <w:hideMark/>
          </w:tcPr>
          <w:p w14:paraId="6D0A75A5" w14:textId="5AB5A487" w:rsidR="00C51B3B" w:rsidRPr="001B7B27" w:rsidRDefault="00C51B3B" w:rsidP="00C51B3B">
            <w:pPr>
              <w:rPr>
                <w:rFonts w:ascii="Calibri" w:hAnsi="Calibri" w:cs="Calibri"/>
                <w:color w:val="000000"/>
                <w:sz w:val="16"/>
                <w:szCs w:val="16"/>
              </w:rPr>
            </w:pPr>
            <w:r>
              <w:rPr>
                <w:rFonts w:ascii="Calibri" w:hAnsi="Calibri" w:cs="Calibri"/>
                <w:color w:val="000000"/>
                <w:sz w:val="16"/>
                <w:szCs w:val="16"/>
              </w:rPr>
              <w:t xml:space="preserve">From September 2009 to April 2017, 55 pts with biopsy proven OTSCC (T1–3, N0–2, M0) were recruited into the study. The definitions used for surgical margin adequacy are standard. Forty-one had </w:t>
            </w:r>
            <w:r w:rsidR="00691248">
              <w:rPr>
                <w:rFonts w:ascii="Calibri" w:hAnsi="Calibri" w:cs="Calibri"/>
                <w:color w:val="000000"/>
                <w:sz w:val="16"/>
                <w:szCs w:val="16"/>
              </w:rPr>
              <w:t>POIRT</w:t>
            </w:r>
            <w:r>
              <w:rPr>
                <w:rFonts w:ascii="Calibri" w:hAnsi="Calibri" w:cs="Calibri"/>
                <w:color w:val="000000"/>
                <w:sz w:val="16"/>
                <w:szCs w:val="16"/>
              </w:rPr>
              <w:t>.</w:t>
            </w:r>
          </w:p>
        </w:tc>
        <w:tc>
          <w:tcPr>
            <w:tcW w:w="1134" w:type="dxa"/>
            <w:tcBorders>
              <w:left w:val="nil"/>
              <w:bottom w:val="single" w:sz="4" w:space="0" w:color="auto"/>
              <w:right w:val="nil"/>
            </w:tcBorders>
            <w:shd w:val="clear" w:color="auto" w:fill="auto"/>
            <w:hideMark/>
          </w:tcPr>
          <w:p w14:paraId="45501B39" w14:textId="11C50AC5" w:rsidR="00C51B3B" w:rsidRPr="001B7B27" w:rsidRDefault="00C51B3B" w:rsidP="00C51B3B">
            <w:pPr>
              <w:rPr>
                <w:rFonts w:ascii="Calibri" w:hAnsi="Calibri" w:cs="Calibri"/>
                <w:sz w:val="16"/>
                <w:szCs w:val="16"/>
              </w:rPr>
            </w:pPr>
            <w:r>
              <w:rPr>
                <w:rFonts w:ascii="Calibri" w:hAnsi="Calibri" w:cs="Calibri"/>
                <w:sz w:val="16"/>
                <w:szCs w:val="16"/>
              </w:rPr>
              <w:t xml:space="preserve">The surgery, </w:t>
            </w:r>
            <w:r w:rsidR="00691248">
              <w:rPr>
                <w:rFonts w:ascii="Calibri" w:hAnsi="Calibri" w:cs="Calibri"/>
                <w:sz w:val="16"/>
                <w:szCs w:val="16"/>
              </w:rPr>
              <w:t>POIRT</w:t>
            </w:r>
            <w:r>
              <w:rPr>
                <w:rFonts w:ascii="Calibri" w:hAnsi="Calibri" w:cs="Calibri"/>
                <w:sz w:val="16"/>
                <w:szCs w:val="16"/>
              </w:rPr>
              <w:t>, EBRT and ChT protocols were described adequately.</w:t>
            </w:r>
            <w:r>
              <w:rPr>
                <w:rFonts w:ascii="Calibri" w:hAnsi="Calibri" w:cs="Calibri"/>
                <w:sz w:val="16"/>
                <w:szCs w:val="16"/>
              </w:rPr>
              <w:br/>
            </w:r>
            <w:r>
              <w:rPr>
                <w:rFonts w:ascii="Calibri" w:hAnsi="Calibri" w:cs="Calibri"/>
                <w:sz w:val="16"/>
                <w:szCs w:val="16"/>
              </w:rPr>
              <w:br/>
              <w:t>All pts had a partial glossectomy with or without neck dissection, as appropriate.</w:t>
            </w:r>
          </w:p>
        </w:tc>
        <w:tc>
          <w:tcPr>
            <w:tcW w:w="1275" w:type="dxa"/>
            <w:tcBorders>
              <w:left w:val="nil"/>
              <w:bottom w:val="single" w:sz="4" w:space="0" w:color="auto"/>
              <w:right w:val="nil"/>
            </w:tcBorders>
            <w:shd w:val="clear" w:color="auto" w:fill="auto"/>
            <w:hideMark/>
          </w:tcPr>
          <w:p w14:paraId="2D314348" w14:textId="61030CCB" w:rsidR="00C51B3B" w:rsidRPr="001B7B27" w:rsidRDefault="00C51B3B" w:rsidP="00C51B3B">
            <w:pPr>
              <w:rPr>
                <w:rFonts w:ascii="Calibri" w:hAnsi="Calibri" w:cs="Calibri"/>
                <w:color w:val="000000"/>
                <w:sz w:val="16"/>
                <w:szCs w:val="16"/>
              </w:rPr>
            </w:pPr>
            <w:r>
              <w:rPr>
                <w:rFonts w:ascii="Calibri" w:hAnsi="Calibri" w:cs="Calibri"/>
                <w:color w:val="000000"/>
                <w:sz w:val="16"/>
                <w:szCs w:val="16"/>
              </w:rPr>
              <w:t xml:space="preserve">Survival events were per standard definitions. </w:t>
            </w:r>
            <w:r>
              <w:rPr>
                <w:rFonts w:ascii="Calibri" w:hAnsi="Calibri" w:cs="Calibri"/>
                <w:color w:val="000000"/>
                <w:sz w:val="16"/>
                <w:szCs w:val="16"/>
              </w:rPr>
              <w:br/>
            </w:r>
            <w:r>
              <w:rPr>
                <w:rFonts w:ascii="Calibri" w:hAnsi="Calibri" w:cs="Calibri"/>
                <w:color w:val="000000"/>
                <w:sz w:val="16"/>
                <w:szCs w:val="16"/>
              </w:rPr>
              <w:br/>
              <w:t>Toxicity criteria was evaluated per standard criteria (RTOG acute/late radiation morbidity scoring schema).</w:t>
            </w:r>
            <w:r>
              <w:rPr>
                <w:rFonts w:ascii="Calibri" w:hAnsi="Calibri" w:cs="Calibri"/>
                <w:color w:val="000000"/>
                <w:sz w:val="16"/>
                <w:szCs w:val="16"/>
              </w:rPr>
              <w:br/>
            </w:r>
            <w:r>
              <w:rPr>
                <w:rFonts w:ascii="Calibri" w:hAnsi="Calibri" w:cs="Calibri"/>
                <w:color w:val="000000"/>
                <w:sz w:val="16"/>
                <w:szCs w:val="16"/>
              </w:rPr>
              <w:br/>
              <w:t>The Kaplan-Meier method was used in the survival analyses.</w:t>
            </w:r>
          </w:p>
        </w:tc>
        <w:tc>
          <w:tcPr>
            <w:tcW w:w="1276" w:type="dxa"/>
            <w:tcBorders>
              <w:left w:val="nil"/>
              <w:bottom w:val="single" w:sz="4" w:space="0" w:color="auto"/>
              <w:right w:val="nil"/>
            </w:tcBorders>
            <w:shd w:val="clear" w:color="auto" w:fill="auto"/>
            <w:hideMark/>
          </w:tcPr>
          <w:p w14:paraId="55EEF85F" w14:textId="497B9992" w:rsidR="00C51B3B" w:rsidRPr="001B7B27" w:rsidRDefault="00C51B3B" w:rsidP="00C51B3B">
            <w:pPr>
              <w:rPr>
                <w:rFonts w:ascii="Calibri" w:hAnsi="Calibri" w:cs="Calibri"/>
                <w:sz w:val="16"/>
                <w:szCs w:val="16"/>
              </w:rPr>
            </w:pPr>
            <w:r>
              <w:rPr>
                <w:rFonts w:ascii="Calibri" w:hAnsi="Calibri" w:cs="Calibri"/>
                <w:color w:val="000000"/>
                <w:sz w:val="16"/>
                <w:szCs w:val="16"/>
              </w:rPr>
              <w:t>Pertinent pt and disease variables were summarized and accounted for in the analyses and discussion.</w:t>
            </w:r>
          </w:p>
        </w:tc>
        <w:tc>
          <w:tcPr>
            <w:tcW w:w="1134" w:type="dxa"/>
            <w:tcBorders>
              <w:left w:val="nil"/>
              <w:bottom w:val="single" w:sz="4" w:space="0" w:color="auto"/>
              <w:right w:val="nil"/>
            </w:tcBorders>
            <w:shd w:val="clear" w:color="auto" w:fill="auto"/>
            <w:hideMark/>
          </w:tcPr>
          <w:p w14:paraId="4BBB3ED6" w14:textId="3A08DE26" w:rsidR="00C51B3B" w:rsidRPr="001B7B27" w:rsidRDefault="00C51B3B" w:rsidP="00C51B3B">
            <w:pPr>
              <w:rPr>
                <w:rFonts w:ascii="Calibri" w:hAnsi="Calibri" w:cs="Calibri"/>
                <w:sz w:val="16"/>
                <w:szCs w:val="16"/>
              </w:rPr>
            </w:pPr>
            <w:r>
              <w:rPr>
                <w:rFonts w:ascii="Calibri" w:hAnsi="Calibri" w:cs="Calibri"/>
                <w:color w:val="000000"/>
                <w:sz w:val="16"/>
                <w:szCs w:val="16"/>
              </w:rPr>
              <w:t>The FU schedule and modalities were described adequately. the median FU length (25 months) was adequate for the reported outcome measures. All pts were accounted for. Less than 10% (2%) was treated off-protocol.</w:t>
            </w:r>
          </w:p>
        </w:tc>
        <w:tc>
          <w:tcPr>
            <w:tcW w:w="1559" w:type="dxa"/>
            <w:tcBorders>
              <w:left w:val="nil"/>
              <w:bottom w:val="single" w:sz="4" w:space="0" w:color="auto"/>
              <w:right w:val="nil"/>
            </w:tcBorders>
            <w:shd w:val="clear" w:color="auto" w:fill="auto"/>
            <w:hideMark/>
          </w:tcPr>
          <w:p w14:paraId="696667EA" w14:textId="6F85E270" w:rsidR="00C51B3B" w:rsidRPr="001B7B27" w:rsidRDefault="00C51B3B" w:rsidP="00C51B3B">
            <w:pPr>
              <w:rPr>
                <w:rFonts w:ascii="Calibri" w:hAnsi="Calibri" w:cs="Calibri"/>
                <w:color w:val="000000"/>
                <w:sz w:val="16"/>
                <w:szCs w:val="16"/>
              </w:rPr>
            </w:pPr>
            <w:r>
              <w:rPr>
                <w:rFonts w:ascii="Calibri" w:hAnsi="Calibri" w:cs="Calibri"/>
                <w:sz w:val="16"/>
                <w:szCs w:val="16"/>
              </w:rPr>
              <w:t xml:space="preserve">The 3y survival and disease control rates are acceptable, given the proportion of pts with </w:t>
            </w:r>
            <w:proofErr w:type="spellStart"/>
            <w:r>
              <w:rPr>
                <w:rFonts w:ascii="Calibri" w:hAnsi="Calibri" w:cs="Calibri"/>
                <w:sz w:val="16"/>
                <w:szCs w:val="16"/>
              </w:rPr>
              <w:t>pN</w:t>
            </w:r>
            <w:proofErr w:type="spellEnd"/>
            <w:r>
              <w:rPr>
                <w:rFonts w:ascii="Calibri" w:hAnsi="Calibri" w:cs="Calibri"/>
                <w:sz w:val="16"/>
                <w:szCs w:val="16"/>
              </w:rPr>
              <w:t xml:space="preserve">+ disease (35%). </w:t>
            </w:r>
            <w:r>
              <w:rPr>
                <w:rFonts w:ascii="Calibri" w:hAnsi="Calibri" w:cs="Calibri"/>
                <w:sz w:val="16"/>
                <w:szCs w:val="16"/>
              </w:rPr>
              <w:br/>
            </w:r>
            <w:r>
              <w:rPr>
                <w:rFonts w:ascii="Calibri" w:hAnsi="Calibri" w:cs="Calibri"/>
                <w:sz w:val="16"/>
                <w:szCs w:val="16"/>
              </w:rPr>
              <w:br/>
              <w:t>The 3y OS and DSS were 75.6% and 82.3%, respectively. The 3y DFS, LC, and LRC were 74.3, 86.3, and 77.7%, respectively.</w:t>
            </w:r>
            <w:r>
              <w:rPr>
                <w:rFonts w:ascii="Calibri" w:hAnsi="Calibri" w:cs="Calibri"/>
                <w:sz w:val="16"/>
                <w:szCs w:val="16"/>
              </w:rPr>
              <w:br/>
            </w:r>
            <w:r>
              <w:rPr>
                <w:rFonts w:ascii="Calibri" w:hAnsi="Calibri" w:cs="Calibri"/>
                <w:sz w:val="16"/>
                <w:szCs w:val="16"/>
              </w:rPr>
              <w:br/>
              <w:t>The toxicity rates are acceptable (grade 3-4 acute toxicity, 2.4%; grade 1-2 late toxicity, 7.3%). No grade 5 toxicity.</w:t>
            </w:r>
          </w:p>
        </w:tc>
        <w:tc>
          <w:tcPr>
            <w:tcW w:w="851" w:type="dxa"/>
            <w:tcBorders>
              <w:left w:val="nil"/>
              <w:bottom w:val="single" w:sz="4" w:space="0" w:color="auto"/>
              <w:right w:val="nil"/>
            </w:tcBorders>
            <w:shd w:val="clear" w:color="auto" w:fill="auto"/>
            <w:hideMark/>
          </w:tcPr>
          <w:p w14:paraId="18AD637D" w14:textId="67895806" w:rsidR="00C51B3B" w:rsidRPr="001B7B27" w:rsidRDefault="00C51B3B" w:rsidP="00C51B3B">
            <w:pPr>
              <w:rPr>
                <w:rFonts w:ascii="Calibri" w:hAnsi="Calibri" w:cs="Calibri"/>
                <w:color w:val="000000"/>
                <w:sz w:val="16"/>
                <w:szCs w:val="16"/>
              </w:rPr>
            </w:pPr>
            <w:r>
              <w:rPr>
                <w:rFonts w:ascii="Calibri" w:hAnsi="Calibri" w:cs="Calibri"/>
                <w:sz w:val="16"/>
                <w:szCs w:val="16"/>
              </w:rPr>
              <w:t xml:space="preserve">CIs were not reported. </w:t>
            </w:r>
            <w:r>
              <w:rPr>
                <w:rFonts w:ascii="Calibri" w:hAnsi="Calibri" w:cs="Calibri"/>
                <w:sz w:val="16"/>
                <w:szCs w:val="16"/>
              </w:rPr>
              <w:br/>
            </w:r>
            <w:r>
              <w:rPr>
                <w:rFonts w:ascii="Calibri" w:hAnsi="Calibri" w:cs="Calibri"/>
                <w:sz w:val="16"/>
                <w:szCs w:val="16"/>
              </w:rPr>
              <w:br/>
              <w:t>The sample size (n=41) allows for estimates with low to moderate precision.</w:t>
            </w:r>
          </w:p>
        </w:tc>
        <w:tc>
          <w:tcPr>
            <w:tcW w:w="1134" w:type="dxa"/>
            <w:tcBorders>
              <w:left w:val="nil"/>
              <w:bottom w:val="single" w:sz="4" w:space="0" w:color="auto"/>
              <w:right w:val="nil"/>
            </w:tcBorders>
            <w:shd w:val="clear" w:color="auto" w:fill="auto"/>
            <w:hideMark/>
          </w:tcPr>
          <w:p w14:paraId="4ECE5FF7" w14:textId="56C136CB" w:rsidR="00C51B3B" w:rsidRPr="001B7B27" w:rsidRDefault="00C51B3B" w:rsidP="00C51B3B">
            <w:pPr>
              <w:rPr>
                <w:rFonts w:ascii="Calibri" w:hAnsi="Calibri" w:cs="Calibri"/>
                <w:color w:val="000000"/>
                <w:sz w:val="16"/>
                <w:szCs w:val="16"/>
              </w:rPr>
            </w:pPr>
            <w:r>
              <w:rPr>
                <w:rFonts w:ascii="Calibri" w:hAnsi="Calibri" w:cs="Calibri"/>
                <w:sz w:val="16"/>
                <w:szCs w:val="16"/>
              </w:rPr>
              <w:t>The 3y DSS and 3y LRC are comparable to historical cohorts of early T-stage OTSCC treated with adjuvant EBRT ± concurrent ChT.</w:t>
            </w:r>
          </w:p>
        </w:tc>
        <w:tc>
          <w:tcPr>
            <w:tcW w:w="1276" w:type="dxa"/>
            <w:tcBorders>
              <w:left w:val="nil"/>
              <w:bottom w:val="single" w:sz="4" w:space="0" w:color="auto"/>
              <w:right w:val="nil"/>
            </w:tcBorders>
            <w:shd w:val="clear" w:color="auto" w:fill="auto"/>
            <w:hideMark/>
          </w:tcPr>
          <w:p w14:paraId="5E44715A" w14:textId="71F88B2E" w:rsidR="00C51B3B" w:rsidRPr="001B7B27" w:rsidRDefault="00C51B3B" w:rsidP="00C51B3B">
            <w:pPr>
              <w:rPr>
                <w:rFonts w:ascii="Calibri" w:hAnsi="Calibri" w:cs="Calibri"/>
                <w:color w:val="000000"/>
                <w:sz w:val="16"/>
                <w:szCs w:val="16"/>
              </w:rPr>
            </w:pPr>
            <w:r>
              <w:rPr>
                <w:rFonts w:ascii="Calibri" w:hAnsi="Calibri" w:cs="Calibri"/>
                <w:sz w:val="16"/>
                <w:szCs w:val="16"/>
              </w:rPr>
              <w:t>The results are compatible with the notion that a more limited radiotherapy volume may suffice for close or positive margins, especially in the absence of other risk factors.</w:t>
            </w:r>
          </w:p>
        </w:tc>
        <w:tc>
          <w:tcPr>
            <w:tcW w:w="1134" w:type="dxa"/>
            <w:tcBorders>
              <w:left w:val="nil"/>
              <w:bottom w:val="single" w:sz="4" w:space="0" w:color="auto"/>
              <w:right w:val="nil"/>
            </w:tcBorders>
            <w:shd w:val="clear" w:color="auto" w:fill="auto"/>
            <w:hideMark/>
          </w:tcPr>
          <w:p w14:paraId="49B80133" w14:textId="1ED73AEF" w:rsidR="00C51B3B" w:rsidRDefault="00C51B3B" w:rsidP="00C51B3B">
            <w:pPr>
              <w:rPr>
                <w:rFonts w:ascii="Calibri" w:hAnsi="Calibri" w:cs="Calibri"/>
                <w:sz w:val="16"/>
                <w:szCs w:val="16"/>
              </w:rPr>
            </w:pPr>
            <w:r>
              <w:rPr>
                <w:rFonts w:ascii="Calibri" w:hAnsi="Calibri" w:cs="Calibri"/>
                <w:sz w:val="16"/>
                <w:szCs w:val="16"/>
              </w:rPr>
              <w:t xml:space="preserve">The surgical and BRT techniques are current. </w:t>
            </w:r>
            <w:r>
              <w:rPr>
                <w:rFonts w:ascii="Calibri" w:hAnsi="Calibri" w:cs="Calibri"/>
                <w:sz w:val="16"/>
                <w:szCs w:val="16"/>
              </w:rPr>
              <w:br/>
            </w:r>
            <w:r>
              <w:rPr>
                <w:rFonts w:ascii="Calibri" w:hAnsi="Calibri" w:cs="Calibri"/>
                <w:sz w:val="16"/>
                <w:szCs w:val="16"/>
              </w:rPr>
              <w:br/>
              <w:t xml:space="preserve">The adjuvant EBRT used more hypofractionated regimens  than are usually used. The concurrent ChT agents (carboplatin + </w:t>
            </w:r>
            <w:proofErr w:type="spellStart"/>
            <w:r>
              <w:rPr>
                <w:rFonts w:ascii="Calibri" w:hAnsi="Calibri" w:cs="Calibri"/>
                <w:sz w:val="16"/>
                <w:szCs w:val="16"/>
              </w:rPr>
              <w:t>taxol</w:t>
            </w:r>
            <w:proofErr w:type="spellEnd"/>
            <w:r>
              <w:rPr>
                <w:rFonts w:ascii="Calibri" w:hAnsi="Calibri" w:cs="Calibri"/>
                <w:sz w:val="16"/>
                <w:szCs w:val="16"/>
              </w:rPr>
              <w:t>) used are also not the agents commonly used.</w:t>
            </w:r>
            <w:r>
              <w:rPr>
                <w:rFonts w:ascii="Calibri" w:hAnsi="Calibri" w:cs="Calibri"/>
                <w:sz w:val="16"/>
                <w:szCs w:val="16"/>
              </w:rPr>
              <w:br/>
            </w:r>
            <w:r>
              <w:rPr>
                <w:rFonts w:ascii="Calibri" w:hAnsi="Calibri" w:cs="Calibri"/>
                <w:sz w:val="16"/>
                <w:szCs w:val="16"/>
              </w:rPr>
              <w:br/>
              <w:t xml:space="preserve">It is not clear which staging system was used. This may affect the staging profile of the cohort but will not likely affect the protocol-defined management (margin status for </w:t>
            </w:r>
            <w:r w:rsidR="00691248">
              <w:rPr>
                <w:rFonts w:ascii="Calibri" w:hAnsi="Calibri" w:cs="Calibri"/>
                <w:sz w:val="16"/>
                <w:szCs w:val="16"/>
              </w:rPr>
              <w:t>IRT</w:t>
            </w:r>
            <w:r>
              <w:rPr>
                <w:rFonts w:ascii="Calibri" w:hAnsi="Calibri" w:cs="Calibri"/>
                <w:sz w:val="16"/>
                <w:szCs w:val="16"/>
              </w:rPr>
              <w:t xml:space="preserve"> nodal status </w:t>
            </w:r>
            <w:proofErr w:type="spellStart"/>
            <w:r>
              <w:rPr>
                <w:rFonts w:ascii="Calibri" w:hAnsi="Calibri" w:cs="Calibri"/>
                <w:sz w:val="16"/>
                <w:szCs w:val="16"/>
              </w:rPr>
              <w:t>status</w:t>
            </w:r>
            <w:proofErr w:type="spellEnd"/>
            <w:r>
              <w:rPr>
                <w:rFonts w:ascii="Calibri" w:hAnsi="Calibri" w:cs="Calibri"/>
                <w:sz w:val="16"/>
                <w:szCs w:val="16"/>
              </w:rPr>
              <w:t xml:space="preserve"> for EBRT and ChT).</w:t>
            </w:r>
          </w:p>
          <w:p w14:paraId="02BD75BF" w14:textId="13007109" w:rsidR="001C2D3A" w:rsidRPr="001B7B27" w:rsidRDefault="001C2D3A" w:rsidP="00C51B3B">
            <w:pPr>
              <w:rPr>
                <w:rFonts w:ascii="Calibri" w:hAnsi="Calibri" w:cs="Calibri"/>
                <w:color w:val="000000"/>
                <w:sz w:val="16"/>
                <w:szCs w:val="16"/>
              </w:rPr>
            </w:pPr>
          </w:p>
        </w:tc>
        <w:tc>
          <w:tcPr>
            <w:tcW w:w="1280" w:type="dxa"/>
            <w:tcBorders>
              <w:left w:val="nil"/>
              <w:bottom w:val="single" w:sz="4" w:space="0" w:color="auto"/>
              <w:right w:val="nil"/>
            </w:tcBorders>
            <w:shd w:val="clear" w:color="auto" w:fill="auto"/>
            <w:hideMark/>
          </w:tcPr>
          <w:p w14:paraId="395AD104" w14:textId="236D1E94" w:rsidR="00C51B3B" w:rsidRPr="001B7B27" w:rsidRDefault="00C51B3B" w:rsidP="00C51B3B">
            <w:pPr>
              <w:rPr>
                <w:rFonts w:ascii="Calibri" w:hAnsi="Calibri" w:cs="Calibri"/>
                <w:color w:val="000000"/>
                <w:sz w:val="16"/>
                <w:szCs w:val="16"/>
              </w:rPr>
            </w:pPr>
            <w:r>
              <w:rPr>
                <w:rFonts w:ascii="Calibri" w:hAnsi="Calibri" w:cs="Calibri"/>
                <w:sz w:val="16"/>
                <w:szCs w:val="16"/>
              </w:rPr>
              <w:t xml:space="preserve">The study provides prospective data on the medium-term recurrence, survival, and toxicity rates with </w:t>
            </w:r>
            <w:r w:rsidR="00691248">
              <w:rPr>
                <w:rFonts w:ascii="Calibri" w:hAnsi="Calibri" w:cs="Calibri"/>
                <w:sz w:val="16"/>
                <w:szCs w:val="16"/>
              </w:rPr>
              <w:t>POIRT</w:t>
            </w:r>
            <w:r>
              <w:rPr>
                <w:rFonts w:ascii="Calibri" w:hAnsi="Calibri" w:cs="Calibri"/>
                <w:sz w:val="16"/>
                <w:szCs w:val="16"/>
              </w:rPr>
              <w:t xml:space="preserve"> ± EBRT for resected, nonmetastatic OTSCC with close or positive margins.</w:t>
            </w:r>
          </w:p>
        </w:tc>
      </w:tr>
      <w:tr w:rsidR="001C2D3A" w:rsidRPr="001B7B27" w14:paraId="03EAF36D" w14:textId="77777777" w:rsidTr="00492095">
        <w:trPr>
          <w:trHeight w:val="70"/>
        </w:trPr>
        <w:tc>
          <w:tcPr>
            <w:tcW w:w="707" w:type="dxa"/>
            <w:vMerge w:val="restart"/>
            <w:tcBorders>
              <w:left w:val="nil"/>
              <w:right w:val="nil"/>
            </w:tcBorders>
            <w:shd w:val="clear" w:color="auto" w:fill="auto"/>
          </w:tcPr>
          <w:p w14:paraId="6DC3EA3C" w14:textId="73DE18D8" w:rsidR="001C2D3A" w:rsidRPr="001B7B27" w:rsidRDefault="001C2D3A" w:rsidP="001C2D3A">
            <w:pPr>
              <w:rPr>
                <w:rFonts w:ascii="Calibri" w:hAnsi="Calibri" w:cs="Calibri"/>
                <w:color w:val="000000"/>
                <w:sz w:val="16"/>
                <w:szCs w:val="16"/>
              </w:rPr>
            </w:pPr>
            <w:proofErr w:type="spellStart"/>
            <w:r w:rsidRPr="00C51B3B">
              <w:rPr>
                <w:rFonts w:ascii="Calibri" w:hAnsi="Calibri" w:cs="Calibri"/>
                <w:color w:val="000000"/>
                <w:sz w:val="16"/>
                <w:szCs w:val="16"/>
              </w:rPr>
              <w:t>Gaztañaga</w:t>
            </w:r>
            <w:proofErr w:type="spellEnd"/>
            <w:r w:rsidRPr="00C51B3B">
              <w:rPr>
                <w:rFonts w:ascii="Calibri" w:hAnsi="Calibri" w:cs="Calibri"/>
                <w:color w:val="000000"/>
                <w:sz w:val="16"/>
                <w:szCs w:val="16"/>
              </w:rPr>
              <w:t>, 2012</w:t>
            </w:r>
          </w:p>
        </w:tc>
        <w:tc>
          <w:tcPr>
            <w:tcW w:w="1274" w:type="dxa"/>
            <w:tcBorders>
              <w:left w:val="nil"/>
              <w:bottom w:val="single" w:sz="4" w:space="0" w:color="auto"/>
              <w:right w:val="nil"/>
            </w:tcBorders>
            <w:shd w:val="clear" w:color="auto" w:fill="auto"/>
          </w:tcPr>
          <w:p w14:paraId="0FFDEB8C" w14:textId="7CAF3B84" w:rsidR="001C2D3A" w:rsidRPr="001B7B27" w:rsidRDefault="001C2D3A"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80" w:type="dxa"/>
            <w:tcBorders>
              <w:left w:val="nil"/>
              <w:bottom w:val="single" w:sz="4" w:space="0" w:color="auto"/>
              <w:right w:val="nil"/>
            </w:tcBorders>
            <w:shd w:val="clear" w:color="auto" w:fill="auto"/>
          </w:tcPr>
          <w:p w14:paraId="1B421521" w14:textId="1A51A7FE" w:rsidR="001C2D3A" w:rsidRPr="001B7B27" w:rsidRDefault="001C2D3A"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134" w:type="dxa"/>
            <w:tcBorders>
              <w:left w:val="nil"/>
              <w:bottom w:val="single" w:sz="4" w:space="0" w:color="auto"/>
              <w:right w:val="nil"/>
            </w:tcBorders>
            <w:shd w:val="clear" w:color="auto" w:fill="auto"/>
          </w:tcPr>
          <w:p w14:paraId="51316077" w14:textId="110D6C43" w:rsidR="001C2D3A" w:rsidRPr="001B7B27" w:rsidRDefault="001C2D3A" w:rsidP="00043C52">
            <w:pPr>
              <w:jc w:val="center"/>
              <w:rPr>
                <w:rFonts w:ascii="Calibri" w:hAnsi="Calibri" w:cs="Calibri"/>
                <w:sz w:val="16"/>
                <w:szCs w:val="16"/>
              </w:rPr>
            </w:pPr>
            <w:r>
              <w:rPr>
                <w:rFonts w:ascii="Calibri" w:hAnsi="Calibri" w:cs="Calibri"/>
                <w:b/>
                <w:bCs/>
                <w:color w:val="000000"/>
                <w:sz w:val="16"/>
                <w:szCs w:val="16"/>
              </w:rPr>
              <w:t>Low risk</w:t>
            </w:r>
          </w:p>
        </w:tc>
        <w:tc>
          <w:tcPr>
            <w:tcW w:w="1275" w:type="dxa"/>
            <w:tcBorders>
              <w:left w:val="nil"/>
              <w:bottom w:val="single" w:sz="4" w:space="0" w:color="auto"/>
              <w:right w:val="nil"/>
            </w:tcBorders>
            <w:shd w:val="clear" w:color="auto" w:fill="auto"/>
          </w:tcPr>
          <w:p w14:paraId="6E4E8806" w14:textId="32E2372D" w:rsidR="001C2D3A" w:rsidRPr="001B7B27" w:rsidRDefault="001C2D3A"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76" w:type="dxa"/>
            <w:tcBorders>
              <w:left w:val="nil"/>
              <w:bottom w:val="single" w:sz="4" w:space="0" w:color="auto"/>
              <w:right w:val="nil"/>
            </w:tcBorders>
            <w:shd w:val="clear" w:color="auto" w:fill="auto"/>
          </w:tcPr>
          <w:p w14:paraId="55C5435E" w14:textId="57DDD6E9" w:rsidR="001C2D3A" w:rsidRDefault="001C2D3A" w:rsidP="00043C52">
            <w:pPr>
              <w:jc w:val="center"/>
              <w:rPr>
                <w:rFonts w:ascii="Calibri" w:hAnsi="Calibri" w:cs="Calibri"/>
                <w:sz w:val="16"/>
                <w:szCs w:val="16"/>
              </w:rPr>
            </w:pPr>
            <w:r>
              <w:rPr>
                <w:rFonts w:ascii="Calibri" w:hAnsi="Calibri" w:cs="Calibri"/>
                <w:b/>
                <w:bCs/>
                <w:color w:val="000000"/>
                <w:sz w:val="16"/>
                <w:szCs w:val="16"/>
              </w:rPr>
              <w:t>Low risk</w:t>
            </w:r>
          </w:p>
        </w:tc>
        <w:tc>
          <w:tcPr>
            <w:tcW w:w="1134" w:type="dxa"/>
            <w:tcBorders>
              <w:left w:val="nil"/>
              <w:bottom w:val="single" w:sz="4" w:space="0" w:color="auto"/>
              <w:right w:val="nil"/>
            </w:tcBorders>
            <w:shd w:val="clear" w:color="auto" w:fill="auto"/>
          </w:tcPr>
          <w:p w14:paraId="0BB64A4A" w14:textId="04519778" w:rsidR="001C2D3A" w:rsidRPr="001B7B27" w:rsidRDefault="001C2D3A" w:rsidP="00043C52">
            <w:pPr>
              <w:jc w:val="center"/>
              <w:rPr>
                <w:rFonts w:ascii="Calibri" w:hAnsi="Calibri" w:cs="Calibri"/>
                <w:sz w:val="16"/>
                <w:szCs w:val="16"/>
              </w:rPr>
            </w:pPr>
            <w:r>
              <w:rPr>
                <w:rFonts w:ascii="Calibri" w:hAnsi="Calibri" w:cs="Calibri"/>
                <w:b/>
                <w:bCs/>
                <w:color w:val="000000"/>
                <w:sz w:val="16"/>
                <w:szCs w:val="16"/>
              </w:rPr>
              <w:t>Low risk</w:t>
            </w:r>
          </w:p>
        </w:tc>
        <w:tc>
          <w:tcPr>
            <w:tcW w:w="1559" w:type="dxa"/>
            <w:tcBorders>
              <w:left w:val="nil"/>
              <w:bottom w:val="single" w:sz="4" w:space="0" w:color="auto"/>
              <w:right w:val="nil"/>
            </w:tcBorders>
            <w:shd w:val="clear" w:color="auto" w:fill="auto"/>
          </w:tcPr>
          <w:p w14:paraId="6B4CA3E4" w14:textId="4B217893" w:rsidR="001C2D3A" w:rsidRDefault="001C2D3A"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851" w:type="dxa"/>
            <w:tcBorders>
              <w:left w:val="nil"/>
              <w:bottom w:val="single" w:sz="4" w:space="0" w:color="auto"/>
              <w:right w:val="nil"/>
            </w:tcBorders>
            <w:shd w:val="clear" w:color="auto" w:fill="auto"/>
          </w:tcPr>
          <w:p w14:paraId="763845B4" w14:textId="606B8128" w:rsidR="001C2D3A" w:rsidRPr="00043C52" w:rsidRDefault="001C2D3A" w:rsidP="00043C52">
            <w:pPr>
              <w:jc w:val="center"/>
              <w:rPr>
                <w:rFonts w:ascii="Calibri" w:hAnsi="Calibri" w:cs="Calibri"/>
                <w:color w:val="FF0000"/>
                <w:sz w:val="16"/>
                <w:szCs w:val="16"/>
              </w:rPr>
            </w:pPr>
            <w:r w:rsidRPr="00043C52">
              <w:rPr>
                <w:rFonts w:ascii="Calibri" w:hAnsi="Calibri" w:cs="Calibri"/>
                <w:b/>
                <w:bCs/>
                <w:color w:val="FF0000"/>
                <w:sz w:val="16"/>
                <w:szCs w:val="16"/>
              </w:rPr>
              <w:t>High risk</w:t>
            </w:r>
          </w:p>
        </w:tc>
        <w:tc>
          <w:tcPr>
            <w:tcW w:w="1134" w:type="dxa"/>
            <w:tcBorders>
              <w:left w:val="nil"/>
              <w:bottom w:val="single" w:sz="4" w:space="0" w:color="auto"/>
              <w:right w:val="nil"/>
            </w:tcBorders>
            <w:shd w:val="clear" w:color="auto" w:fill="auto"/>
          </w:tcPr>
          <w:p w14:paraId="67D70F89" w14:textId="127FE2F5" w:rsidR="001C2D3A" w:rsidRPr="001B7B27" w:rsidRDefault="001C2D3A"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76" w:type="dxa"/>
            <w:tcBorders>
              <w:left w:val="nil"/>
              <w:bottom w:val="single" w:sz="4" w:space="0" w:color="auto"/>
              <w:right w:val="nil"/>
            </w:tcBorders>
            <w:shd w:val="clear" w:color="auto" w:fill="auto"/>
          </w:tcPr>
          <w:p w14:paraId="407BF26E" w14:textId="618123CD" w:rsidR="001C2D3A" w:rsidRPr="001B7B27" w:rsidRDefault="001C2D3A" w:rsidP="00043C52">
            <w:pPr>
              <w:jc w:val="center"/>
              <w:rPr>
                <w:rFonts w:ascii="Calibri" w:hAnsi="Calibri" w:cs="Calibri"/>
                <w:color w:val="000000"/>
                <w:sz w:val="16"/>
                <w:szCs w:val="16"/>
              </w:rPr>
            </w:pPr>
            <w:r>
              <w:rPr>
                <w:rFonts w:ascii="Calibri" w:hAnsi="Calibri" w:cs="Calibri"/>
                <w:b/>
                <w:bCs/>
                <w:color w:val="FF0000"/>
                <w:sz w:val="16"/>
                <w:szCs w:val="16"/>
              </w:rPr>
              <w:t>High risk</w:t>
            </w:r>
          </w:p>
        </w:tc>
        <w:tc>
          <w:tcPr>
            <w:tcW w:w="1134" w:type="dxa"/>
            <w:tcBorders>
              <w:left w:val="nil"/>
              <w:bottom w:val="single" w:sz="4" w:space="0" w:color="auto"/>
              <w:right w:val="nil"/>
            </w:tcBorders>
            <w:shd w:val="clear" w:color="auto" w:fill="auto"/>
          </w:tcPr>
          <w:p w14:paraId="6E1042DF" w14:textId="753303F4" w:rsidR="001C2D3A" w:rsidRPr="001B7B27" w:rsidRDefault="001C2D3A"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80" w:type="dxa"/>
            <w:tcBorders>
              <w:left w:val="nil"/>
              <w:bottom w:val="single" w:sz="4" w:space="0" w:color="auto"/>
              <w:right w:val="nil"/>
            </w:tcBorders>
            <w:shd w:val="clear" w:color="auto" w:fill="auto"/>
          </w:tcPr>
          <w:p w14:paraId="00E247D9" w14:textId="422662FA" w:rsidR="001C2D3A" w:rsidRPr="001B7B27" w:rsidRDefault="001C2D3A" w:rsidP="00043C52">
            <w:pPr>
              <w:jc w:val="center"/>
              <w:rPr>
                <w:rFonts w:ascii="Calibri" w:hAnsi="Calibri" w:cs="Calibri"/>
                <w:color w:val="000000"/>
                <w:sz w:val="16"/>
                <w:szCs w:val="16"/>
              </w:rPr>
            </w:pPr>
            <w:r>
              <w:rPr>
                <w:rFonts w:ascii="Calibri" w:hAnsi="Calibri" w:cs="Calibri"/>
                <w:b/>
                <w:bCs/>
                <w:color w:val="000000"/>
                <w:sz w:val="16"/>
                <w:szCs w:val="16"/>
              </w:rPr>
              <w:t>Low risk</w:t>
            </w:r>
          </w:p>
        </w:tc>
      </w:tr>
      <w:tr w:rsidR="001C2D3A" w:rsidRPr="001B7B27" w14:paraId="619AC4FA" w14:textId="77777777" w:rsidTr="002F5140">
        <w:trPr>
          <w:trHeight w:val="3217"/>
        </w:trPr>
        <w:tc>
          <w:tcPr>
            <w:tcW w:w="707" w:type="dxa"/>
            <w:vMerge/>
            <w:tcBorders>
              <w:left w:val="nil"/>
              <w:bottom w:val="single" w:sz="4" w:space="0" w:color="auto"/>
              <w:right w:val="nil"/>
            </w:tcBorders>
            <w:shd w:val="clear" w:color="auto" w:fill="auto"/>
          </w:tcPr>
          <w:p w14:paraId="38BFA691" w14:textId="77777777" w:rsidR="001C2D3A" w:rsidRPr="001B7B27" w:rsidRDefault="001C2D3A" w:rsidP="001C2D3A">
            <w:pPr>
              <w:rPr>
                <w:rFonts w:ascii="Calibri" w:hAnsi="Calibri" w:cs="Calibri"/>
                <w:color w:val="000000"/>
                <w:sz w:val="16"/>
                <w:szCs w:val="16"/>
              </w:rPr>
            </w:pPr>
          </w:p>
        </w:tc>
        <w:tc>
          <w:tcPr>
            <w:tcW w:w="1274" w:type="dxa"/>
            <w:tcBorders>
              <w:left w:val="nil"/>
              <w:bottom w:val="single" w:sz="4" w:space="0" w:color="auto"/>
              <w:right w:val="nil"/>
            </w:tcBorders>
            <w:shd w:val="clear" w:color="auto" w:fill="auto"/>
          </w:tcPr>
          <w:p w14:paraId="2B65D507" w14:textId="69EE39AC" w:rsidR="001C2D3A" w:rsidRPr="001B7B27" w:rsidRDefault="001C2D3A" w:rsidP="001C2D3A">
            <w:pPr>
              <w:rPr>
                <w:rFonts w:ascii="Calibri" w:hAnsi="Calibri" w:cs="Calibri"/>
                <w:color w:val="000000"/>
                <w:sz w:val="16"/>
                <w:szCs w:val="16"/>
              </w:rPr>
            </w:pPr>
            <w:r>
              <w:rPr>
                <w:rFonts w:ascii="Calibri" w:hAnsi="Calibri" w:cs="Calibri"/>
                <w:sz w:val="16"/>
                <w:szCs w:val="16"/>
              </w:rPr>
              <w:t xml:space="preserve">The study prospectively assessed the disease control, survival, and complication rates with </w:t>
            </w:r>
            <w:r w:rsidR="00691248">
              <w:rPr>
                <w:rFonts w:ascii="Calibri" w:hAnsi="Calibri" w:cs="Calibri"/>
                <w:sz w:val="16"/>
                <w:szCs w:val="16"/>
              </w:rPr>
              <w:t>POIRT</w:t>
            </w:r>
            <w:r>
              <w:rPr>
                <w:rFonts w:ascii="Calibri" w:hAnsi="Calibri" w:cs="Calibri"/>
                <w:sz w:val="16"/>
                <w:szCs w:val="16"/>
              </w:rPr>
              <w:t xml:space="preserve"> with or without EBRT for resected, nonmetastatic primary or recurrent HNSCC.</w:t>
            </w:r>
          </w:p>
        </w:tc>
        <w:tc>
          <w:tcPr>
            <w:tcW w:w="1280" w:type="dxa"/>
            <w:tcBorders>
              <w:left w:val="nil"/>
              <w:bottom w:val="single" w:sz="4" w:space="0" w:color="auto"/>
              <w:right w:val="nil"/>
            </w:tcBorders>
            <w:shd w:val="clear" w:color="auto" w:fill="auto"/>
          </w:tcPr>
          <w:p w14:paraId="7CAA4AE6" w14:textId="4803D72F" w:rsidR="001C2D3A" w:rsidRPr="001B7B27" w:rsidRDefault="001C2D3A" w:rsidP="001C2D3A">
            <w:pPr>
              <w:rPr>
                <w:rFonts w:ascii="Calibri" w:hAnsi="Calibri" w:cs="Calibri"/>
                <w:color w:val="000000"/>
                <w:sz w:val="16"/>
                <w:szCs w:val="16"/>
              </w:rPr>
            </w:pPr>
            <w:r>
              <w:rPr>
                <w:rFonts w:ascii="Calibri" w:hAnsi="Calibri" w:cs="Calibri"/>
                <w:sz w:val="16"/>
                <w:szCs w:val="16"/>
              </w:rPr>
              <w:t xml:space="preserve">From October 2000 to October 2008, 57 pts with primary or recurrent HNSCC were recruited into the study. The definitions used for surgical margin adequacy are standard. Forty had primary disease and had </w:t>
            </w:r>
            <w:r w:rsidR="00691248">
              <w:rPr>
                <w:rFonts w:ascii="Calibri" w:hAnsi="Calibri" w:cs="Calibri"/>
                <w:sz w:val="16"/>
                <w:szCs w:val="16"/>
              </w:rPr>
              <w:t>POIRT</w:t>
            </w:r>
            <w:r>
              <w:rPr>
                <w:rFonts w:ascii="Calibri" w:hAnsi="Calibri" w:cs="Calibri"/>
                <w:sz w:val="16"/>
                <w:szCs w:val="16"/>
              </w:rPr>
              <w:t xml:space="preserve"> + EBRT.</w:t>
            </w:r>
          </w:p>
        </w:tc>
        <w:tc>
          <w:tcPr>
            <w:tcW w:w="1134" w:type="dxa"/>
            <w:tcBorders>
              <w:left w:val="nil"/>
              <w:bottom w:val="single" w:sz="4" w:space="0" w:color="auto"/>
              <w:right w:val="nil"/>
            </w:tcBorders>
            <w:shd w:val="clear" w:color="auto" w:fill="auto"/>
          </w:tcPr>
          <w:p w14:paraId="2C086632" w14:textId="30D7F079" w:rsidR="001C2D3A" w:rsidRPr="001B7B27" w:rsidRDefault="001C2D3A" w:rsidP="001C2D3A">
            <w:pPr>
              <w:rPr>
                <w:rFonts w:ascii="Calibri" w:hAnsi="Calibri" w:cs="Calibri"/>
                <w:sz w:val="16"/>
                <w:szCs w:val="16"/>
              </w:rPr>
            </w:pPr>
            <w:r>
              <w:rPr>
                <w:rFonts w:ascii="Calibri" w:hAnsi="Calibri" w:cs="Calibri"/>
                <w:sz w:val="16"/>
                <w:szCs w:val="16"/>
              </w:rPr>
              <w:t xml:space="preserve">The surgery, </w:t>
            </w:r>
            <w:r w:rsidR="00691248">
              <w:rPr>
                <w:rFonts w:ascii="Calibri" w:hAnsi="Calibri" w:cs="Calibri"/>
                <w:sz w:val="16"/>
                <w:szCs w:val="16"/>
              </w:rPr>
              <w:t>POIRT</w:t>
            </w:r>
            <w:r>
              <w:rPr>
                <w:rFonts w:ascii="Calibri" w:hAnsi="Calibri" w:cs="Calibri"/>
                <w:sz w:val="16"/>
                <w:szCs w:val="16"/>
              </w:rPr>
              <w:t>, EBRT and ChT protocols were described adequately.</w:t>
            </w:r>
            <w:r>
              <w:rPr>
                <w:rFonts w:ascii="Calibri" w:hAnsi="Calibri" w:cs="Calibri"/>
                <w:sz w:val="16"/>
                <w:szCs w:val="16"/>
              </w:rPr>
              <w:br/>
            </w:r>
            <w:r>
              <w:rPr>
                <w:rFonts w:ascii="Calibri" w:hAnsi="Calibri" w:cs="Calibri"/>
                <w:sz w:val="16"/>
                <w:szCs w:val="16"/>
              </w:rPr>
              <w:br/>
              <w:t>All pts had a GTR.</w:t>
            </w:r>
            <w:r>
              <w:rPr>
                <w:rFonts w:ascii="Calibri" w:hAnsi="Calibri" w:cs="Calibri"/>
                <w:sz w:val="16"/>
                <w:szCs w:val="16"/>
              </w:rPr>
              <w:br/>
            </w:r>
            <w:r>
              <w:rPr>
                <w:rFonts w:ascii="Calibri" w:hAnsi="Calibri" w:cs="Calibri"/>
                <w:sz w:val="16"/>
                <w:szCs w:val="16"/>
              </w:rPr>
              <w:br/>
              <w:t>Less than 10% (2%) was treated off-protocol.</w:t>
            </w:r>
          </w:p>
        </w:tc>
        <w:tc>
          <w:tcPr>
            <w:tcW w:w="1275" w:type="dxa"/>
            <w:tcBorders>
              <w:left w:val="nil"/>
              <w:bottom w:val="single" w:sz="4" w:space="0" w:color="auto"/>
              <w:right w:val="nil"/>
            </w:tcBorders>
            <w:shd w:val="clear" w:color="auto" w:fill="auto"/>
          </w:tcPr>
          <w:p w14:paraId="3A1C2FE5" w14:textId="4781954B" w:rsidR="001C2D3A" w:rsidRDefault="001C2D3A" w:rsidP="001C2D3A">
            <w:pPr>
              <w:rPr>
                <w:rFonts w:ascii="Calibri" w:hAnsi="Calibri" w:cs="Calibri"/>
                <w:color w:val="000000"/>
                <w:sz w:val="16"/>
                <w:szCs w:val="16"/>
              </w:rPr>
            </w:pPr>
            <w:r>
              <w:rPr>
                <w:rFonts w:ascii="Calibri" w:hAnsi="Calibri" w:cs="Calibri"/>
                <w:color w:val="000000"/>
                <w:sz w:val="16"/>
                <w:szCs w:val="16"/>
              </w:rPr>
              <w:t xml:space="preserve">Survival events were per standard definitions. </w:t>
            </w:r>
            <w:r>
              <w:rPr>
                <w:rFonts w:ascii="Calibri" w:hAnsi="Calibri" w:cs="Calibri"/>
                <w:color w:val="000000"/>
                <w:sz w:val="16"/>
                <w:szCs w:val="16"/>
              </w:rPr>
              <w:br/>
            </w:r>
            <w:r>
              <w:rPr>
                <w:rFonts w:ascii="Calibri" w:hAnsi="Calibri" w:cs="Calibri"/>
                <w:color w:val="000000"/>
                <w:sz w:val="16"/>
                <w:szCs w:val="16"/>
              </w:rPr>
              <w:br/>
              <w:t>Toxicity criteria was evaluated per standard criteria (RTOG acute/late radiation morbidity scoring schema).</w:t>
            </w:r>
            <w:r>
              <w:rPr>
                <w:rFonts w:ascii="Calibri" w:hAnsi="Calibri" w:cs="Calibri"/>
                <w:color w:val="000000"/>
                <w:sz w:val="16"/>
                <w:szCs w:val="16"/>
              </w:rPr>
              <w:br/>
            </w:r>
            <w:r>
              <w:rPr>
                <w:rFonts w:ascii="Calibri" w:hAnsi="Calibri" w:cs="Calibri"/>
                <w:color w:val="000000"/>
                <w:sz w:val="16"/>
                <w:szCs w:val="16"/>
              </w:rPr>
              <w:br/>
              <w:t xml:space="preserve">Toxicities strongly related to the surgery and that occurred before completion of the </w:t>
            </w:r>
            <w:r w:rsidR="00691248">
              <w:rPr>
                <w:rFonts w:ascii="Calibri" w:hAnsi="Calibri" w:cs="Calibri"/>
                <w:color w:val="000000"/>
                <w:sz w:val="16"/>
                <w:szCs w:val="16"/>
              </w:rPr>
              <w:t>POIRT</w:t>
            </w:r>
            <w:r>
              <w:rPr>
                <w:rFonts w:ascii="Calibri" w:hAnsi="Calibri" w:cs="Calibri"/>
                <w:color w:val="000000"/>
                <w:sz w:val="16"/>
                <w:szCs w:val="16"/>
              </w:rPr>
              <w:t xml:space="preserve"> were excluded from the </w:t>
            </w:r>
            <w:r w:rsidR="00691248">
              <w:rPr>
                <w:rFonts w:ascii="Calibri" w:hAnsi="Calibri" w:cs="Calibri"/>
                <w:color w:val="000000"/>
                <w:sz w:val="16"/>
                <w:szCs w:val="16"/>
              </w:rPr>
              <w:t>POIRT</w:t>
            </w:r>
            <w:r>
              <w:rPr>
                <w:rFonts w:ascii="Calibri" w:hAnsi="Calibri" w:cs="Calibri"/>
                <w:color w:val="000000"/>
                <w:sz w:val="16"/>
                <w:szCs w:val="16"/>
              </w:rPr>
              <w:t xml:space="preserve"> toxicity analysis.</w:t>
            </w:r>
            <w:r>
              <w:rPr>
                <w:rFonts w:ascii="Calibri" w:hAnsi="Calibri" w:cs="Calibri"/>
                <w:color w:val="000000"/>
                <w:sz w:val="16"/>
                <w:szCs w:val="16"/>
              </w:rPr>
              <w:br/>
            </w:r>
            <w:r>
              <w:rPr>
                <w:rFonts w:ascii="Calibri" w:hAnsi="Calibri" w:cs="Calibri"/>
                <w:color w:val="000000"/>
                <w:sz w:val="16"/>
                <w:szCs w:val="16"/>
              </w:rPr>
              <w:br/>
              <w:t xml:space="preserve">The Kaplan-Meier method was used in the survival analyses. </w:t>
            </w:r>
          </w:p>
          <w:p w14:paraId="594563C1" w14:textId="0BA97EDB" w:rsidR="001C2D3A" w:rsidRPr="001B7B27" w:rsidRDefault="001C2D3A" w:rsidP="001C2D3A">
            <w:pPr>
              <w:rPr>
                <w:rFonts w:ascii="Calibri" w:hAnsi="Calibri" w:cs="Calibri"/>
                <w:color w:val="000000"/>
                <w:sz w:val="16"/>
                <w:szCs w:val="16"/>
              </w:rPr>
            </w:pPr>
          </w:p>
        </w:tc>
        <w:tc>
          <w:tcPr>
            <w:tcW w:w="1276" w:type="dxa"/>
            <w:tcBorders>
              <w:left w:val="nil"/>
              <w:bottom w:val="single" w:sz="4" w:space="0" w:color="auto"/>
              <w:right w:val="nil"/>
            </w:tcBorders>
            <w:shd w:val="clear" w:color="auto" w:fill="auto"/>
          </w:tcPr>
          <w:p w14:paraId="5610C9EA" w14:textId="08192DD3" w:rsidR="001C2D3A" w:rsidRDefault="001C2D3A" w:rsidP="001C2D3A">
            <w:pPr>
              <w:rPr>
                <w:rFonts w:ascii="Calibri" w:hAnsi="Calibri" w:cs="Calibri"/>
                <w:sz w:val="16"/>
                <w:szCs w:val="16"/>
              </w:rPr>
            </w:pPr>
            <w:r>
              <w:rPr>
                <w:rFonts w:ascii="Calibri" w:hAnsi="Calibri" w:cs="Calibri"/>
                <w:color w:val="000000"/>
                <w:sz w:val="16"/>
                <w:szCs w:val="16"/>
              </w:rPr>
              <w:t>Pertinent pt and disease variables were summarized and accounted for in the analyses and discussion.</w:t>
            </w:r>
          </w:p>
        </w:tc>
        <w:tc>
          <w:tcPr>
            <w:tcW w:w="1134" w:type="dxa"/>
            <w:tcBorders>
              <w:left w:val="nil"/>
              <w:bottom w:val="single" w:sz="4" w:space="0" w:color="auto"/>
              <w:right w:val="nil"/>
            </w:tcBorders>
            <w:shd w:val="clear" w:color="auto" w:fill="auto"/>
          </w:tcPr>
          <w:p w14:paraId="5D1EF7F0" w14:textId="148B6033" w:rsidR="001C2D3A" w:rsidRPr="001B7B27" w:rsidRDefault="001C2D3A" w:rsidP="001C2D3A">
            <w:pPr>
              <w:rPr>
                <w:rFonts w:ascii="Calibri" w:hAnsi="Calibri" w:cs="Calibri"/>
                <w:sz w:val="16"/>
                <w:szCs w:val="16"/>
              </w:rPr>
            </w:pPr>
            <w:r>
              <w:rPr>
                <w:rFonts w:ascii="Calibri" w:hAnsi="Calibri" w:cs="Calibri"/>
                <w:color w:val="000000"/>
                <w:sz w:val="16"/>
                <w:szCs w:val="16"/>
              </w:rPr>
              <w:t xml:space="preserve">The FU schedule and modalities were described adequately. the median FU length (52 months) was adequate for the reported outcome measures. All pts were accounted for. </w:t>
            </w:r>
          </w:p>
        </w:tc>
        <w:tc>
          <w:tcPr>
            <w:tcW w:w="1559" w:type="dxa"/>
            <w:tcBorders>
              <w:left w:val="nil"/>
              <w:bottom w:val="single" w:sz="4" w:space="0" w:color="auto"/>
              <w:right w:val="nil"/>
            </w:tcBorders>
            <w:shd w:val="clear" w:color="auto" w:fill="auto"/>
          </w:tcPr>
          <w:p w14:paraId="081A9B8A" w14:textId="1C793F6D" w:rsidR="001C2D3A" w:rsidRDefault="001C2D3A" w:rsidP="001C2D3A">
            <w:pPr>
              <w:rPr>
                <w:rFonts w:ascii="Calibri" w:hAnsi="Calibri" w:cs="Calibri"/>
                <w:color w:val="000000"/>
                <w:sz w:val="16"/>
                <w:szCs w:val="16"/>
              </w:rPr>
            </w:pPr>
            <w:r>
              <w:rPr>
                <w:rFonts w:ascii="Calibri" w:hAnsi="Calibri" w:cs="Calibri"/>
                <w:sz w:val="16"/>
                <w:szCs w:val="16"/>
              </w:rPr>
              <w:t xml:space="preserve">The 5y survival and disease control rates are acceptable, given the proportion of pts with </w:t>
            </w:r>
            <w:proofErr w:type="spellStart"/>
            <w:r>
              <w:rPr>
                <w:rFonts w:ascii="Calibri" w:hAnsi="Calibri" w:cs="Calibri"/>
                <w:sz w:val="16"/>
                <w:szCs w:val="16"/>
              </w:rPr>
              <w:t>cN</w:t>
            </w:r>
            <w:proofErr w:type="spellEnd"/>
            <w:r>
              <w:rPr>
                <w:rFonts w:ascii="Calibri" w:hAnsi="Calibri" w:cs="Calibri"/>
                <w:sz w:val="16"/>
                <w:szCs w:val="16"/>
              </w:rPr>
              <w:t xml:space="preserve">+ (79%) or </w:t>
            </w:r>
            <w:proofErr w:type="spellStart"/>
            <w:r>
              <w:rPr>
                <w:rFonts w:ascii="Calibri" w:hAnsi="Calibri" w:cs="Calibri"/>
                <w:sz w:val="16"/>
                <w:szCs w:val="16"/>
              </w:rPr>
              <w:t>pN</w:t>
            </w:r>
            <w:proofErr w:type="spellEnd"/>
            <w:r>
              <w:rPr>
                <w:rFonts w:ascii="Calibri" w:hAnsi="Calibri" w:cs="Calibri"/>
                <w:sz w:val="16"/>
                <w:szCs w:val="16"/>
              </w:rPr>
              <w:t xml:space="preserve">+ (63.2%) disease. </w:t>
            </w:r>
            <w:r>
              <w:rPr>
                <w:rFonts w:ascii="Calibri" w:hAnsi="Calibri" w:cs="Calibri"/>
                <w:sz w:val="16"/>
                <w:szCs w:val="16"/>
              </w:rPr>
              <w:br/>
            </w:r>
            <w:r>
              <w:rPr>
                <w:rFonts w:ascii="Calibri" w:hAnsi="Calibri" w:cs="Calibri"/>
                <w:sz w:val="16"/>
                <w:szCs w:val="16"/>
              </w:rPr>
              <w:br/>
              <w:t xml:space="preserve">The 5y OS and DFS were 55.2% and 52.4%, respectively, comparable to  historical cohorts treated with </w:t>
            </w:r>
            <w:proofErr w:type="spellStart"/>
            <w:r>
              <w:rPr>
                <w:rFonts w:ascii="Calibri" w:hAnsi="Calibri" w:cs="Calibri"/>
                <w:sz w:val="16"/>
                <w:szCs w:val="16"/>
              </w:rPr>
              <w:t>adjucant</w:t>
            </w:r>
            <w:proofErr w:type="spellEnd"/>
            <w:r>
              <w:rPr>
                <w:rFonts w:ascii="Calibri" w:hAnsi="Calibri" w:cs="Calibri"/>
                <w:sz w:val="16"/>
                <w:szCs w:val="16"/>
              </w:rPr>
              <w:t xml:space="preserve"> EBRT ± ChT (RTOG 9501, EORTC 22931).</w:t>
            </w:r>
            <w:r>
              <w:rPr>
                <w:rFonts w:ascii="Calibri" w:hAnsi="Calibri" w:cs="Calibri"/>
                <w:sz w:val="16"/>
                <w:szCs w:val="16"/>
              </w:rPr>
              <w:br/>
            </w:r>
            <w:r>
              <w:rPr>
                <w:rFonts w:ascii="Calibri" w:hAnsi="Calibri" w:cs="Calibri"/>
                <w:sz w:val="16"/>
                <w:szCs w:val="16"/>
              </w:rPr>
              <w:br/>
              <w:t>The 5y cumulative incidence of severe (grade ≥3 toxicity) was 37.8%, including grade 5 acute (2.5%) and grade 5 late (3.5%) bleeding.</w:t>
            </w:r>
          </w:p>
        </w:tc>
        <w:tc>
          <w:tcPr>
            <w:tcW w:w="851" w:type="dxa"/>
            <w:tcBorders>
              <w:left w:val="nil"/>
              <w:bottom w:val="single" w:sz="4" w:space="0" w:color="auto"/>
              <w:right w:val="nil"/>
            </w:tcBorders>
            <w:shd w:val="clear" w:color="auto" w:fill="auto"/>
          </w:tcPr>
          <w:p w14:paraId="7FCDBF71" w14:textId="2816D37E" w:rsidR="001C2D3A" w:rsidRPr="001B7B27" w:rsidRDefault="001C2D3A" w:rsidP="001C2D3A">
            <w:pPr>
              <w:rPr>
                <w:rFonts w:ascii="Calibri" w:hAnsi="Calibri" w:cs="Calibri"/>
                <w:color w:val="000000"/>
                <w:sz w:val="16"/>
                <w:szCs w:val="16"/>
              </w:rPr>
            </w:pPr>
            <w:r>
              <w:rPr>
                <w:rFonts w:ascii="Calibri" w:hAnsi="Calibri" w:cs="Calibri"/>
                <w:sz w:val="16"/>
                <w:szCs w:val="16"/>
              </w:rPr>
              <w:t xml:space="preserve">CIs were not reported. </w:t>
            </w:r>
            <w:r>
              <w:rPr>
                <w:rFonts w:ascii="Calibri" w:hAnsi="Calibri" w:cs="Calibri"/>
                <w:sz w:val="16"/>
                <w:szCs w:val="16"/>
              </w:rPr>
              <w:br/>
            </w:r>
            <w:r>
              <w:rPr>
                <w:rFonts w:ascii="Calibri" w:hAnsi="Calibri" w:cs="Calibri"/>
                <w:sz w:val="16"/>
                <w:szCs w:val="16"/>
              </w:rPr>
              <w:br/>
              <w:t>The sample size (n=40) allows for estimates with low to moderate precision.</w:t>
            </w:r>
          </w:p>
        </w:tc>
        <w:tc>
          <w:tcPr>
            <w:tcW w:w="1134" w:type="dxa"/>
            <w:tcBorders>
              <w:left w:val="nil"/>
              <w:bottom w:val="single" w:sz="4" w:space="0" w:color="auto"/>
              <w:right w:val="nil"/>
            </w:tcBorders>
            <w:shd w:val="clear" w:color="auto" w:fill="auto"/>
          </w:tcPr>
          <w:p w14:paraId="133648BE" w14:textId="69964FEF" w:rsidR="001C2D3A" w:rsidRPr="001B7B27" w:rsidRDefault="001C2D3A" w:rsidP="001C2D3A">
            <w:pPr>
              <w:rPr>
                <w:rFonts w:ascii="Calibri" w:hAnsi="Calibri" w:cs="Calibri"/>
                <w:color w:val="000000"/>
                <w:sz w:val="16"/>
                <w:szCs w:val="16"/>
              </w:rPr>
            </w:pPr>
            <w:r>
              <w:rPr>
                <w:rFonts w:ascii="Calibri" w:hAnsi="Calibri" w:cs="Calibri"/>
                <w:sz w:val="16"/>
                <w:szCs w:val="16"/>
              </w:rPr>
              <w:t>The 5y OS, DFS and toxicity rates are comparable to historical cohorts of HNSCC treated with adjuvant EBRT ± ChT (RTOG 9501, EORTC 22931).</w:t>
            </w:r>
          </w:p>
        </w:tc>
        <w:tc>
          <w:tcPr>
            <w:tcW w:w="1276" w:type="dxa"/>
            <w:tcBorders>
              <w:left w:val="nil"/>
              <w:bottom w:val="single" w:sz="4" w:space="0" w:color="auto"/>
              <w:right w:val="nil"/>
            </w:tcBorders>
            <w:shd w:val="clear" w:color="auto" w:fill="auto"/>
          </w:tcPr>
          <w:p w14:paraId="249149B6" w14:textId="021328FF" w:rsidR="001C2D3A" w:rsidRPr="001B7B27" w:rsidRDefault="001C2D3A" w:rsidP="001C2D3A">
            <w:pPr>
              <w:rPr>
                <w:rFonts w:ascii="Calibri" w:hAnsi="Calibri" w:cs="Calibri"/>
                <w:color w:val="000000"/>
                <w:sz w:val="16"/>
                <w:szCs w:val="16"/>
              </w:rPr>
            </w:pPr>
            <w:r>
              <w:rPr>
                <w:rFonts w:ascii="Calibri" w:hAnsi="Calibri" w:cs="Calibri"/>
                <w:sz w:val="16"/>
                <w:szCs w:val="16"/>
              </w:rPr>
              <w:t xml:space="preserve">The results are not compatible with the notion that more limited irradiation may result in better tolerance or toxicity profile. The authors attribute this to a need to refine </w:t>
            </w:r>
            <w:r w:rsidR="00691248">
              <w:rPr>
                <w:rFonts w:ascii="Calibri" w:hAnsi="Calibri" w:cs="Calibri"/>
                <w:sz w:val="16"/>
                <w:szCs w:val="16"/>
              </w:rPr>
              <w:t>POIRT</w:t>
            </w:r>
            <w:r>
              <w:rPr>
                <w:rFonts w:ascii="Calibri" w:hAnsi="Calibri" w:cs="Calibri"/>
                <w:sz w:val="16"/>
                <w:szCs w:val="16"/>
              </w:rPr>
              <w:t xml:space="preserve"> protocols.</w:t>
            </w:r>
          </w:p>
        </w:tc>
        <w:tc>
          <w:tcPr>
            <w:tcW w:w="1134" w:type="dxa"/>
            <w:tcBorders>
              <w:left w:val="nil"/>
              <w:bottom w:val="single" w:sz="4" w:space="0" w:color="auto"/>
              <w:right w:val="nil"/>
            </w:tcBorders>
            <w:shd w:val="clear" w:color="auto" w:fill="auto"/>
          </w:tcPr>
          <w:p w14:paraId="74C596CB" w14:textId="539D7B7F" w:rsidR="001C2D3A" w:rsidRPr="001B7B27" w:rsidRDefault="001C2D3A" w:rsidP="001C2D3A">
            <w:pPr>
              <w:rPr>
                <w:rFonts w:ascii="Calibri" w:hAnsi="Calibri" w:cs="Calibri"/>
                <w:color w:val="000000"/>
                <w:sz w:val="16"/>
                <w:szCs w:val="16"/>
              </w:rPr>
            </w:pPr>
            <w:r>
              <w:rPr>
                <w:rFonts w:ascii="Calibri" w:hAnsi="Calibri" w:cs="Calibri"/>
                <w:sz w:val="16"/>
                <w:szCs w:val="16"/>
              </w:rPr>
              <w:t xml:space="preserve">The surgical, BRT and EBRT techniques are current. </w:t>
            </w:r>
          </w:p>
        </w:tc>
        <w:tc>
          <w:tcPr>
            <w:tcW w:w="1280" w:type="dxa"/>
            <w:tcBorders>
              <w:left w:val="nil"/>
              <w:bottom w:val="single" w:sz="4" w:space="0" w:color="auto"/>
              <w:right w:val="nil"/>
            </w:tcBorders>
            <w:shd w:val="clear" w:color="auto" w:fill="auto"/>
          </w:tcPr>
          <w:p w14:paraId="5B36D51E" w14:textId="25C537E8" w:rsidR="001C2D3A" w:rsidRPr="001B7B27" w:rsidRDefault="001C2D3A" w:rsidP="001C2D3A">
            <w:pPr>
              <w:rPr>
                <w:rFonts w:ascii="Calibri" w:hAnsi="Calibri" w:cs="Calibri"/>
                <w:color w:val="000000"/>
                <w:sz w:val="16"/>
                <w:szCs w:val="16"/>
              </w:rPr>
            </w:pPr>
            <w:r>
              <w:rPr>
                <w:rFonts w:ascii="Calibri" w:hAnsi="Calibri" w:cs="Calibri"/>
                <w:sz w:val="16"/>
                <w:szCs w:val="16"/>
              </w:rPr>
              <w:t xml:space="preserve">The study provides prospective data on the long-term disease control, survival, and complication rates with </w:t>
            </w:r>
            <w:r w:rsidR="00691248">
              <w:rPr>
                <w:rFonts w:ascii="Calibri" w:hAnsi="Calibri" w:cs="Calibri"/>
                <w:sz w:val="16"/>
                <w:szCs w:val="16"/>
              </w:rPr>
              <w:t>POIRT</w:t>
            </w:r>
            <w:r>
              <w:rPr>
                <w:rFonts w:ascii="Calibri" w:hAnsi="Calibri" w:cs="Calibri"/>
                <w:sz w:val="16"/>
                <w:szCs w:val="16"/>
              </w:rPr>
              <w:t xml:space="preserve"> + EBRT for resected, nonmetastatic HNSCC.</w:t>
            </w:r>
          </w:p>
        </w:tc>
      </w:tr>
      <w:tr w:rsidR="00C51B3B" w:rsidRPr="001B7B27" w14:paraId="6BBD97A8" w14:textId="77777777" w:rsidTr="003A64FC">
        <w:trPr>
          <w:trHeight w:val="220"/>
        </w:trPr>
        <w:tc>
          <w:tcPr>
            <w:tcW w:w="15314" w:type="dxa"/>
            <w:gridSpan w:val="13"/>
            <w:tcBorders>
              <w:top w:val="single" w:sz="4" w:space="0" w:color="auto"/>
              <w:left w:val="nil"/>
              <w:bottom w:val="single" w:sz="4" w:space="0" w:color="auto"/>
              <w:right w:val="nil"/>
            </w:tcBorders>
            <w:shd w:val="clear" w:color="auto" w:fill="auto"/>
            <w:hideMark/>
          </w:tcPr>
          <w:p w14:paraId="70FE6D8C" w14:textId="2CE801C0" w:rsidR="00C51B3B" w:rsidRPr="001B7B27" w:rsidRDefault="001C2D3A" w:rsidP="00C51B3B">
            <w:pPr>
              <w:rPr>
                <w:rFonts w:ascii="Calibri" w:hAnsi="Calibri" w:cs="Calibri"/>
                <w:b/>
                <w:bCs/>
                <w:color w:val="000000"/>
                <w:sz w:val="16"/>
                <w:szCs w:val="16"/>
              </w:rPr>
            </w:pPr>
            <w:r>
              <w:rPr>
                <w:rFonts w:ascii="Calibri" w:hAnsi="Calibri" w:cs="Calibri"/>
                <w:b/>
                <w:bCs/>
                <w:color w:val="000000"/>
                <w:sz w:val="16"/>
                <w:szCs w:val="16"/>
              </w:rPr>
              <w:t>Retrospective cohort</w:t>
            </w:r>
          </w:p>
        </w:tc>
      </w:tr>
      <w:tr w:rsidR="000C08D8" w:rsidRPr="001B7B27" w14:paraId="23BDCB8D" w14:textId="77777777" w:rsidTr="002F5140">
        <w:trPr>
          <w:trHeight w:val="137"/>
        </w:trPr>
        <w:tc>
          <w:tcPr>
            <w:tcW w:w="707" w:type="dxa"/>
            <w:vMerge w:val="restart"/>
            <w:tcBorders>
              <w:top w:val="single" w:sz="4" w:space="0" w:color="auto"/>
              <w:left w:val="nil"/>
              <w:right w:val="nil"/>
            </w:tcBorders>
            <w:shd w:val="clear" w:color="auto" w:fill="auto"/>
            <w:hideMark/>
          </w:tcPr>
          <w:p w14:paraId="636FF55A" w14:textId="6FEBD50C" w:rsidR="000C08D8" w:rsidRPr="001B7B27" w:rsidRDefault="000C08D8" w:rsidP="000C08D8">
            <w:pPr>
              <w:rPr>
                <w:rFonts w:ascii="Calibri" w:hAnsi="Calibri" w:cs="Calibri"/>
                <w:b/>
                <w:bCs/>
                <w:color w:val="000000"/>
                <w:sz w:val="16"/>
                <w:szCs w:val="16"/>
              </w:rPr>
            </w:pPr>
            <w:proofErr w:type="spellStart"/>
            <w:r w:rsidRPr="000C08D8">
              <w:rPr>
                <w:rFonts w:ascii="Calibri" w:hAnsi="Calibri" w:cs="Calibri"/>
                <w:color w:val="000000"/>
                <w:sz w:val="16"/>
                <w:szCs w:val="16"/>
              </w:rPr>
              <w:t>Potharaju</w:t>
            </w:r>
            <w:proofErr w:type="spellEnd"/>
            <w:r w:rsidRPr="000C08D8">
              <w:rPr>
                <w:rFonts w:ascii="Calibri" w:hAnsi="Calibri" w:cs="Calibri"/>
                <w:color w:val="000000"/>
                <w:sz w:val="16"/>
                <w:szCs w:val="16"/>
              </w:rPr>
              <w:t xml:space="preserve"> 2018</w:t>
            </w:r>
          </w:p>
        </w:tc>
        <w:tc>
          <w:tcPr>
            <w:tcW w:w="1274" w:type="dxa"/>
            <w:tcBorders>
              <w:top w:val="single" w:sz="4" w:space="0" w:color="auto"/>
              <w:left w:val="nil"/>
              <w:bottom w:val="nil"/>
              <w:right w:val="nil"/>
            </w:tcBorders>
            <w:shd w:val="clear" w:color="auto" w:fill="auto"/>
            <w:hideMark/>
          </w:tcPr>
          <w:p w14:paraId="59245822" w14:textId="198A1F9C"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80" w:type="dxa"/>
            <w:tcBorders>
              <w:top w:val="single" w:sz="4" w:space="0" w:color="auto"/>
              <w:left w:val="nil"/>
              <w:bottom w:val="nil"/>
              <w:right w:val="nil"/>
            </w:tcBorders>
            <w:shd w:val="clear" w:color="auto" w:fill="auto"/>
            <w:hideMark/>
          </w:tcPr>
          <w:p w14:paraId="6255F368" w14:textId="79BA5BA1"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34" w:type="dxa"/>
            <w:tcBorders>
              <w:top w:val="single" w:sz="4" w:space="0" w:color="auto"/>
              <w:left w:val="nil"/>
              <w:bottom w:val="nil"/>
              <w:right w:val="nil"/>
            </w:tcBorders>
            <w:shd w:val="clear" w:color="auto" w:fill="auto"/>
            <w:hideMark/>
          </w:tcPr>
          <w:p w14:paraId="1667BB92" w14:textId="05BC83E2"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75" w:type="dxa"/>
            <w:tcBorders>
              <w:top w:val="single" w:sz="4" w:space="0" w:color="auto"/>
              <w:left w:val="nil"/>
              <w:bottom w:val="nil"/>
              <w:right w:val="nil"/>
            </w:tcBorders>
            <w:shd w:val="clear" w:color="auto" w:fill="auto"/>
            <w:hideMark/>
          </w:tcPr>
          <w:p w14:paraId="24937AE6" w14:textId="4E2294E3"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76" w:type="dxa"/>
            <w:tcBorders>
              <w:top w:val="single" w:sz="4" w:space="0" w:color="auto"/>
              <w:left w:val="nil"/>
              <w:bottom w:val="nil"/>
              <w:right w:val="nil"/>
            </w:tcBorders>
            <w:shd w:val="clear" w:color="auto" w:fill="auto"/>
            <w:hideMark/>
          </w:tcPr>
          <w:p w14:paraId="48DE9F7F" w14:textId="3D691167"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34" w:type="dxa"/>
            <w:tcBorders>
              <w:top w:val="single" w:sz="4" w:space="0" w:color="auto"/>
              <w:left w:val="nil"/>
              <w:bottom w:val="nil"/>
              <w:right w:val="nil"/>
            </w:tcBorders>
            <w:shd w:val="clear" w:color="auto" w:fill="auto"/>
            <w:hideMark/>
          </w:tcPr>
          <w:p w14:paraId="1F99B217" w14:textId="204707C1"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559" w:type="dxa"/>
            <w:tcBorders>
              <w:top w:val="single" w:sz="4" w:space="0" w:color="auto"/>
              <w:left w:val="nil"/>
              <w:bottom w:val="nil"/>
              <w:right w:val="nil"/>
            </w:tcBorders>
            <w:shd w:val="clear" w:color="auto" w:fill="auto"/>
            <w:hideMark/>
          </w:tcPr>
          <w:p w14:paraId="6651E5DC" w14:textId="2867048C"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851" w:type="dxa"/>
            <w:tcBorders>
              <w:top w:val="single" w:sz="4" w:space="0" w:color="auto"/>
              <w:left w:val="nil"/>
              <w:bottom w:val="nil"/>
              <w:right w:val="nil"/>
            </w:tcBorders>
            <w:shd w:val="clear" w:color="auto" w:fill="auto"/>
            <w:hideMark/>
          </w:tcPr>
          <w:p w14:paraId="6EEC0A07" w14:textId="3E77EFEF" w:rsidR="000C08D8" w:rsidRPr="002C77F7" w:rsidRDefault="000C08D8" w:rsidP="000C08D8">
            <w:pPr>
              <w:jc w:val="center"/>
              <w:rPr>
                <w:rFonts w:ascii="Calibri" w:hAnsi="Calibri" w:cs="Calibri"/>
                <w:b/>
                <w:bCs/>
                <w:color w:val="C00000"/>
                <w:sz w:val="16"/>
                <w:szCs w:val="16"/>
              </w:rPr>
            </w:pPr>
            <w:r>
              <w:rPr>
                <w:rFonts w:ascii="Calibri" w:hAnsi="Calibri" w:cs="Calibri"/>
                <w:b/>
                <w:bCs/>
                <w:color w:val="FF0000"/>
                <w:sz w:val="16"/>
                <w:szCs w:val="16"/>
              </w:rPr>
              <w:t>High risk</w:t>
            </w:r>
          </w:p>
        </w:tc>
        <w:tc>
          <w:tcPr>
            <w:tcW w:w="1134" w:type="dxa"/>
            <w:tcBorders>
              <w:top w:val="single" w:sz="4" w:space="0" w:color="auto"/>
              <w:left w:val="nil"/>
              <w:bottom w:val="nil"/>
              <w:right w:val="nil"/>
            </w:tcBorders>
            <w:shd w:val="clear" w:color="auto" w:fill="auto"/>
            <w:hideMark/>
          </w:tcPr>
          <w:p w14:paraId="704997F7" w14:textId="1BCDAA08"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76" w:type="dxa"/>
            <w:tcBorders>
              <w:top w:val="single" w:sz="4" w:space="0" w:color="auto"/>
              <w:left w:val="nil"/>
              <w:bottom w:val="nil"/>
              <w:right w:val="nil"/>
            </w:tcBorders>
            <w:shd w:val="clear" w:color="auto" w:fill="auto"/>
            <w:hideMark/>
          </w:tcPr>
          <w:p w14:paraId="5257CE73" w14:textId="7FDE2E0E"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34" w:type="dxa"/>
            <w:tcBorders>
              <w:top w:val="single" w:sz="4" w:space="0" w:color="auto"/>
              <w:left w:val="nil"/>
              <w:bottom w:val="nil"/>
              <w:right w:val="nil"/>
            </w:tcBorders>
            <w:shd w:val="clear" w:color="auto" w:fill="auto"/>
            <w:hideMark/>
          </w:tcPr>
          <w:p w14:paraId="0D97E507" w14:textId="6C7B7E02"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80" w:type="dxa"/>
            <w:tcBorders>
              <w:top w:val="single" w:sz="4" w:space="0" w:color="auto"/>
              <w:left w:val="nil"/>
              <w:bottom w:val="nil"/>
              <w:right w:val="nil"/>
            </w:tcBorders>
            <w:shd w:val="clear" w:color="auto" w:fill="auto"/>
            <w:hideMark/>
          </w:tcPr>
          <w:p w14:paraId="1739E974" w14:textId="43742458"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r>
      <w:tr w:rsidR="000C08D8" w:rsidRPr="001B7B27" w14:paraId="6B1418BC" w14:textId="77777777" w:rsidTr="00CF687D">
        <w:trPr>
          <w:trHeight w:val="73"/>
        </w:trPr>
        <w:tc>
          <w:tcPr>
            <w:tcW w:w="707" w:type="dxa"/>
            <w:vMerge/>
            <w:tcBorders>
              <w:left w:val="nil"/>
              <w:bottom w:val="single" w:sz="4" w:space="0" w:color="auto"/>
              <w:right w:val="nil"/>
            </w:tcBorders>
            <w:shd w:val="clear" w:color="auto" w:fill="auto"/>
            <w:hideMark/>
          </w:tcPr>
          <w:p w14:paraId="4336B3D8" w14:textId="6F8B6CBA" w:rsidR="000C08D8" w:rsidRPr="001B7B27" w:rsidRDefault="000C08D8" w:rsidP="000C08D8">
            <w:pPr>
              <w:rPr>
                <w:rFonts w:ascii="Calibri" w:hAnsi="Calibri" w:cs="Calibri"/>
                <w:color w:val="000000"/>
                <w:sz w:val="16"/>
                <w:szCs w:val="16"/>
              </w:rPr>
            </w:pPr>
          </w:p>
        </w:tc>
        <w:tc>
          <w:tcPr>
            <w:tcW w:w="1274" w:type="dxa"/>
            <w:tcBorders>
              <w:top w:val="nil"/>
              <w:left w:val="nil"/>
              <w:bottom w:val="single" w:sz="4" w:space="0" w:color="auto"/>
              <w:right w:val="nil"/>
            </w:tcBorders>
            <w:shd w:val="clear" w:color="auto" w:fill="auto"/>
            <w:hideMark/>
          </w:tcPr>
          <w:p w14:paraId="249E3438" w14:textId="52E11E80"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 xml:space="preserve">The study retrospectively evaluated the long-term locoregional control, survival, and toxicity outcomes of exclusive HDR BRT and </w:t>
            </w:r>
            <w:r w:rsidR="00691248">
              <w:rPr>
                <w:rFonts w:ascii="Calibri" w:hAnsi="Calibri" w:cs="Calibri"/>
                <w:color w:val="000000"/>
                <w:sz w:val="16"/>
                <w:szCs w:val="16"/>
              </w:rPr>
              <w:t>POIRT</w:t>
            </w:r>
            <w:r>
              <w:rPr>
                <w:rFonts w:ascii="Calibri" w:hAnsi="Calibri" w:cs="Calibri"/>
                <w:color w:val="000000"/>
                <w:sz w:val="16"/>
                <w:szCs w:val="16"/>
              </w:rPr>
              <w:t xml:space="preserve"> in early OTSCC.</w:t>
            </w:r>
          </w:p>
        </w:tc>
        <w:tc>
          <w:tcPr>
            <w:tcW w:w="1280" w:type="dxa"/>
            <w:tcBorders>
              <w:top w:val="nil"/>
              <w:left w:val="nil"/>
              <w:bottom w:val="single" w:sz="4" w:space="0" w:color="auto"/>
              <w:right w:val="nil"/>
            </w:tcBorders>
            <w:shd w:val="clear" w:color="auto" w:fill="auto"/>
            <w:hideMark/>
          </w:tcPr>
          <w:p w14:paraId="64461E82" w14:textId="6EA23103"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 xml:space="preserve">Between January 2000 and September 2010, pts with UICC 17th edition (2009) clinically staged T1/T2 N0 M0 OTSCC were treated with exclusive HDR BRT or </w:t>
            </w:r>
            <w:r w:rsidR="00691248">
              <w:rPr>
                <w:rFonts w:ascii="Calibri" w:hAnsi="Calibri" w:cs="Calibri"/>
                <w:color w:val="000000"/>
                <w:sz w:val="16"/>
                <w:szCs w:val="16"/>
              </w:rPr>
              <w:t>POIRT</w:t>
            </w:r>
            <w:r>
              <w:rPr>
                <w:rFonts w:ascii="Calibri" w:hAnsi="Calibri" w:cs="Calibri"/>
                <w:color w:val="000000"/>
                <w:sz w:val="16"/>
                <w:szCs w:val="16"/>
              </w:rPr>
              <w:t xml:space="preserve">. </w:t>
            </w:r>
            <w:r>
              <w:rPr>
                <w:rFonts w:ascii="Calibri" w:hAnsi="Calibri" w:cs="Calibri"/>
                <w:color w:val="000000"/>
                <w:sz w:val="16"/>
                <w:szCs w:val="16"/>
              </w:rPr>
              <w:br/>
            </w:r>
            <w:r>
              <w:rPr>
                <w:rFonts w:ascii="Calibri" w:hAnsi="Calibri" w:cs="Calibri"/>
                <w:color w:val="000000"/>
                <w:sz w:val="16"/>
                <w:szCs w:val="16"/>
              </w:rPr>
              <w:br/>
              <w:t xml:space="preserve">The </w:t>
            </w:r>
            <w:r w:rsidR="00691248">
              <w:rPr>
                <w:rFonts w:ascii="Calibri" w:hAnsi="Calibri" w:cs="Calibri"/>
                <w:color w:val="000000"/>
                <w:sz w:val="16"/>
                <w:szCs w:val="16"/>
              </w:rPr>
              <w:t>POIRT</w:t>
            </w:r>
            <w:r>
              <w:rPr>
                <w:rFonts w:ascii="Calibri" w:hAnsi="Calibri" w:cs="Calibri"/>
                <w:color w:val="000000"/>
                <w:sz w:val="16"/>
                <w:szCs w:val="16"/>
              </w:rPr>
              <w:t xml:space="preserve"> group included 26 pts </w:t>
            </w:r>
            <w:r>
              <w:rPr>
                <w:rFonts w:ascii="Calibri" w:hAnsi="Calibri" w:cs="Calibri"/>
                <w:color w:val="000000"/>
                <w:sz w:val="16"/>
                <w:szCs w:val="16"/>
              </w:rPr>
              <w:lastRenderedPageBreak/>
              <w:t xml:space="preserve">treated with  a partial glossectomy with ipsilateral neck dissection, and </w:t>
            </w:r>
            <w:r w:rsidR="00691248">
              <w:rPr>
                <w:rFonts w:ascii="Calibri" w:hAnsi="Calibri" w:cs="Calibri"/>
                <w:color w:val="000000"/>
                <w:sz w:val="16"/>
                <w:szCs w:val="16"/>
              </w:rPr>
              <w:t>POIRT</w:t>
            </w:r>
            <w:r>
              <w:rPr>
                <w:rFonts w:ascii="Calibri" w:hAnsi="Calibri" w:cs="Calibri"/>
                <w:color w:val="000000"/>
                <w:sz w:val="16"/>
                <w:szCs w:val="16"/>
              </w:rPr>
              <w:t xml:space="preserve">. </w:t>
            </w:r>
          </w:p>
        </w:tc>
        <w:tc>
          <w:tcPr>
            <w:tcW w:w="1134" w:type="dxa"/>
            <w:tcBorders>
              <w:top w:val="nil"/>
              <w:left w:val="nil"/>
              <w:bottom w:val="single" w:sz="4" w:space="0" w:color="auto"/>
              <w:right w:val="nil"/>
            </w:tcBorders>
            <w:shd w:val="clear" w:color="auto" w:fill="auto"/>
            <w:hideMark/>
          </w:tcPr>
          <w:p w14:paraId="710D5D15" w14:textId="183932EE" w:rsidR="000C08D8" w:rsidRPr="001B7B27" w:rsidRDefault="000C08D8" w:rsidP="000C08D8">
            <w:pPr>
              <w:rPr>
                <w:rFonts w:ascii="Calibri" w:hAnsi="Calibri" w:cs="Calibri"/>
                <w:sz w:val="16"/>
                <w:szCs w:val="16"/>
              </w:rPr>
            </w:pPr>
            <w:r>
              <w:rPr>
                <w:rFonts w:ascii="Calibri" w:hAnsi="Calibri" w:cs="Calibri"/>
                <w:color w:val="000000"/>
                <w:sz w:val="16"/>
                <w:szCs w:val="16"/>
              </w:rPr>
              <w:lastRenderedPageBreak/>
              <w:t>The surgery and BRT protocols were described adequately.</w:t>
            </w:r>
            <w:r>
              <w:rPr>
                <w:rFonts w:ascii="Calibri" w:hAnsi="Calibri" w:cs="Calibri"/>
                <w:color w:val="000000"/>
                <w:sz w:val="16"/>
                <w:szCs w:val="16"/>
              </w:rPr>
              <w:br/>
            </w:r>
            <w:r>
              <w:rPr>
                <w:rFonts w:ascii="Calibri" w:hAnsi="Calibri" w:cs="Calibri"/>
                <w:color w:val="000000"/>
                <w:sz w:val="16"/>
                <w:szCs w:val="16"/>
              </w:rPr>
              <w:br/>
              <w:t xml:space="preserve">All pts in the </w:t>
            </w:r>
            <w:r w:rsidR="00691248">
              <w:rPr>
                <w:rFonts w:ascii="Calibri" w:hAnsi="Calibri" w:cs="Calibri"/>
                <w:color w:val="000000"/>
                <w:sz w:val="16"/>
                <w:szCs w:val="16"/>
              </w:rPr>
              <w:t>POIRT</w:t>
            </w:r>
            <w:r>
              <w:rPr>
                <w:rFonts w:ascii="Calibri" w:hAnsi="Calibri" w:cs="Calibri"/>
                <w:color w:val="000000"/>
                <w:sz w:val="16"/>
                <w:szCs w:val="16"/>
              </w:rPr>
              <w:t xml:space="preserve"> group had a partial glossectomy with ipsilateral neck dissection.</w:t>
            </w:r>
          </w:p>
        </w:tc>
        <w:tc>
          <w:tcPr>
            <w:tcW w:w="1275" w:type="dxa"/>
            <w:tcBorders>
              <w:top w:val="nil"/>
              <w:left w:val="nil"/>
              <w:bottom w:val="single" w:sz="4" w:space="0" w:color="auto"/>
              <w:right w:val="nil"/>
            </w:tcBorders>
            <w:shd w:val="clear" w:color="auto" w:fill="auto"/>
            <w:hideMark/>
          </w:tcPr>
          <w:p w14:paraId="28B8D223" w14:textId="73BC4CEA"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 xml:space="preserve">Survival events were per standard definitions. </w:t>
            </w:r>
            <w:r>
              <w:rPr>
                <w:rFonts w:ascii="Calibri" w:hAnsi="Calibri" w:cs="Calibri"/>
                <w:color w:val="000000"/>
                <w:sz w:val="16"/>
                <w:szCs w:val="16"/>
              </w:rPr>
              <w:br/>
            </w:r>
            <w:r>
              <w:rPr>
                <w:rFonts w:ascii="Calibri" w:hAnsi="Calibri" w:cs="Calibri"/>
                <w:color w:val="000000"/>
                <w:sz w:val="16"/>
                <w:szCs w:val="16"/>
              </w:rPr>
              <w:br/>
              <w:t xml:space="preserve">The diagnosis of mandibular ORN or STN was made if there was non-healing exposed bone or soft tissue necrosis for 3-6 months without evidence </w:t>
            </w:r>
            <w:r>
              <w:rPr>
                <w:rFonts w:ascii="Calibri" w:hAnsi="Calibri" w:cs="Calibri"/>
                <w:color w:val="000000"/>
                <w:sz w:val="16"/>
                <w:szCs w:val="16"/>
              </w:rPr>
              <w:lastRenderedPageBreak/>
              <w:t>of clinically recurrent tumor.</w:t>
            </w:r>
            <w:r>
              <w:rPr>
                <w:rFonts w:ascii="Calibri" w:hAnsi="Calibri" w:cs="Calibri"/>
                <w:color w:val="000000"/>
                <w:sz w:val="16"/>
                <w:szCs w:val="16"/>
              </w:rPr>
              <w:br/>
            </w:r>
            <w:r>
              <w:rPr>
                <w:rFonts w:ascii="Calibri" w:hAnsi="Calibri" w:cs="Calibri"/>
                <w:color w:val="000000"/>
                <w:sz w:val="16"/>
                <w:szCs w:val="16"/>
              </w:rPr>
              <w:br/>
              <w:t xml:space="preserve">The Kaplan-Meier method was used in the survival analyses. </w:t>
            </w:r>
          </w:p>
        </w:tc>
        <w:tc>
          <w:tcPr>
            <w:tcW w:w="1276" w:type="dxa"/>
            <w:tcBorders>
              <w:top w:val="nil"/>
              <w:left w:val="nil"/>
              <w:bottom w:val="single" w:sz="4" w:space="0" w:color="auto"/>
              <w:right w:val="nil"/>
            </w:tcBorders>
            <w:shd w:val="clear" w:color="auto" w:fill="auto"/>
            <w:hideMark/>
          </w:tcPr>
          <w:p w14:paraId="55624495" w14:textId="347AC893"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lastRenderedPageBreak/>
              <w:t>Pertinent pt and disease variables were summarized and accounted for in the analyses and discussion.</w:t>
            </w:r>
          </w:p>
        </w:tc>
        <w:tc>
          <w:tcPr>
            <w:tcW w:w="1134" w:type="dxa"/>
            <w:tcBorders>
              <w:top w:val="nil"/>
              <w:left w:val="nil"/>
              <w:bottom w:val="single" w:sz="4" w:space="0" w:color="auto"/>
              <w:right w:val="nil"/>
            </w:tcBorders>
            <w:shd w:val="clear" w:color="auto" w:fill="auto"/>
            <w:hideMark/>
          </w:tcPr>
          <w:p w14:paraId="35EDE6FD" w14:textId="32572DD0"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The FU schedule and modalities were described adequately. the median FU length (74 months) was adequate for the reported outcome measures. All pts were accounted for.</w:t>
            </w:r>
          </w:p>
        </w:tc>
        <w:tc>
          <w:tcPr>
            <w:tcW w:w="1559" w:type="dxa"/>
            <w:tcBorders>
              <w:top w:val="nil"/>
              <w:left w:val="nil"/>
              <w:bottom w:val="single" w:sz="4" w:space="0" w:color="auto"/>
              <w:right w:val="nil"/>
            </w:tcBorders>
            <w:shd w:val="clear" w:color="auto" w:fill="auto"/>
            <w:hideMark/>
          </w:tcPr>
          <w:p w14:paraId="086A0F66" w14:textId="4091A7F1" w:rsidR="000C08D8" w:rsidRDefault="000C08D8" w:rsidP="000C08D8">
            <w:pPr>
              <w:rPr>
                <w:rFonts w:ascii="Calibri" w:hAnsi="Calibri" w:cs="Calibri"/>
                <w:color w:val="000000"/>
                <w:sz w:val="16"/>
                <w:szCs w:val="16"/>
              </w:rPr>
            </w:pPr>
            <w:r>
              <w:rPr>
                <w:rFonts w:ascii="Calibri" w:hAnsi="Calibri" w:cs="Calibri"/>
                <w:color w:val="000000"/>
                <w:sz w:val="16"/>
                <w:szCs w:val="16"/>
              </w:rPr>
              <w:t xml:space="preserve">The 6y survival and disease control rates for </w:t>
            </w:r>
            <w:r w:rsidR="00691248">
              <w:rPr>
                <w:rFonts w:ascii="Calibri" w:hAnsi="Calibri" w:cs="Calibri"/>
                <w:color w:val="000000"/>
                <w:sz w:val="16"/>
                <w:szCs w:val="16"/>
              </w:rPr>
              <w:t>POIRT</w:t>
            </w:r>
            <w:r>
              <w:rPr>
                <w:rFonts w:ascii="Calibri" w:hAnsi="Calibri" w:cs="Calibri"/>
                <w:color w:val="000000"/>
                <w:sz w:val="16"/>
                <w:szCs w:val="16"/>
              </w:rPr>
              <w:t xml:space="preserve"> are excellent for a cohort of early OTSCC pts, and are statistically superior to the exclusive HDR BRT group.</w:t>
            </w:r>
            <w:r>
              <w:rPr>
                <w:rFonts w:ascii="Calibri" w:hAnsi="Calibri" w:cs="Calibri"/>
                <w:color w:val="000000"/>
                <w:sz w:val="16"/>
                <w:szCs w:val="16"/>
              </w:rPr>
              <w:br/>
            </w:r>
            <w:r>
              <w:rPr>
                <w:rFonts w:ascii="Calibri" w:hAnsi="Calibri" w:cs="Calibri"/>
                <w:color w:val="000000"/>
                <w:sz w:val="16"/>
                <w:szCs w:val="16"/>
              </w:rPr>
              <w:br/>
              <w:t xml:space="preserve">For the </w:t>
            </w:r>
            <w:r w:rsidR="00691248">
              <w:rPr>
                <w:rFonts w:ascii="Calibri" w:hAnsi="Calibri" w:cs="Calibri"/>
                <w:color w:val="000000"/>
                <w:sz w:val="16"/>
                <w:szCs w:val="16"/>
              </w:rPr>
              <w:t>POIRT</w:t>
            </w:r>
            <w:r>
              <w:rPr>
                <w:rFonts w:ascii="Calibri" w:hAnsi="Calibri" w:cs="Calibri"/>
                <w:color w:val="000000"/>
                <w:sz w:val="16"/>
                <w:szCs w:val="16"/>
              </w:rPr>
              <w:t xml:space="preserve"> cohort, the 6y local RFS and nodal RFS were 100% and 96.2%. The 6y OS </w:t>
            </w:r>
            <w:r>
              <w:rPr>
                <w:rFonts w:ascii="Calibri" w:hAnsi="Calibri" w:cs="Calibri"/>
                <w:color w:val="000000"/>
                <w:sz w:val="16"/>
                <w:szCs w:val="16"/>
              </w:rPr>
              <w:lastRenderedPageBreak/>
              <w:t>and DFS were 92.3% and 92.3%, respectively.</w:t>
            </w:r>
            <w:r>
              <w:rPr>
                <w:rFonts w:ascii="Calibri" w:hAnsi="Calibri" w:cs="Calibri"/>
                <w:color w:val="000000"/>
                <w:sz w:val="16"/>
                <w:szCs w:val="16"/>
              </w:rPr>
              <w:br/>
            </w:r>
            <w:r>
              <w:rPr>
                <w:rFonts w:ascii="Calibri" w:hAnsi="Calibri" w:cs="Calibri"/>
                <w:color w:val="000000"/>
                <w:sz w:val="16"/>
                <w:szCs w:val="16"/>
              </w:rPr>
              <w:br/>
              <w:t>For the exclusive HDR BRT cohort, the 6y local RFS and nodal RFS were 85.1% and 65.5%. The 6y OS and DFS were 74.7% and 55.3%, respectively.</w:t>
            </w:r>
            <w:r>
              <w:rPr>
                <w:rFonts w:ascii="Calibri" w:hAnsi="Calibri" w:cs="Calibri"/>
                <w:color w:val="000000"/>
                <w:sz w:val="16"/>
                <w:szCs w:val="16"/>
              </w:rPr>
              <w:br/>
            </w:r>
            <w:r>
              <w:rPr>
                <w:rFonts w:ascii="Calibri" w:hAnsi="Calibri" w:cs="Calibri"/>
                <w:color w:val="000000"/>
                <w:sz w:val="16"/>
                <w:szCs w:val="16"/>
              </w:rPr>
              <w:br/>
              <w:t>The local recurrence rates following surgery alone for tongue primary range from 10-63% as reported in contemporary series.</w:t>
            </w:r>
            <w:r>
              <w:rPr>
                <w:rFonts w:ascii="Calibri" w:hAnsi="Calibri" w:cs="Calibri"/>
                <w:color w:val="000000"/>
                <w:sz w:val="16"/>
                <w:szCs w:val="16"/>
              </w:rPr>
              <w:br/>
            </w:r>
            <w:r>
              <w:rPr>
                <w:rFonts w:ascii="Calibri" w:hAnsi="Calibri" w:cs="Calibri"/>
                <w:color w:val="000000"/>
                <w:sz w:val="16"/>
                <w:szCs w:val="16"/>
              </w:rPr>
              <w:br/>
              <w:t xml:space="preserve">No pt developed STN or ORN in the </w:t>
            </w:r>
            <w:r w:rsidR="00691248">
              <w:rPr>
                <w:rFonts w:ascii="Calibri" w:hAnsi="Calibri" w:cs="Calibri"/>
                <w:color w:val="000000"/>
                <w:sz w:val="16"/>
                <w:szCs w:val="16"/>
              </w:rPr>
              <w:t>POIRT</w:t>
            </w:r>
            <w:r>
              <w:rPr>
                <w:rFonts w:ascii="Calibri" w:hAnsi="Calibri" w:cs="Calibri"/>
                <w:color w:val="000000"/>
                <w:sz w:val="16"/>
                <w:szCs w:val="16"/>
              </w:rPr>
              <w:t xml:space="preserve"> group, compared to 16% and 7% in the exclusive HDR BRT group.</w:t>
            </w:r>
          </w:p>
          <w:p w14:paraId="02C3501B" w14:textId="78CB43DB" w:rsidR="00FE2BF3" w:rsidRPr="001B7B27" w:rsidRDefault="00FE2BF3" w:rsidP="000C08D8">
            <w:pPr>
              <w:rPr>
                <w:rFonts w:ascii="Calibri" w:hAnsi="Calibri" w:cs="Calibri"/>
                <w:color w:val="000000"/>
                <w:sz w:val="16"/>
                <w:szCs w:val="16"/>
              </w:rPr>
            </w:pPr>
          </w:p>
        </w:tc>
        <w:tc>
          <w:tcPr>
            <w:tcW w:w="851" w:type="dxa"/>
            <w:tcBorders>
              <w:top w:val="nil"/>
              <w:left w:val="nil"/>
              <w:bottom w:val="single" w:sz="4" w:space="0" w:color="auto"/>
              <w:right w:val="nil"/>
            </w:tcBorders>
            <w:shd w:val="clear" w:color="auto" w:fill="auto"/>
            <w:hideMark/>
          </w:tcPr>
          <w:p w14:paraId="19E4C745" w14:textId="28E160D5" w:rsidR="000C08D8" w:rsidRPr="001B7B27" w:rsidRDefault="000C08D8" w:rsidP="000C08D8">
            <w:pPr>
              <w:rPr>
                <w:rFonts w:ascii="Calibri" w:hAnsi="Calibri" w:cs="Calibri"/>
                <w:color w:val="000000"/>
                <w:sz w:val="16"/>
                <w:szCs w:val="16"/>
              </w:rPr>
            </w:pPr>
            <w:r>
              <w:rPr>
                <w:rFonts w:ascii="Calibri" w:hAnsi="Calibri" w:cs="Calibri"/>
                <w:sz w:val="16"/>
                <w:szCs w:val="16"/>
              </w:rPr>
              <w:lastRenderedPageBreak/>
              <w:t xml:space="preserve">CIs were not reported. </w:t>
            </w:r>
            <w:r>
              <w:rPr>
                <w:rFonts w:ascii="Calibri" w:hAnsi="Calibri" w:cs="Calibri"/>
                <w:sz w:val="16"/>
                <w:szCs w:val="16"/>
              </w:rPr>
              <w:br/>
            </w:r>
            <w:r>
              <w:rPr>
                <w:rFonts w:ascii="Calibri" w:hAnsi="Calibri" w:cs="Calibri"/>
                <w:sz w:val="16"/>
                <w:szCs w:val="16"/>
              </w:rPr>
              <w:br/>
              <w:t>The sample size (n=26) allows for estimates with low precision.</w:t>
            </w:r>
          </w:p>
        </w:tc>
        <w:tc>
          <w:tcPr>
            <w:tcW w:w="1134" w:type="dxa"/>
            <w:tcBorders>
              <w:top w:val="nil"/>
              <w:left w:val="nil"/>
              <w:bottom w:val="single" w:sz="4" w:space="0" w:color="auto"/>
              <w:right w:val="nil"/>
            </w:tcBorders>
            <w:shd w:val="clear" w:color="auto" w:fill="auto"/>
            <w:hideMark/>
          </w:tcPr>
          <w:p w14:paraId="78BD6307" w14:textId="3AB35ACE"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The 6y survival and disease control rates are a credible improvement on outcomes with exclusive HDR BRT or surgery alone.</w:t>
            </w:r>
          </w:p>
        </w:tc>
        <w:tc>
          <w:tcPr>
            <w:tcW w:w="1276" w:type="dxa"/>
            <w:tcBorders>
              <w:top w:val="nil"/>
              <w:left w:val="nil"/>
              <w:bottom w:val="single" w:sz="4" w:space="0" w:color="auto"/>
              <w:right w:val="nil"/>
            </w:tcBorders>
            <w:shd w:val="clear" w:color="auto" w:fill="auto"/>
            <w:hideMark/>
          </w:tcPr>
          <w:p w14:paraId="148D06E5" w14:textId="1A4C46AC" w:rsidR="000C08D8" w:rsidRPr="001B7B27" w:rsidRDefault="000C08D8" w:rsidP="000C08D8">
            <w:pPr>
              <w:rPr>
                <w:rFonts w:ascii="Calibri" w:hAnsi="Calibri" w:cs="Calibri"/>
                <w:color w:val="000000"/>
                <w:sz w:val="16"/>
                <w:szCs w:val="16"/>
              </w:rPr>
            </w:pPr>
            <w:r>
              <w:rPr>
                <w:rFonts w:ascii="Calibri" w:hAnsi="Calibri" w:cs="Calibri"/>
                <w:sz w:val="16"/>
                <w:szCs w:val="16"/>
              </w:rPr>
              <w:t>The results are compatible with the notion that adjuvant radiotherapy limited to the tumor bed volume after wide resection for early OTSCC may improve outcomes with radiotherapy or surgery alone.</w:t>
            </w:r>
          </w:p>
        </w:tc>
        <w:tc>
          <w:tcPr>
            <w:tcW w:w="1134" w:type="dxa"/>
            <w:tcBorders>
              <w:top w:val="nil"/>
              <w:left w:val="nil"/>
              <w:bottom w:val="single" w:sz="4" w:space="0" w:color="auto"/>
              <w:right w:val="nil"/>
            </w:tcBorders>
            <w:shd w:val="clear" w:color="auto" w:fill="auto"/>
            <w:hideMark/>
          </w:tcPr>
          <w:p w14:paraId="014E42B5" w14:textId="61980D29"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The surgical and BRT techniques are current.</w:t>
            </w:r>
          </w:p>
        </w:tc>
        <w:tc>
          <w:tcPr>
            <w:tcW w:w="1280" w:type="dxa"/>
            <w:tcBorders>
              <w:top w:val="nil"/>
              <w:left w:val="nil"/>
              <w:bottom w:val="single" w:sz="4" w:space="0" w:color="auto"/>
              <w:right w:val="nil"/>
            </w:tcBorders>
            <w:shd w:val="clear" w:color="auto" w:fill="auto"/>
            <w:hideMark/>
          </w:tcPr>
          <w:p w14:paraId="3261C01E" w14:textId="15087E90"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 xml:space="preserve">The study provides retrospective data on long-term survival and toxicity rates with </w:t>
            </w:r>
            <w:r w:rsidR="00691248">
              <w:rPr>
                <w:rFonts w:ascii="Calibri" w:hAnsi="Calibri" w:cs="Calibri"/>
                <w:color w:val="000000"/>
                <w:sz w:val="16"/>
                <w:szCs w:val="16"/>
              </w:rPr>
              <w:t>POIRT</w:t>
            </w:r>
            <w:r>
              <w:rPr>
                <w:rFonts w:ascii="Calibri" w:hAnsi="Calibri" w:cs="Calibri"/>
                <w:color w:val="000000"/>
                <w:sz w:val="16"/>
                <w:szCs w:val="16"/>
              </w:rPr>
              <w:t xml:space="preserve"> for resected early OTSCC with close or positive margins.</w:t>
            </w:r>
          </w:p>
        </w:tc>
      </w:tr>
      <w:tr w:rsidR="000C08D8" w:rsidRPr="001B7B27" w14:paraId="74F88FDA" w14:textId="77777777" w:rsidTr="00CF687D">
        <w:trPr>
          <w:trHeight w:val="240"/>
        </w:trPr>
        <w:tc>
          <w:tcPr>
            <w:tcW w:w="707" w:type="dxa"/>
            <w:vMerge w:val="restart"/>
            <w:tcBorders>
              <w:top w:val="single" w:sz="4" w:space="0" w:color="auto"/>
              <w:left w:val="nil"/>
              <w:right w:val="nil"/>
            </w:tcBorders>
            <w:shd w:val="clear" w:color="auto" w:fill="auto"/>
            <w:hideMark/>
          </w:tcPr>
          <w:p w14:paraId="7D05E7D5" w14:textId="1668C5D0" w:rsidR="000C08D8" w:rsidRPr="001B7B27" w:rsidRDefault="000C08D8" w:rsidP="000C08D8">
            <w:pPr>
              <w:rPr>
                <w:rFonts w:ascii="Calibri" w:hAnsi="Calibri" w:cs="Calibri"/>
                <w:color w:val="000000"/>
                <w:sz w:val="16"/>
                <w:szCs w:val="16"/>
              </w:rPr>
            </w:pPr>
            <w:proofErr w:type="spellStart"/>
            <w:r w:rsidRPr="000C08D8">
              <w:rPr>
                <w:rFonts w:ascii="Calibri" w:hAnsi="Calibri" w:cs="Calibri"/>
                <w:color w:val="000000"/>
                <w:sz w:val="16"/>
                <w:szCs w:val="16"/>
              </w:rPr>
              <w:t>Teudt</w:t>
            </w:r>
            <w:proofErr w:type="spellEnd"/>
            <w:r w:rsidRPr="000C08D8">
              <w:rPr>
                <w:rFonts w:ascii="Calibri" w:hAnsi="Calibri" w:cs="Calibri"/>
                <w:color w:val="000000"/>
                <w:sz w:val="16"/>
                <w:szCs w:val="16"/>
              </w:rPr>
              <w:t xml:space="preserve"> 2014</w:t>
            </w:r>
          </w:p>
        </w:tc>
        <w:tc>
          <w:tcPr>
            <w:tcW w:w="1274" w:type="dxa"/>
            <w:tcBorders>
              <w:top w:val="single" w:sz="4" w:space="0" w:color="auto"/>
              <w:left w:val="nil"/>
              <w:bottom w:val="nil"/>
              <w:right w:val="nil"/>
            </w:tcBorders>
            <w:shd w:val="clear" w:color="auto" w:fill="auto"/>
            <w:hideMark/>
          </w:tcPr>
          <w:p w14:paraId="669BBE74" w14:textId="1502C8AF"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80" w:type="dxa"/>
            <w:tcBorders>
              <w:top w:val="single" w:sz="4" w:space="0" w:color="auto"/>
              <w:left w:val="nil"/>
              <w:bottom w:val="nil"/>
              <w:right w:val="nil"/>
            </w:tcBorders>
            <w:shd w:val="clear" w:color="auto" w:fill="auto"/>
            <w:hideMark/>
          </w:tcPr>
          <w:p w14:paraId="7FE64D84" w14:textId="03BC4AF6"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34" w:type="dxa"/>
            <w:tcBorders>
              <w:top w:val="single" w:sz="4" w:space="0" w:color="auto"/>
              <w:left w:val="nil"/>
              <w:bottom w:val="nil"/>
              <w:right w:val="nil"/>
            </w:tcBorders>
            <w:shd w:val="clear" w:color="auto" w:fill="auto"/>
            <w:hideMark/>
          </w:tcPr>
          <w:p w14:paraId="4138B7F1" w14:textId="7CC4D422" w:rsidR="000C08D8" w:rsidRPr="002C77F7" w:rsidRDefault="000C08D8" w:rsidP="000C08D8">
            <w:pPr>
              <w:jc w:val="center"/>
              <w:rPr>
                <w:rFonts w:ascii="Calibri" w:hAnsi="Calibri" w:cs="Calibri"/>
                <w:b/>
                <w:bCs/>
                <w:color w:val="C00000"/>
                <w:sz w:val="16"/>
                <w:szCs w:val="16"/>
              </w:rPr>
            </w:pPr>
            <w:r>
              <w:rPr>
                <w:rFonts w:ascii="Calibri" w:hAnsi="Calibri" w:cs="Calibri"/>
                <w:b/>
                <w:bCs/>
                <w:color w:val="FF0000"/>
                <w:sz w:val="16"/>
                <w:szCs w:val="16"/>
              </w:rPr>
              <w:t>High risk</w:t>
            </w:r>
          </w:p>
        </w:tc>
        <w:tc>
          <w:tcPr>
            <w:tcW w:w="1275" w:type="dxa"/>
            <w:tcBorders>
              <w:top w:val="single" w:sz="4" w:space="0" w:color="auto"/>
              <w:left w:val="nil"/>
              <w:bottom w:val="nil"/>
              <w:right w:val="nil"/>
            </w:tcBorders>
            <w:shd w:val="clear" w:color="auto" w:fill="auto"/>
            <w:hideMark/>
          </w:tcPr>
          <w:p w14:paraId="37F55D1C" w14:textId="10E94111"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76" w:type="dxa"/>
            <w:tcBorders>
              <w:top w:val="single" w:sz="4" w:space="0" w:color="auto"/>
              <w:left w:val="nil"/>
              <w:bottom w:val="nil"/>
              <w:right w:val="nil"/>
            </w:tcBorders>
            <w:shd w:val="clear" w:color="auto" w:fill="auto"/>
            <w:hideMark/>
          </w:tcPr>
          <w:p w14:paraId="5B01DCBA" w14:textId="2EA65EC8" w:rsidR="000C08D8" w:rsidRPr="002C77F7" w:rsidRDefault="000C08D8" w:rsidP="000C08D8">
            <w:pPr>
              <w:jc w:val="center"/>
              <w:rPr>
                <w:rFonts w:ascii="Calibri" w:hAnsi="Calibri" w:cs="Calibri"/>
                <w:b/>
                <w:bCs/>
                <w:color w:val="C00000"/>
                <w:sz w:val="16"/>
                <w:szCs w:val="16"/>
              </w:rPr>
            </w:pPr>
            <w:r>
              <w:rPr>
                <w:rFonts w:ascii="Calibri" w:hAnsi="Calibri" w:cs="Calibri"/>
                <w:b/>
                <w:bCs/>
                <w:color w:val="FF0000"/>
                <w:sz w:val="16"/>
                <w:szCs w:val="16"/>
              </w:rPr>
              <w:t>High risk</w:t>
            </w:r>
          </w:p>
        </w:tc>
        <w:tc>
          <w:tcPr>
            <w:tcW w:w="1134" w:type="dxa"/>
            <w:tcBorders>
              <w:top w:val="single" w:sz="4" w:space="0" w:color="auto"/>
              <w:left w:val="nil"/>
              <w:bottom w:val="nil"/>
              <w:right w:val="nil"/>
            </w:tcBorders>
            <w:shd w:val="clear" w:color="auto" w:fill="auto"/>
            <w:hideMark/>
          </w:tcPr>
          <w:p w14:paraId="717DB870" w14:textId="673F7B94"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559" w:type="dxa"/>
            <w:tcBorders>
              <w:top w:val="single" w:sz="4" w:space="0" w:color="auto"/>
              <w:left w:val="nil"/>
              <w:bottom w:val="nil"/>
              <w:right w:val="nil"/>
            </w:tcBorders>
            <w:shd w:val="clear" w:color="auto" w:fill="auto"/>
            <w:hideMark/>
          </w:tcPr>
          <w:p w14:paraId="7F199DF7" w14:textId="617F1C96" w:rsidR="000C08D8" w:rsidRPr="001B7B27" w:rsidRDefault="000C08D8" w:rsidP="000C08D8">
            <w:pPr>
              <w:jc w:val="center"/>
              <w:rPr>
                <w:rFonts w:ascii="Calibri" w:hAnsi="Calibri" w:cs="Calibri"/>
                <w:b/>
                <w:bCs/>
                <w:color w:val="000000"/>
                <w:sz w:val="16"/>
                <w:szCs w:val="16"/>
              </w:rPr>
            </w:pPr>
            <w:r>
              <w:rPr>
                <w:rFonts w:ascii="Calibri" w:hAnsi="Calibri" w:cs="Calibri"/>
                <w:b/>
                <w:bCs/>
                <w:color w:val="C65911"/>
                <w:sz w:val="16"/>
                <w:szCs w:val="16"/>
              </w:rPr>
              <w:t>Uncertain risk</w:t>
            </w:r>
          </w:p>
        </w:tc>
        <w:tc>
          <w:tcPr>
            <w:tcW w:w="851" w:type="dxa"/>
            <w:tcBorders>
              <w:top w:val="single" w:sz="4" w:space="0" w:color="auto"/>
              <w:left w:val="nil"/>
              <w:bottom w:val="nil"/>
              <w:right w:val="nil"/>
            </w:tcBorders>
            <w:shd w:val="clear" w:color="auto" w:fill="auto"/>
            <w:hideMark/>
          </w:tcPr>
          <w:p w14:paraId="14CE018C" w14:textId="7F80DBCC" w:rsidR="000C08D8" w:rsidRPr="001B7B27" w:rsidRDefault="000C08D8" w:rsidP="000C08D8">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134" w:type="dxa"/>
            <w:tcBorders>
              <w:top w:val="single" w:sz="4" w:space="0" w:color="auto"/>
              <w:left w:val="nil"/>
              <w:bottom w:val="nil"/>
              <w:right w:val="nil"/>
            </w:tcBorders>
            <w:shd w:val="clear" w:color="auto" w:fill="auto"/>
            <w:hideMark/>
          </w:tcPr>
          <w:p w14:paraId="3E1E123B" w14:textId="111292D1"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76" w:type="dxa"/>
            <w:tcBorders>
              <w:top w:val="single" w:sz="4" w:space="0" w:color="auto"/>
              <w:left w:val="nil"/>
              <w:bottom w:val="nil"/>
              <w:right w:val="nil"/>
            </w:tcBorders>
            <w:shd w:val="clear" w:color="auto" w:fill="auto"/>
            <w:hideMark/>
          </w:tcPr>
          <w:p w14:paraId="22AE2805" w14:textId="0C67E8EA"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34" w:type="dxa"/>
            <w:tcBorders>
              <w:top w:val="single" w:sz="4" w:space="0" w:color="auto"/>
              <w:left w:val="nil"/>
              <w:bottom w:val="nil"/>
              <w:right w:val="nil"/>
            </w:tcBorders>
            <w:shd w:val="clear" w:color="auto" w:fill="auto"/>
            <w:hideMark/>
          </w:tcPr>
          <w:p w14:paraId="0E41FF57" w14:textId="200F8FF8" w:rsidR="000C08D8" w:rsidRPr="002C77F7" w:rsidRDefault="000C08D8" w:rsidP="000C08D8">
            <w:pPr>
              <w:jc w:val="center"/>
              <w:rPr>
                <w:rFonts w:ascii="Calibri" w:hAnsi="Calibri" w:cs="Calibri"/>
                <w:b/>
                <w:bCs/>
                <w:color w:val="C00000"/>
                <w:sz w:val="16"/>
                <w:szCs w:val="16"/>
              </w:rPr>
            </w:pPr>
            <w:r>
              <w:rPr>
                <w:rFonts w:ascii="Calibri" w:hAnsi="Calibri" w:cs="Calibri"/>
                <w:b/>
                <w:bCs/>
                <w:color w:val="FF0000"/>
                <w:sz w:val="16"/>
                <w:szCs w:val="16"/>
              </w:rPr>
              <w:t>High risk</w:t>
            </w:r>
          </w:p>
        </w:tc>
        <w:tc>
          <w:tcPr>
            <w:tcW w:w="1280" w:type="dxa"/>
            <w:tcBorders>
              <w:top w:val="single" w:sz="4" w:space="0" w:color="auto"/>
              <w:left w:val="nil"/>
              <w:bottom w:val="nil"/>
              <w:right w:val="nil"/>
            </w:tcBorders>
            <w:shd w:val="clear" w:color="auto" w:fill="auto"/>
            <w:hideMark/>
          </w:tcPr>
          <w:p w14:paraId="14ED76F0" w14:textId="3F36C76C" w:rsidR="000C08D8" w:rsidRPr="001B7B27" w:rsidRDefault="000C08D8" w:rsidP="000C08D8">
            <w:pPr>
              <w:jc w:val="center"/>
              <w:rPr>
                <w:rFonts w:ascii="Calibri" w:hAnsi="Calibri" w:cs="Calibri"/>
                <w:b/>
                <w:bCs/>
                <w:color w:val="000000"/>
                <w:sz w:val="16"/>
                <w:szCs w:val="16"/>
              </w:rPr>
            </w:pPr>
            <w:r>
              <w:rPr>
                <w:rFonts w:ascii="Calibri" w:hAnsi="Calibri" w:cs="Calibri"/>
                <w:b/>
                <w:bCs/>
                <w:color w:val="000000"/>
                <w:sz w:val="16"/>
                <w:szCs w:val="16"/>
              </w:rPr>
              <w:t>Low risk</w:t>
            </w:r>
          </w:p>
        </w:tc>
      </w:tr>
      <w:tr w:rsidR="000C08D8" w:rsidRPr="001B7B27" w14:paraId="0AA7EEAF" w14:textId="77777777" w:rsidTr="00CF687D">
        <w:trPr>
          <w:trHeight w:val="4800"/>
        </w:trPr>
        <w:tc>
          <w:tcPr>
            <w:tcW w:w="707" w:type="dxa"/>
            <w:vMerge/>
            <w:tcBorders>
              <w:left w:val="nil"/>
              <w:bottom w:val="single" w:sz="4" w:space="0" w:color="auto"/>
              <w:right w:val="nil"/>
            </w:tcBorders>
            <w:shd w:val="clear" w:color="auto" w:fill="auto"/>
            <w:hideMark/>
          </w:tcPr>
          <w:p w14:paraId="7EB3A703" w14:textId="3108D24D" w:rsidR="000C08D8" w:rsidRPr="001B7B27" w:rsidRDefault="000C08D8" w:rsidP="000C08D8">
            <w:pPr>
              <w:rPr>
                <w:rFonts w:ascii="Calibri" w:hAnsi="Calibri" w:cs="Calibri"/>
                <w:color w:val="000000"/>
                <w:sz w:val="16"/>
                <w:szCs w:val="16"/>
              </w:rPr>
            </w:pPr>
          </w:p>
        </w:tc>
        <w:tc>
          <w:tcPr>
            <w:tcW w:w="1274" w:type="dxa"/>
            <w:tcBorders>
              <w:top w:val="nil"/>
              <w:left w:val="nil"/>
              <w:bottom w:val="single" w:sz="4" w:space="0" w:color="auto"/>
              <w:right w:val="nil"/>
            </w:tcBorders>
            <w:shd w:val="clear" w:color="auto" w:fill="auto"/>
            <w:hideMark/>
          </w:tcPr>
          <w:p w14:paraId="4D1B1201" w14:textId="58B1665B"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 xml:space="preserve">The study retrospectively evaluated the locoregional control, survival and toxicity outcomes of multi-modality treatment combining less aggressive surgery and </w:t>
            </w:r>
            <w:r w:rsidR="00691248">
              <w:rPr>
                <w:rFonts w:ascii="Calibri" w:hAnsi="Calibri" w:cs="Calibri"/>
                <w:color w:val="000000"/>
                <w:sz w:val="16"/>
                <w:szCs w:val="16"/>
              </w:rPr>
              <w:t>POIRT</w:t>
            </w:r>
            <w:r>
              <w:rPr>
                <w:rFonts w:ascii="Calibri" w:hAnsi="Calibri" w:cs="Calibri"/>
                <w:color w:val="000000"/>
                <w:sz w:val="16"/>
                <w:szCs w:val="16"/>
              </w:rPr>
              <w:t xml:space="preserve"> ± EBRT and ChT for , nonmetastatic SNCs.</w:t>
            </w:r>
          </w:p>
        </w:tc>
        <w:tc>
          <w:tcPr>
            <w:tcW w:w="1280" w:type="dxa"/>
            <w:tcBorders>
              <w:top w:val="nil"/>
              <w:left w:val="nil"/>
              <w:bottom w:val="single" w:sz="4" w:space="0" w:color="auto"/>
              <w:right w:val="nil"/>
            </w:tcBorders>
            <w:shd w:val="clear" w:color="auto" w:fill="auto"/>
            <w:hideMark/>
          </w:tcPr>
          <w:p w14:paraId="228E8A34" w14:textId="1768E6C2"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 xml:space="preserve">Between January 2006 and January 2013,  35 pts with SNCs were treated with less aggressive surgery and </w:t>
            </w:r>
            <w:r w:rsidR="00691248">
              <w:rPr>
                <w:rFonts w:ascii="Calibri" w:hAnsi="Calibri" w:cs="Calibri"/>
                <w:color w:val="000000"/>
                <w:sz w:val="16"/>
                <w:szCs w:val="16"/>
              </w:rPr>
              <w:t>POIRT</w:t>
            </w:r>
            <w:r>
              <w:rPr>
                <w:rFonts w:ascii="Calibri" w:hAnsi="Calibri" w:cs="Calibri"/>
                <w:color w:val="000000"/>
                <w:sz w:val="16"/>
                <w:szCs w:val="16"/>
              </w:rPr>
              <w:t xml:space="preserve"> ± EBRT and ChT. Twenty-two had primary disease, for which separate survival outcomes were reported .</w:t>
            </w:r>
          </w:p>
        </w:tc>
        <w:tc>
          <w:tcPr>
            <w:tcW w:w="1134" w:type="dxa"/>
            <w:tcBorders>
              <w:top w:val="nil"/>
              <w:left w:val="nil"/>
              <w:bottom w:val="single" w:sz="4" w:space="0" w:color="auto"/>
              <w:right w:val="nil"/>
            </w:tcBorders>
            <w:shd w:val="clear" w:color="auto" w:fill="auto"/>
            <w:hideMark/>
          </w:tcPr>
          <w:p w14:paraId="5158BE90" w14:textId="1CB7A76E"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The surgery and BRT protocols were described adequately.</w:t>
            </w:r>
            <w:r>
              <w:rPr>
                <w:rFonts w:ascii="Calibri" w:hAnsi="Calibri" w:cs="Calibri"/>
                <w:color w:val="000000"/>
                <w:sz w:val="16"/>
                <w:szCs w:val="16"/>
              </w:rPr>
              <w:br/>
            </w:r>
            <w:r>
              <w:rPr>
                <w:rFonts w:ascii="Calibri" w:hAnsi="Calibri" w:cs="Calibri"/>
                <w:color w:val="000000"/>
                <w:sz w:val="16"/>
                <w:szCs w:val="16"/>
              </w:rPr>
              <w:br/>
              <w:t>The extent of surgery was highly individualized, with aims of maximal resection with function preservation, and reconstruction as necessary.</w:t>
            </w:r>
            <w:r>
              <w:rPr>
                <w:rFonts w:ascii="Calibri" w:hAnsi="Calibri" w:cs="Calibri"/>
                <w:color w:val="000000"/>
                <w:sz w:val="16"/>
                <w:szCs w:val="16"/>
              </w:rPr>
              <w:br/>
            </w:r>
            <w:r>
              <w:rPr>
                <w:rFonts w:ascii="Calibri" w:hAnsi="Calibri" w:cs="Calibri"/>
                <w:color w:val="000000"/>
                <w:sz w:val="16"/>
                <w:szCs w:val="16"/>
              </w:rPr>
              <w:br/>
              <w:t xml:space="preserve">The EBRT, the use of ChT, and the sequence and combination of surgery + </w:t>
            </w:r>
            <w:r w:rsidR="00691248">
              <w:rPr>
                <w:rFonts w:ascii="Calibri" w:hAnsi="Calibri" w:cs="Calibri"/>
                <w:color w:val="000000"/>
                <w:sz w:val="16"/>
                <w:szCs w:val="16"/>
              </w:rPr>
              <w:t>POIRT</w:t>
            </w:r>
            <w:r>
              <w:rPr>
                <w:rFonts w:ascii="Calibri" w:hAnsi="Calibri" w:cs="Calibri"/>
                <w:color w:val="000000"/>
                <w:sz w:val="16"/>
                <w:szCs w:val="16"/>
              </w:rPr>
              <w:t>, EBRT, and ChT, were also highly individualized.</w:t>
            </w:r>
          </w:p>
        </w:tc>
        <w:tc>
          <w:tcPr>
            <w:tcW w:w="1275" w:type="dxa"/>
            <w:tcBorders>
              <w:top w:val="nil"/>
              <w:left w:val="nil"/>
              <w:bottom w:val="single" w:sz="4" w:space="0" w:color="auto"/>
              <w:right w:val="nil"/>
            </w:tcBorders>
            <w:shd w:val="clear" w:color="auto" w:fill="auto"/>
            <w:hideMark/>
          </w:tcPr>
          <w:p w14:paraId="549373B3" w14:textId="2F2E8796"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 xml:space="preserve">Survival events were per standard definitions. </w:t>
            </w:r>
            <w:r>
              <w:rPr>
                <w:rFonts w:ascii="Calibri" w:hAnsi="Calibri" w:cs="Calibri"/>
                <w:color w:val="000000"/>
                <w:sz w:val="16"/>
                <w:szCs w:val="16"/>
              </w:rPr>
              <w:br/>
            </w:r>
            <w:r>
              <w:rPr>
                <w:rFonts w:ascii="Calibri" w:hAnsi="Calibri" w:cs="Calibri"/>
                <w:color w:val="000000"/>
                <w:sz w:val="16"/>
                <w:szCs w:val="16"/>
              </w:rPr>
              <w:br/>
              <w:t>Toxicity was evaluated per standard criteria (CTCAE).</w:t>
            </w:r>
            <w:r>
              <w:rPr>
                <w:rFonts w:ascii="Calibri" w:hAnsi="Calibri" w:cs="Calibri"/>
                <w:color w:val="000000"/>
                <w:sz w:val="16"/>
                <w:szCs w:val="16"/>
              </w:rPr>
              <w:br/>
            </w:r>
            <w:r>
              <w:rPr>
                <w:rFonts w:ascii="Calibri" w:hAnsi="Calibri" w:cs="Calibri"/>
                <w:color w:val="000000"/>
                <w:sz w:val="16"/>
                <w:szCs w:val="16"/>
              </w:rPr>
              <w:br/>
              <w:t xml:space="preserve">The Kaplan-Meier method was used in the survival analyses. </w:t>
            </w:r>
          </w:p>
        </w:tc>
        <w:tc>
          <w:tcPr>
            <w:tcW w:w="1276" w:type="dxa"/>
            <w:tcBorders>
              <w:top w:val="nil"/>
              <w:left w:val="nil"/>
              <w:bottom w:val="single" w:sz="4" w:space="0" w:color="auto"/>
              <w:right w:val="nil"/>
            </w:tcBorders>
            <w:shd w:val="clear" w:color="auto" w:fill="auto"/>
            <w:hideMark/>
          </w:tcPr>
          <w:p w14:paraId="37CA8E9E" w14:textId="48A29542"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Pertinent pt and disease variables were summarized and accounted for in the analyses and discussion.</w:t>
            </w:r>
            <w:r>
              <w:rPr>
                <w:rFonts w:ascii="Calibri" w:hAnsi="Calibri" w:cs="Calibri"/>
                <w:color w:val="000000"/>
                <w:sz w:val="16"/>
                <w:szCs w:val="16"/>
              </w:rPr>
              <w:br/>
            </w:r>
            <w:r>
              <w:rPr>
                <w:rFonts w:ascii="Calibri" w:hAnsi="Calibri" w:cs="Calibri"/>
                <w:color w:val="000000"/>
                <w:sz w:val="16"/>
                <w:szCs w:val="16"/>
              </w:rPr>
              <w:br/>
              <w:t xml:space="preserve">Different </w:t>
            </w:r>
            <w:r w:rsidR="00E95AC3">
              <w:rPr>
                <w:rFonts w:ascii="Calibri" w:hAnsi="Calibri" w:cs="Calibri"/>
                <w:color w:val="000000"/>
                <w:sz w:val="16"/>
                <w:szCs w:val="16"/>
              </w:rPr>
              <w:t>histologies</w:t>
            </w:r>
            <w:r>
              <w:rPr>
                <w:rFonts w:ascii="Calibri" w:hAnsi="Calibri" w:cs="Calibri"/>
                <w:color w:val="000000"/>
                <w:sz w:val="16"/>
                <w:szCs w:val="16"/>
              </w:rPr>
              <w:t xml:space="preserve"> were allowed, for which prognoses in terms of disease control and survival differ.</w:t>
            </w:r>
            <w:r>
              <w:rPr>
                <w:rFonts w:ascii="Calibri" w:hAnsi="Calibri" w:cs="Calibri"/>
                <w:color w:val="000000"/>
                <w:sz w:val="16"/>
                <w:szCs w:val="16"/>
              </w:rPr>
              <w:br/>
            </w:r>
            <w:r>
              <w:rPr>
                <w:rFonts w:ascii="Calibri" w:hAnsi="Calibri" w:cs="Calibri"/>
                <w:color w:val="000000"/>
                <w:sz w:val="16"/>
                <w:szCs w:val="16"/>
              </w:rPr>
              <w:br/>
              <w:t>Co-interventions - ChT, EBRT - were allowed, on an individualized basis.</w:t>
            </w:r>
          </w:p>
        </w:tc>
        <w:tc>
          <w:tcPr>
            <w:tcW w:w="1134" w:type="dxa"/>
            <w:tcBorders>
              <w:top w:val="nil"/>
              <w:left w:val="nil"/>
              <w:bottom w:val="single" w:sz="4" w:space="0" w:color="auto"/>
              <w:right w:val="nil"/>
            </w:tcBorders>
            <w:shd w:val="clear" w:color="auto" w:fill="auto"/>
            <w:hideMark/>
          </w:tcPr>
          <w:p w14:paraId="70CE0F26" w14:textId="2B3A2A14"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The FU schedule and modalities were described adequately. the median FU length (28 months) was adequate for the reported outcome measures. All pts were accounted for.</w:t>
            </w:r>
          </w:p>
        </w:tc>
        <w:tc>
          <w:tcPr>
            <w:tcW w:w="1559" w:type="dxa"/>
            <w:tcBorders>
              <w:top w:val="nil"/>
              <w:left w:val="nil"/>
              <w:bottom w:val="single" w:sz="4" w:space="0" w:color="auto"/>
              <w:right w:val="nil"/>
            </w:tcBorders>
            <w:shd w:val="clear" w:color="auto" w:fill="auto"/>
            <w:hideMark/>
          </w:tcPr>
          <w:p w14:paraId="2C281726" w14:textId="7F4028CD"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The 3y LC, RC and DC rates for pts with primary disease were 91%, 95% and 95%, respectively. The estimated 3y DFS was 83%.</w:t>
            </w:r>
            <w:r>
              <w:rPr>
                <w:rFonts w:ascii="Calibri" w:hAnsi="Calibri" w:cs="Calibri"/>
                <w:color w:val="000000"/>
                <w:sz w:val="16"/>
                <w:szCs w:val="16"/>
              </w:rPr>
              <w:br/>
            </w:r>
            <w:r>
              <w:rPr>
                <w:rFonts w:ascii="Calibri" w:hAnsi="Calibri" w:cs="Calibri"/>
                <w:color w:val="000000"/>
                <w:sz w:val="16"/>
                <w:szCs w:val="16"/>
              </w:rPr>
              <w:br/>
              <w:t xml:space="preserve">Different </w:t>
            </w:r>
            <w:proofErr w:type="spellStart"/>
            <w:r>
              <w:rPr>
                <w:rFonts w:ascii="Calibri" w:hAnsi="Calibri" w:cs="Calibri"/>
                <w:color w:val="000000"/>
                <w:sz w:val="16"/>
                <w:szCs w:val="16"/>
              </w:rPr>
              <w:t>histologes</w:t>
            </w:r>
            <w:proofErr w:type="spellEnd"/>
            <w:r>
              <w:rPr>
                <w:rFonts w:ascii="Calibri" w:hAnsi="Calibri" w:cs="Calibri"/>
                <w:color w:val="000000"/>
                <w:sz w:val="16"/>
                <w:szCs w:val="16"/>
              </w:rPr>
              <w:t xml:space="preserve"> were allowed, for which prognoses in terms of disease control and survival differ.</w:t>
            </w:r>
            <w:r>
              <w:rPr>
                <w:rFonts w:ascii="Calibri" w:hAnsi="Calibri" w:cs="Calibri"/>
                <w:color w:val="000000"/>
                <w:sz w:val="16"/>
                <w:szCs w:val="16"/>
              </w:rPr>
              <w:br/>
            </w:r>
            <w:r>
              <w:rPr>
                <w:rFonts w:ascii="Calibri" w:hAnsi="Calibri" w:cs="Calibri"/>
                <w:color w:val="000000"/>
                <w:sz w:val="16"/>
                <w:szCs w:val="16"/>
              </w:rPr>
              <w:br/>
              <w:t>Overall complication rate was 57% for the entire cohort, including recurrent disease with or without prior irradiation.</w:t>
            </w:r>
          </w:p>
        </w:tc>
        <w:tc>
          <w:tcPr>
            <w:tcW w:w="851" w:type="dxa"/>
            <w:tcBorders>
              <w:top w:val="nil"/>
              <w:left w:val="nil"/>
              <w:bottom w:val="single" w:sz="4" w:space="0" w:color="auto"/>
              <w:right w:val="nil"/>
            </w:tcBorders>
            <w:shd w:val="clear" w:color="auto" w:fill="auto"/>
            <w:hideMark/>
          </w:tcPr>
          <w:p w14:paraId="190CC77A" w14:textId="13771EAC" w:rsidR="000C08D8" w:rsidRPr="001B7B27" w:rsidRDefault="000C08D8" w:rsidP="000C08D8">
            <w:pPr>
              <w:rPr>
                <w:rFonts w:ascii="Calibri" w:hAnsi="Calibri" w:cs="Calibri"/>
                <w:color w:val="000000"/>
                <w:sz w:val="16"/>
                <w:szCs w:val="16"/>
              </w:rPr>
            </w:pPr>
            <w:r>
              <w:rPr>
                <w:rFonts w:ascii="Calibri" w:hAnsi="Calibri" w:cs="Calibri"/>
                <w:sz w:val="16"/>
                <w:szCs w:val="16"/>
              </w:rPr>
              <w:t xml:space="preserve">CIs were not reported. </w:t>
            </w:r>
            <w:r>
              <w:rPr>
                <w:rFonts w:ascii="Calibri" w:hAnsi="Calibri" w:cs="Calibri"/>
                <w:sz w:val="16"/>
                <w:szCs w:val="16"/>
              </w:rPr>
              <w:br/>
            </w:r>
            <w:r>
              <w:rPr>
                <w:rFonts w:ascii="Calibri" w:hAnsi="Calibri" w:cs="Calibri"/>
                <w:sz w:val="16"/>
                <w:szCs w:val="16"/>
              </w:rPr>
              <w:br/>
              <w:t>The sample size (n=22) allows for estimates with low precision.</w:t>
            </w:r>
          </w:p>
        </w:tc>
        <w:tc>
          <w:tcPr>
            <w:tcW w:w="1134" w:type="dxa"/>
            <w:tcBorders>
              <w:top w:val="nil"/>
              <w:left w:val="nil"/>
              <w:bottom w:val="single" w:sz="4" w:space="0" w:color="auto"/>
              <w:right w:val="nil"/>
            </w:tcBorders>
            <w:shd w:val="clear" w:color="auto" w:fill="auto"/>
            <w:hideMark/>
          </w:tcPr>
          <w:p w14:paraId="1A4D4F6A" w14:textId="48B75E95" w:rsidR="000C08D8" w:rsidRPr="001B7B27" w:rsidRDefault="000C08D8" w:rsidP="000C08D8">
            <w:pPr>
              <w:rPr>
                <w:rFonts w:ascii="Calibri" w:hAnsi="Calibri" w:cs="Calibri"/>
                <w:color w:val="000000"/>
                <w:sz w:val="16"/>
                <w:szCs w:val="16"/>
              </w:rPr>
            </w:pPr>
            <w:r>
              <w:rPr>
                <w:rFonts w:ascii="Calibri" w:hAnsi="Calibri" w:cs="Calibri"/>
                <w:sz w:val="16"/>
                <w:szCs w:val="16"/>
              </w:rPr>
              <w:t xml:space="preserve">The 3y LC, RC, DC and DFS are excellent and seem attainable for a cohort where GTR (R0, R1) was achieved in the </w:t>
            </w:r>
            <w:proofErr w:type="spellStart"/>
            <w:r>
              <w:rPr>
                <w:rFonts w:ascii="Calibri" w:hAnsi="Calibri" w:cs="Calibri"/>
                <w:sz w:val="16"/>
                <w:szCs w:val="16"/>
              </w:rPr>
              <w:t>the</w:t>
            </w:r>
            <w:proofErr w:type="spellEnd"/>
            <w:r>
              <w:rPr>
                <w:rFonts w:ascii="Calibri" w:hAnsi="Calibri" w:cs="Calibri"/>
                <w:sz w:val="16"/>
                <w:szCs w:val="16"/>
              </w:rPr>
              <w:t xml:space="preserve"> majority (~89%), and appropriate adjuvant treatment given per histology, resection status,  and stage.</w:t>
            </w:r>
            <w:r>
              <w:rPr>
                <w:rFonts w:ascii="Calibri" w:hAnsi="Calibri" w:cs="Calibri"/>
                <w:sz w:val="16"/>
                <w:szCs w:val="16"/>
              </w:rPr>
              <w:br/>
            </w:r>
            <w:r>
              <w:rPr>
                <w:rFonts w:ascii="Calibri" w:hAnsi="Calibri" w:cs="Calibri"/>
                <w:sz w:val="16"/>
                <w:szCs w:val="16"/>
              </w:rPr>
              <w:br/>
              <w:t>The reported complication rate is high but is compatible given the complexity of the surgery and the co-interventions.</w:t>
            </w:r>
          </w:p>
        </w:tc>
        <w:tc>
          <w:tcPr>
            <w:tcW w:w="1276" w:type="dxa"/>
            <w:tcBorders>
              <w:top w:val="nil"/>
              <w:left w:val="nil"/>
              <w:bottom w:val="single" w:sz="4" w:space="0" w:color="auto"/>
              <w:right w:val="nil"/>
            </w:tcBorders>
            <w:shd w:val="clear" w:color="auto" w:fill="auto"/>
            <w:hideMark/>
          </w:tcPr>
          <w:p w14:paraId="22EC62E9" w14:textId="4C5EE7BC" w:rsidR="000C08D8" w:rsidRPr="001B7B27" w:rsidRDefault="000C08D8" w:rsidP="000C08D8">
            <w:pPr>
              <w:rPr>
                <w:rFonts w:ascii="Calibri" w:hAnsi="Calibri" w:cs="Calibri"/>
                <w:color w:val="000000"/>
                <w:sz w:val="16"/>
                <w:szCs w:val="16"/>
              </w:rPr>
            </w:pPr>
            <w:r>
              <w:rPr>
                <w:rFonts w:ascii="Calibri" w:hAnsi="Calibri" w:cs="Calibri"/>
                <w:sz w:val="16"/>
                <w:szCs w:val="16"/>
              </w:rPr>
              <w:t>The results are compatible with a 5y OS estimate of 49.7% to 56.4% in a contemporary cohort of 6739 pts with SNCs treated with surgery, EBRT, or both (Turner, 2012).</w:t>
            </w:r>
          </w:p>
        </w:tc>
        <w:tc>
          <w:tcPr>
            <w:tcW w:w="1134" w:type="dxa"/>
            <w:tcBorders>
              <w:top w:val="nil"/>
              <w:left w:val="nil"/>
              <w:bottom w:val="single" w:sz="4" w:space="0" w:color="auto"/>
              <w:right w:val="nil"/>
            </w:tcBorders>
            <w:shd w:val="clear" w:color="auto" w:fill="auto"/>
            <w:hideMark/>
          </w:tcPr>
          <w:p w14:paraId="34C4A950" w14:textId="0A08947F" w:rsidR="000C08D8" w:rsidRDefault="000C08D8" w:rsidP="000C08D8">
            <w:pPr>
              <w:rPr>
                <w:rFonts w:ascii="Calibri" w:hAnsi="Calibri" w:cs="Calibri"/>
                <w:color w:val="000000"/>
                <w:sz w:val="16"/>
                <w:szCs w:val="16"/>
              </w:rPr>
            </w:pPr>
            <w:r>
              <w:rPr>
                <w:rFonts w:ascii="Calibri" w:hAnsi="Calibri" w:cs="Calibri"/>
                <w:color w:val="000000"/>
                <w:sz w:val="16"/>
                <w:szCs w:val="16"/>
              </w:rPr>
              <w:t>The extent of surgery was highly individualized, with aims of maximal resection with function preservation, and reconstruction as necessary.</w:t>
            </w:r>
            <w:r>
              <w:rPr>
                <w:rFonts w:ascii="Calibri" w:hAnsi="Calibri" w:cs="Calibri"/>
                <w:color w:val="000000"/>
                <w:sz w:val="16"/>
                <w:szCs w:val="16"/>
              </w:rPr>
              <w:br/>
            </w:r>
            <w:r>
              <w:rPr>
                <w:rFonts w:ascii="Calibri" w:hAnsi="Calibri" w:cs="Calibri"/>
                <w:color w:val="000000"/>
                <w:sz w:val="16"/>
                <w:szCs w:val="16"/>
              </w:rPr>
              <w:br/>
              <w:t xml:space="preserve">The EBRT, the use of ChT, and the sequence and combination of surgery + </w:t>
            </w:r>
            <w:r w:rsidR="00691248">
              <w:rPr>
                <w:rFonts w:ascii="Calibri" w:hAnsi="Calibri" w:cs="Calibri"/>
                <w:color w:val="000000"/>
                <w:sz w:val="16"/>
                <w:szCs w:val="16"/>
              </w:rPr>
              <w:t>POIRT</w:t>
            </w:r>
            <w:r>
              <w:rPr>
                <w:rFonts w:ascii="Calibri" w:hAnsi="Calibri" w:cs="Calibri"/>
                <w:color w:val="000000"/>
                <w:sz w:val="16"/>
                <w:szCs w:val="16"/>
              </w:rPr>
              <w:t>, EBRT, and ChT, were also highly individualized.</w:t>
            </w:r>
            <w:r>
              <w:rPr>
                <w:rFonts w:ascii="Calibri" w:hAnsi="Calibri" w:cs="Calibri"/>
                <w:color w:val="000000"/>
                <w:sz w:val="16"/>
                <w:szCs w:val="16"/>
              </w:rPr>
              <w:br/>
            </w:r>
            <w:r>
              <w:rPr>
                <w:rFonts w:ascii="Calibri" w:hAnsi="Calibri" w:cs="Calibri"/>
                <w:color w:val="000000"/>
                <w:sz w:val="16"/>
                <w:szCs w:val="16"/>
              </w:rPr>
              <w:br/>
              <w:t>All the above may require a highly specialized team to replicate.</w:t>
            </w:r>
          </w:p>
          <w:p w14:paraId="619B5078" w14:textId="730219D2" w:rsidR="00FE2BF3" w:rsidRPr="001B7B27" w:rsidRDefault="00FE2BF3" w:rsidP="000C08D8">
            <w:pPr>
              <w:rPr>
                <w:rFonts w:ascii="Calibri" w:hAnsi="Calibri" w:cs="Calibri"/>
                <w:color w:val="000000"/>
                <w:sz w:val="16"/>
                <w:szCs w:val="16"/>
              </w:rPr>
            </w:pPr>
          </w:p>
        </w:tc>
        <w:tc>
          <w:tcPr>
            <w:tcW w:w="1280" w:type="dxa"/>
            <w:tcBorders>
              <w:top w:val="nil"/>
              <w:left w:val="nil"/>
              <w:bottom w:val="single" w:sz="4" w:space="0" w:color="auto"/>
              <w:right w:val="nil"/>
            </w:tcBorders>
            <w:shd w:val="clear" w:color="auto" w:fill="auto"/>
            <w:hideMark/>
          </w:tcPr>
          <w:p w14:paraId="1E6B04E8" w14:textId="4B065762" w:rsidR="000C08D8" w:rsidRPr="001B7B27" w:rsidRDefault="000C08D8" w:rsidP="000C08D8">
            <w:pPr>
              <w:rPr>
                <w:rFonts w:ascii="Calibri" w:hAnsi="Calibri" w:cs="Calibri"/>
                <w:color w:val="000000"/>
                <w:sz w:val="16"/>
                <w:szCs w:val="16"/>
              </w:rPr>
            </w:pPr>
            <w:r>
              <w:rPr>
                <w:rFonts w:ascii="Calibri" w:hAnsi="Calibri" w:cs="Calibri"/>
                <w:color w:val="000000"/>
                <w:sz w:val="16"/>
                <w:szCs w:val="16"/>
              </w:rPr>
              <w:t xml:space="preserve">The study provides retrospective data on medium-term disease control, survival and toxicity rates with </w:t>
            </w:r>
            <w:r w:rsidR="00691248">
              <w:rPr>
                <w:rFonts w:ascii="Calibri" w:hAnsi="Calibri" w:cs="Calibri"/>
                <w:color w:val="000000"/>
                <w:sz w:val="16"/>
                <w:szCs w:val="16"/>
              </w:rPr>
              <w:t>POIRT</w:t>
            </w:r>
            <w:r>
              <w:rPr>
                <w:rFonts w:ascii="Calibri" w:hAnsi="Calibri" w:cs="Calibri"/>
                <w:color w:val="000000"/>
                <w:sz w:val="16"/>
                <w:szCs w:val="16"/>
              </w:rPr>
              <w:t xml:space="preserve"> ± EBRT ± ChT for resected, , nonmetastatic primary SNCs.</w:t>
            </w:r>
          </w:p>
        </w:tc>
      </w:tr>
      <w:tr w:rsidR="00C51B3B" w:rsidRPr="001B7B27" w14:paraId="680C8384" w14:textId="77777777" w:rsidTr="00394CA7">
        <w:trPr>
          <w:trHeight w:val="63"/>
        </w:trPr>
        <w:tc>
          <w:tcPr>
            <w:tcW w:w="15314" w:type="dxa"/>
            <w:gridSpan w:val="13"/>
            <w:tcBorders>
              <w:top w:val="single" w:sz="4" w:space="0" w:color="auto"/>
              <w:left w:val="nil"/>
              <w:bottom w:val="nil"/>
              <w:right w:val="nil"/>
            </w:tcBorders>
            <w:shd w:val="clear" w:color="auto" w:fill="auto"/>
          </w:tcPr>
          <w:p w14:paraId="32B86BCE" w14:textId="25B905E7" w:rsidR="00C51B3B" w:rsidRPr="000C08D8" w:rsidRDefault="000C08D8" w:rsidP="00C51B3B">
            <w:pPr>
              <w:rPr>
                <w:rFonts w:asciiTheme="minorHAnsi" w:hAnsiTheme="minorHAnsi" w:cstheme="minorHAnsi"/>
                <w:sz w:val="16"/>
                <w:szCs w:val="16"/>
              </w:rPr>
            </w:pPr>
            <w:r w:rsidRPr="000C08D8">
              <w:rPr>
                <w:rFonts w:asciiTheme="minorHAnsi" w:hAnsiTheme="minorHAnsi" w:cstheme="minorHAnsi"/>
                <w:b/>
                <w:bCs/>
                <w:sz w:val="16"/>
                <w:szCs w:val="16"/>
              </w:rPr>
              <w:t>ChT</w:t>
            </w:r>
            <w:r w:rsidRPr="000C08D8">
              <w:rPr>
                <w:rFonts w:asciiTheme="minorHAnsi" w:hAnsiTheme="minorHAnsi" w:cstheme="minorHAnsi"/>
                <w:sz w:val="16"/>
                <w:szCs w:val="16"/>
              </w:rPr>
              <w:t xml:space="preserve">, chemotherapy; </w:t>
            </w:r>
            <w:r w:rsidRPr="000C08D8">
              <w:rPr>
                <w:rFonts w:asciiTheme="minorHAnsi" w:hAnsiTheme="minorHAnsi" w:cstheme="minorHAnsi"/>
                <w:b/>
                <w:bCs/>
                <w:sz w:val="16"/>
                <w:szCs w:val="16"/>
              </w:rPr>
              <w:t>CI</w:t>
            </w:r>
            <w:r w:rsidRPr="000C08D8">
              <w:rPr>
                <w:rFonts w:asciiTheme="minorHAnsi" w:hAnsiTheme="minorHAnsi" w:cstheme="minorHAnsi"/>
                <w:sz w:val="16"/>
                <w:szCs w:val="16"/>
              </w:rPr>
              <w:t xml:space="preserve">, confidence interval; </w:t>
            </w:r>
            <w:r w:rsidRPr="000C08D8">
              <w:rPr>
                <w:rFonts w:asciiTheme="minorHAnsi" w:hAnsiTheme="minorHAnsi" w:cstheme="minorHAnsi"/>
                <w:b/>
                <w:bCs/>
                <w:sz w:val="16"/>
                <w:szCs w:val="16"/>
              </w:rPr>
              <w:t>CTCAE</w:t>
            </w:r>
            <w:r w:rsidRPr="000C08D8">
              <w:rPr>
                <w:rFonts w:asciiTheme="minorHAnsi" w:hAnsiTheme="minorHAnsi" w:cstheme="minorHAnsi"/>
                <w:sz w:val="16"/>
                <w:szCs w:val="16"/>
              </w:rPr>
              <w:t xml:space="preserve">, Common Terminology Criteria for Adverse Events; </w:t>
            </w:r>
            <w:r w:rsidRPr="000C08D8">
              <w:rPr>
                <w:rFonts w:asciiTheme="minorHAnsi" w:hAnsiTheme="minorHAnsi" w:cstheme="minorHAnsi"/>
                <w:b/>
                <w:bCs/>
                <w:sz w:val="16"/>
                <w:szCs w:val="16"/>
              </w:rPr>
              <w:t>DC</w:t>
            </w:r>
            <w:r w:rsidRPr="000C08D8">
              <w:rPr>
                <w:rFonts w:asciiTheme="minorHAnsi" w:hAnsiTheme="minorHAnsi" w:cstheme="minorHAnsi"/>
                <w:sz w:val="16"/>
                <w:szCs w:val="16"/>
              </w:rPr>
              <w:t xml:space="preserve">, distant control; </w:t>
            </w:r>
            <w:r w:rsidRPr="000C08D8">
              <w:rPr>
                <w:rFonts w:asciiTheme="minorHAnsi" w:hAnsiTheme="minorHAnsi" w:cstheme="minorHAnsi"/>
                <w:b/>
                <w:bCs/>
                <w:sz w:val="16"/>
                <w:szCs w:val="16"/>
              </w:rPr>
              <w:t>DFS</w:t>
            </w:r>
            <w:r w:rsidRPr="000C08D8">
              <w:rPr>
                <w:rFonts w:asciiTheme="minorHAnsi" w:hAnsiTheme="minorHAnsi" w:cstheme="minorHAnsi"/>
                <w:sz w:val="16"/>
                <w:szCs w:val="16"/>
              </w:rPr>
              <w:t xml:space="preserve">, disease-free survival; </w:t>
            </w:r>
            <w:r w:rsidRPr="000C08D8">
              <w:rPr>
                <w:rFonts w:asciiTheme="minorHAnsi" w:hAnsiTheme="minorHAnsi" w:cstheme="minorHAnsi"/>
                <w:b/>
                <w:bCs/>
                <w:sz w:val="16"/>
                <w:szCs w:val="16"/>
              </w:rPr>
              <w:t>DSS</w:t>
            </w:r>
            <w:r w:rsidRPr="000C08D8">
              <w:rPr>
                <w:rFonts w:asciiTheme="minorHAnsi" w:hAnsiTheme="minorHAnsi" w:cstheme="minorHAnsi"/>
                <w:sz w:val="16"/>
                <w:szCs w:val="16"/>
              </w:rPr>
              <w:t xml:space="preserve">, disease-specific survival; </w:t>
            </w:r>
            <w:r w:rsidRPr="000C08D8">
              <w:rPr>
                <w:rFonts w:asciiTheme="minorHAnsi" w:hAnsiTheme="minorHAnsi" w:cstheme="minorHAnsi"/>
                <w:b/>
                <w:bCs/>
                <w:sz w:val="16"/>
                <w:szCs w:val="16"/>
              </w:rPr>
              <w:t>EBRT</w:t>
            </w:r>
            <w:r w:rsidRPr="000C08D8">
              <w:rPr>
                <w:rFonts w:asciiTheme="minorHAnsi" w:hAnsiTheme="minorHAnsi" w:cstheme="minorHAnsi"/>
                <w:sz w:val="16"/>
                <w:szCs w:val="16"/>
              </w:rPr>
              <w:t xml:space="preserve">, external beam radiotherapy; </w:t>
            </w:r>
            <w:r w:rsidRPr="000C08D8">
              <w:rPr>
                <w:rFonts w:asciiTheme="minorHAnsi" w:hAnsiTheme="minorHAnsi" w:cstheme="minorHAnsi"/>
                <w:b/>
                <w:bCs/>
                <w:sz w:val="16"/>
                <w:szCs w:val="16"/>
              </w:rPr>
              <w:t>EORTC</w:t>
            </w:r>
            <w:r w:rsidRPr="000C08D8">
              <w:rPr>
                <w:rFonts w:asciiTheme="minorHAnsi" w:hAnsiTheme="minorHAnsi" w:cstheme="minorHAnsi"/>
                <w:sz w:val="16"/>
                <w:szCs w:val="16"/>
              </w:rPr>
              <w:t xml:space="preserve">, European Organisation for Research and Treatment of Cancer; </w:t>
            </w:r>
            <w:r w:rsidRPr="000C08D8">
              <w:rPr>
                <w:rFonts w:asciiTheme="minorHAnsi" w:hAnsiTheme="minorHAnsi" w:cstheme="minorHAnsi"/>
                <w:b/>
                <w:bCs/>
                <w:sz w:val="16"/>
                <w:szCs w:val="16"/>
              </w:rPr>
              <w:t>FU</w:t>
            </w:r>
            <w:r w:rsidRPr="000C08D8">
              <w:rPr>
                <w:rFonts w:asciiTheme="minorHAnsi" w:hAnsiTheme="minorHAnsi" w:cstheme="minorHAnsi"/>
                <w:sz w:val="16"/>
                <w:szCs w:val="16"/>
              </w:rPr>
              <w:t xml:space="preserve">, follow up; </w:t>
            </w:r>
            <w:r w:rsidRPr="000C08D8">
              <w:rPr>
                <w:rFonts w:asciiTheme="minorHAnsi" w:hAnsiTheme="minorHAnsi" w:cstheme="minorHAnsi"/>
                <w:b/>
                <w:bCs/>
                <w:sz w:val="16"/>
                <w:szCs w:val="16"/>
              </w:rPr>
              <w:t>GTR</w:t>
            </w:r>
            <w:r w:rsidRPr="000C08D8">
              <w:rPr>
                <w:rFonts w:asciiTheme="minorHAnsi" w:hAnsiTheme="minorHAnsi" w:cstheme="minorHAnsi"/>
                <w:sz w:val="16"/>
                <w:szCs w:val="16"/>
              </w:rPr>
              <w:t xml:space="preserve">, gross total resection; </w:t>
            </w:r>
            <w:r w:rsidRPr="000C08D8">
              <w:rPr>
                <w:rFonts w:asciiTheme="minorHAnsi" w:hAnsiTheme="minorHAnsi" w:cstheme="minorHAnsi"/>
                <w:b/>
                <w:bCs/>
                <w:sz w:val="16"/>
                <w:szCs w:val="16"/>
              </w:rPr>
              <w:t>HDR</w:t>
            </w:r>
            <w:r w:rsidRPr="000C08D8">
              <w:rPr>
                <w:rFonts w:asciiTheme="minorHAnsi" w:hAnsiTheme="minorHAnsi" w:cstheme="minorHAnsi"/>
                <w:sz w:val="16"/>
                <w:szCs w:val="16"/>
              </w:rPr>
              <w:t xml:space="preserve">, high dose rate; </w:t>
            </w:r>
            <w:r w:rsidRPr="000C08D8">
              <w:rPr>
                <w:rFonts w:asciiTheme="minorHAnsi" w:hAnsiTheme="minorHAnsi" w:cstheme="minorHAnsi"/>
                <w:b/>
                <w:bCs/>
                <w:sz w:val="16"/>
                <w:szCs w:val="16"/>
              </w:rPr>
              <w:t>HNC</w:t>
            </w:r>
            <w:r w:rsidRPr="000C08D8">
              <w:rPr>
                <w:rFonts w:asciiTheme="minorHAnsi" w:hAnsiTheme="minorHAnsi" w:cstheme="minorHAnsi"/>
                <w:sz w:val="16"/>
                <w:szCs w:val="16"/>
              </w:rPr>
              <w:t xml:space="preserve">, head and neck cancer; </w:t>
            </w:r>
            <w:r w:rsidRPr="000C08D8">
              <w:rPr>
                <w:rFonts w:asciiTheme="minorHAnsi" w:hAnsiTheme="minorHAnsi" w:cstheme="minorHAnsi"/>
                <w:b/>
                <w:bCs/>
                <w:sz w:val="16"/>
                <w:szCs w:val="16"/>
              </w:rPr>
              <w:t>HNSCC</w:t>
            </w:r>
            <w:r w:rsidRPr="000C08D8">
              <w:rPr>
                <w:rFonts w:asciiTheme="minorHAnsi" w:hAnsiTheme="minorHAnsi" w:cstheme="minorHAnsi"/>
                <w:sz w:val="16"/>
                <w:szCs w:val="16"/>
              </w:rPr>
              <w:t xml:space="preserve">, head and neck squamous cell carcinoma; </w:t>
            </w:r>
            <w:r w:rsidR="00691248">
              <w:rPr>
                <w:rFonts w:asciiTheme="minorHAnsi" w:hAnsiTheme="minorHAnsi" w:cstheme="minorHAnsi"/>
                <w:b/>
                <w:bCs/>
                <w:sz w:val="16"/>
                <w:szCs w:val="16"/>
              </w:rPr>
              <w:t>IRT</w:t>
            </w:r>
            <w:r w:rsidR="00691248" w:rsidRPr="000C08D8">
              <w:rPr>
                <w:rFonts w:asciiTheme="minorHAnsi" w:hAnsiTheme="minorHAnsi" w:cstheme="minorHAnsi"/>
                <w:sz w:val="16"/>
                <w:szCs w:val="16"/>
              </w:rPr>
              <w:t xml:space="preserve"> </w:t>
            </w:r>
            <w:r w:rsidR="00691248">
              <w:rPr>
                <w:rFonts w:asciiTheme="minorHAnsi" w:hAnsiTheme="minorHAnsi" w:cstheme="minorHAnsi"/>
                <w:sz w:val="16"/>
                <w:szCs w:val="16"/>
              </w:rPr>
              <w:t>interventional radiotherapy</w:t>
            </w:r>
            <w:r w:rsidR="00691248" w:rsidRPr="000C08D8">
              <w:rPr>
                <w:rFonts w:asciiTheme="minorHAnsi" w:hAnsiTheme="minorHAnsi" w:cstheme="minorHAnsi"/>
                <w:sz w:val="16"/>
                <w:szCs w:val="16"/>
              </w:rPr>
              <w:t xml:space="preserve">; </w:t>
            </w:r>
            <w:r w:rsidRPr="000C08D8">
              <w:rPr>
                <w:rFonts w:asciiTheme="minorHAnsi" w:hAnsiTheme="minorHAnsi" w:cstheme="minorHAnsi"/>
                <w:b/>
                <w:bCs/>
                <w:sz w:val="16"/>
                <w:szCs w:val="16"/>
              </w:rPr>
              <w:t>LC</w:t>
            </w:r>
            <w:r w:rsidRPr="000C08D8">
              <w:rPr>
                <w:rFonts w:asciiTheme="minorHAnsi" w:hAnsiTheme="minorHAnsi" w:cstheme="minorHAnsi"/>
                <w:sz w:val="16"/>
                <w:szCs w:val="16"/>
              </w:rPr>
              <w:t xml:space="preserve">, local control; </w:t>
            </w:r>
            <w:r w:rsidRPr="000C08D8">
              <w:rPr>
                <w:rFonts w:asciiTheme="minorHAnsi" w:hAnsiTheme="minorHAnsi" w:cstheme="minorHAnsi"/>
                <w:b/>
                <w:bCs/>
                <w:sz w:val="16"/>
                <w:szCs w:val="16"/>
              </w:rPr>
              <w:t>LRC</w:t>
            </w:r>
            <w:r w:rsidRPr="000C08D8">
              <w:rPr>
                <w:rFonts w:asciiTheme="minorHAnsi" w:hAnsiTheme="minorHAnsi" w:cstheme="minorHAnsi"/>
                <w:sz w:val="16"/>
                <w:szCs w:val="16"/>
              </w:rPr>
              <w:t xml:space="preserve">, locoregional control; </w:t>
            </w:r>
            <w:r w:rsidRPr="000C08D8">
              <w:rPr>
                <w:rFonts w:asciiTheme="minorHAnsi" w:hAnsiTheme="minorHAnsi" w:cstheme="minorHAnsi"/>
                <w:b/>
                <w:bCs/>
                <w:sz w:val="16"/>
                <w:szCs w:val="16"/>
              </w:rPr>
              <w:t>ORN</w:t>
            </w:r>
            <w:r w:rsidRPr="000C08D8">
              <w:rPr>
                <w:rFonts w:asciiTheme="minorHAnsi" w:hAnsiTheme="minorHAnsi" w:cstheme="minorHAnsi"/>
                <w:sz w:val="16"/>
                <w:szCs w:val="16"/>
              </w:rPr>
              <w:t xml:space="preserve">, osteoradionecrosis; </w:t>
            </w:r>
            <w:r w:rsidRPr="000C08D8">
              <w:rPr>
                <w:rFonts w:asciiTheme="minorHAnsi" w:hAnsiTheme="minorHAnsi" w:cstheme="minorHAnsi"/>
                <w:b/>
                <w:bCs/>
                <w:sz w:val="16"/>
                <w:szCs w:val="16"/>
              </w:rPr>
              <w:t>OS</w:t>
            </w:r>
            <w:r w:rsidRPr="000C08D8">
              <w:rPr>
                <w:rFonts w:asciiTheme="minorHAnsi" w:hAnsiTheme="minorHAnsi" w:cstheme="minorHAnsi"/>
                <w:sz w:val="16"/>
                <w:szCs w:val="16"/>
              </w:rPr>
              <w:t xml:space="preserve">, overall survival; </w:t>
            </w:r>
            <w:r w:rsidRPr="000C08D8">
              <w:rPr>
                <w:rFonts w:asciiTheme="minorHAnsi" w:hAnsiTheme="minorHAnsi" w:cstheme="minorHAnsi"/>
                <w:b/>
                <w:bCs/>
                <w:sz w:val="16"/>
                <w:szCs w:val="16"/>
              </w:rPr>
              <w:t>OTSCC</w:t>
            </w:r>
            <w:r w:rsidRPr="000C08D8">
              <w:rPr>
                <w:rFonts w:asciiTheme="minorHAnsi" w:hAnsiTheme="minorHAnsi" w:cstheme="minorHAnsi"/>
                <w:sz w:val="16"/>
                <w:szCs w:val="16"/>
              </w:rPr>
              <w:t xml:space="preserve">, oral tongue squamous cell carcinoma; </w:t>
            </w:r>
            <w:r w:rsidR="00691248">
              <w:rPr>
                <w:rFonts w:asciiTheme="minorHAnsi" w:hAnsiTheme="minorHAnsi" w:cstheme="minorHAnsi"/>
                <w:b/>
                <w:bCs/>
                <w:sz w:val="16"/>
                <w:szCs w:val="16"/>
              </w:rPr>
              <w:t>POIRT</w:t>
            </w:r>
            <w:r w:rsidRPr="000C08D8">
              <w:rPr>
                <w:rFonts w:asciiTheme="minorHAnsi" w:hAnsiTheme="minorHAnsi" w:cstheme="minorHAnsi"/>
                <w:sz w:val="16"/>
                <w:szCs w:val="16"/>
              </w:rPr>
              <w:t xml:space="preserve">, peri-operative </w:t>
            </w:r>
            <w:r w:rsidR="00691248">
              <w:rPr>
                <w:rFonts w:asciiTheme="minorHAnsi" w:hAnsiTheme="minorHAnsi" w:cstheme="minorHAnsi"/>
                <w:sz w:val="16"/>
                <w:szCs w:val="16"/>
              </w:rPr>
              <w:t>interventional radiotherapy</w:t>
            </w:r>
            <w:r w:rsidRPr="000C08D8">
              <w:rPr>
                <w:rFonts w:asciiTheme="minorHAnsi" w:hAnsiTheme="minorHAnsi" w:cstheme="minorHAnsi"/>
                <w:sz w:val="16"/>
                <w:szCs w:val="16"/>
              </w:rPr>
              <w:t xml:space="preserve">; </w:t>
            </w:r>
            <w:r w:rsidRPr="000C08D8">
              <w:rPr>
                <w:rFonts w:asciiTheme="minorHAnsi" w:hAnsiTheme="minorHAnsi" w:cstheme="minorHAnsi"/>
                <w:b/>
                <w:bCs/>
                <w:sz w:val="16"/>
                <w:szCs w:val="16"/>
              </w:rPr>
              <w:t>pt</w:t>
            </w:r>
            <w:r w:rsidRPr="000C08D8">
              <w:rPr>
                <w:rFonts w:asciiTheme="minorHAnsi" w:hAnsiTheme="minorHAnsi" w:cstheme="minorHAnsi"/>
                <w:sz w:val="16"/>
                <w:szCs w:val="16"/>
              </w:rPr>
              <w:t xml:space="preserve">, patient; </w:t>
            </w:r>
            <w:r w:rsidRPr="000C08D8">
              <w:rPr>
                <w:rFonts w:asciiTheme="minorHAnsi" w:hAnsiTheme="minorHAnsi" w:cstheme="minorHAnsi"/>
                <w:b/>
                <w:bCs/>
                <w:sz w:val="16"/>
                <w:szCs w:val="16"/>
              </w:rPr>
              <w:t>R0</w:t>
            </w:r>
            <w:r w:rsidRPr="000C08D8">
              <w:rPr>
                <w:rFonts w:asciiTheme="minorHAnsi" w:hAnsiTheme="minorHAnsi" w:cstheme="minorHAnsi"/>
                <w:sz w:val="16"/>
                <w:szCs w:val="16"/>
              </w:rPr>
              <w:t xml:space="preserve">, negative margins; </w:t>
            </w:r>
            <w:r w:rsidRPr="000C08D8">
              <w:rPr>
                <w:rFonts w:asciiTheme="minorHAnsi" w:hAnsiTheme="minorHAnsi" w:cstheme="minorHAnsi"/>
                <w:b/>
                <w:bCs/>
                <w:sz w:val="16"/>
                <w:szCs w:val="16"/>
              </w:rPr>
              <w:t>R1</w:t>
            </w:r>
            <w:r w:rsidRPr="000C08D8">
              <w:rPr>
                <w:rFonts w:asciiTheme="minorHAnsi" w:hAnsiTheme="minorHAnsi" w:cstheme="minorHAnsi"/>
                <w:sz w:val="16"/>
                <w:szCs w:val="16"/>
              </w:rPr>
              <w:t xml:space="preserve">, positive margins; </w:t>
            </w:r>
            <w:r w:rsidRPr="000C08D8">
              <w:rPr>
                <w:rFonts w:asciiTheme="minorHAnsi" w:hAnsiTheme="minorHAnsi" w:cstheme="minorHAnsi"/>
                <w:b/>
                <w:bCs/>
                <w:sz w:val="16"/>
                <w:szCs w:val="16"/>
              </w:rPr>
              <w:t>RC</w:t>
            </w:r>
            <w:r w:rsidRPr="000C08D8">
              <w:rPr>
                <w:rFonts w:asciiTheme="minorHAnsi" w:hAnsiTheme="minorHAnsi" w:cstheme="minorHAnsi"/>
                <w:sz w:val="16"/>
                <w:szCs w:val="16"/>
              </w:rPr>
              <w:t xml:space="preserve">, regional control; </w:t>
            </w:r>
            <w:r w:rsidRPr="000C08D8">
              <w:rPr>
                <w:rFonts w:asciiTheme="minorHAnsi" w:hAnsiTheme="minorHAnsi" w:cstheme="minorHAnsi"/>
                <w:b/>
                <w:bCs/>
                <w:sz w:val="16"/>
                <w:szCs w:val="16"/>
              </w:rPr>
              <w:t>RFS</w:t>
            </w:r>
            <w:r w:rsidRPr="000C08D8">
              <w:rPr>
                <w:rFonts w:asciiTheme="minorHAnsi" w:hAnsiTheme="minorHAnsi" w:cstheme="minorHAnsi"/>
                <w:sz w:val="16"/>
                <w:szCs w:val="16"/>
              </w:rPr>
              <w:t xml:space="preserve">, recurrence-free survival; </w:t>
            </w:r>
            <w:r w:rsidRPr="000C08D8">
              <w:rPr>
                <w:rFonts w:asciiTheme="minorHAnsi" w:hAnsiTheme="minorHAnsi" w:cstheme="minorHAnsi"/>
                <w:b/>
                <w:bCs/>
                <w:sz w:val="16"/>
                <w:szCs w:val="16"/>
              </w:rPr>
              <w:t>RTOG</w:t>
            </w:r>
            <w:r w:rsidRPr="000C08D8">
              <w:rPr>
                <w:rFonts w:asciiTheme="minorHAnsi" w:hAnsiTheme="minorHAnsi" w:cstheme="minorHAnsi"/>
                <w:sz w:val="16"/>
                <w:szCs w:val="16"/>
              </w:rPr>
              <w:t xml:space="preserve">, Radiation Therapy Oncology Group; </w:t>
            </w:r>
            <w:r w:rsidRPr="000C08D8">
              <w:rPr>
                <w:rFonts w:asciiTheme="minorHAnsi" w:hAnsiTheme="minorHAnsi" w:cstheme="minorHAnsi"/>
                <w:b/>
                <w:bCs/>
                <w:sz w:val="16"/>
                <w:szCs w:val="16"/>
              </w:rPr>
              <w:t>SCC</w:t>
            </w:r>
            <w:r w:rsidRPr="000C08D8">
              <w:rPr>
                <w:rFonts w:asciiTheme="minorHAnsi" w:hAnsiTheme="minorHAnsi" w:cstheme="minorHAnsi"/>
                <w:sz w:val="16"/>
                <w:szCs w:val="16"/>
              </w:rPr>
              <w:t xml:space="preserve">, squamous cell carcinoma; </w:t>
            </w:r>
            <w:r w:rsidRPr="000C08D8">
              <w:rPr>
                <w:rFonts w:asciiTheme="minorHAnsi" w:hAnsiTheme="minorHAnsi" w:cstheme="minorHAnsi"/>
                <w:b/>
                <w:bCs/>
                <w:sz w:val="16"/>
                <w:szCs w:val="16"/>
              </w:rPr>
              <w:t>SNC</w:t>
            </w:r>
            <w:r w:rsidRPr="000C08D8">
              <w:rPr>
                <w:rFonts w:asciiTheme="minorHAnsi" w:hAnsiTheme="minorHAnsi" w:cstheme="minorHAnsi"/>
                <w:sz w:val="16"/>
                <w:szCs w:val="16"/>
              </w:rPr>
              <w:t xml:space="preserve">, sinonasal cancer; </w:t>
            </w:r>
            <w:r w:rsidRPr="000C08D8">
              <w:rPr>
                <w:rFonts w:asciiTheme="minorHAnsi" w:hAnsiTheme="minorHAnsi" w:cstheme="minorHAnsi"/>
                <w:b/>
                <w:bCs/>
                <w:sz w:val="16"/>
                <w:szCs w:val="16"/>
              </w:rPr>
              <w:t>STN</w:t>
            </w:r>
            <w:r w:rsidRPr="000C08D8">
              <w:rPr>
                <w:rFonts w:asciiTheme="minorHAnsi" w:hAnsiTheme="minorHAnsi" w:cstheme="minorHAnsi"/>
                <w:sz w:val="16"/>
                <w:szCs w:val="16"/>
              </w:rPr>
              <w:t xml:space="preserve">, soft tissue necrosis; </w:t>
            </w:r>
            <w:r w:rsidRPr="000C08D8">
              <w:rPr>
                <w:rFonts w:asciiTheme="minorHAnsi" w:hAnsiTheme="minorHAnsi" w:cstheme="minorHAnsi"/>
                <w:b/>
                <w:bCs/>
                <w:sz w:val="16"/>
                <w:szCs w:val="16"/>
              </w:rPr>
              <w:t>UICC</w:t>
            </w:r>
            <w:r w:rsidRPr="000C08D8">
              <w:rPr>
                <w:rFonts w:asciiTheme="minorHAnsi" w:hAnsiTheme="minorHAnsi" w:cstheme="minorHAnsi"/>
                <w:sz w:val="16"/>
                <w:szCs w:val="16"/>
              </w:rPr>
              <w:t xml:space="preserve">, Union for International Cancer Control; </w:t>
            </w:r>
            <w:r w:rsidRPr="000C08D8">
              <w:rPr>
                <w:rFonts w:asciiTheme="minorHAnsi" w:hAnsiTheme="minorHAnsi" w:cstheme="minorHAnsi"/>
                <w:b/>
                <w:bCs/>
                <w:sz w:val="16"/>
                <w:szCs w:val="16"/>
              </w:rPr>
              <w:t>v</w:t>
            </w:r>
            <w:r w:rsidRPr="000C08D8">
              <w:rPr>
                <w:rFonts w:asciiTheme="minorHAnsi" w:hAnsiTheme="minorHAnsi" w:cstheme="minorHAnsi"/>
                <w:sz w:val="16"/>
                <w:szCs w:val="16"/>
              </w:rPr>
              <w:t xml:space="preserve">, version; </w:t>
            </w:r>
            <w:r w:rsidRPr="000C08D8">
              <w:rPr>
                <w:rFonts w:asciiTheme="minorHAnsi" w:hAnsiTheme="minorHAnsi" w:cstheme="minorHAnsi"/>
                <w:b/>
                <w:bCs/>
                <w:sz w:val="16"/>
                <w:szCs w:val="16"/>
              </w:rPr>
              <w:t>y</w:t>
            </w:r>
            <w:r w:rsidRPr="000C08D8">
              <w:rPr>
                <w:rFonts w:asciiTheme="minorHAnsi" w:hAnsiTheme="minorHAnsi" w:cstheme="minorHAnsi"/>
                <w:sz w:val="16"/>
                <w:szCs w:val="16"/>
              </w:rPr>
              <w:t>, year</w:t>
            </w:r>
          </w:p>
        </w:tc>
      </w:tr>
    </w:tbl>
    <w:p w14:paraId="5D8FE343" w14:textId="7DB5B863" w:rsidR="00B240B3" w:rsidRDefault="00B240B3" w:rsidP="00D241A9">
      <w:pPr>
        <w:tabs>
          <w:tab w:val="left" w:pos="2629"/>
        </w:tabs>
        <w:rPr>
          <w:rFonts w:ascii="Calibri" w:hAnsi="Calibri" w:cs="Calibri"/>
        </w:rPr>
      </w:pPr>
    </w:p>
    <w:p w14:paraId="3F6FAEFE" w14:textId="77777777" w:rsidR="00B240B3" w:rsidRDefault="00B240B3">
      <w:pPr>
        <w:rPr>
          <w:rFonts w:ascii="Calibri" w:hAnsi="Calibri" w:cs="Calibri"/>
        </w:rPr>
      </w:pPr>
      <w:r>
        <w:rPr>
          <w:rFonts w:ascii="Calibri" w:hAnsi="Calibri" w:cs="Calibri"/>
        </w:rPr>
        <w:br w:type="page"/>
      </w:r>
    </w:p>
    <w:p w14:paraId="0052A5F8" w14:textId="77777777" w:rsidR="006C080A" w:rsidRDefault="006C080A" w:rsidP="00D241A9">
      <w:pPr>
        <w:tabs>
          <w:tab w:val="left" w:pos="2629"/>
        </w:tabs>
        <w:rPr>
          <w:rFonts w:ascii="Calibri" w:hAnsi="Calibri" w:cs="Calibri"/>
        </w:rPr>
      </w:pPr>
    </w:p>
    <w:tbl>
      <w:tblPr>
        <w:tblW w:w="15314" w:type="dxa"/>
        <w:tblCellMar>
          <w:left w:w="57" w:type="dxa"/>
          <w:right w:w="57" w:type="dxa"/>
        </w:tblCellMar>
        <w:tblLook w:val="04A0" w:firstRow="1" w:lastRow="0" w:firstColumn="1" w:lastColumn="0" w:noHBand="0" w:noVBand="1"/>
      </w:tblPr>
      <w:tblGrid>
        <w:gridCol w:w="15314"/>
      </w:tblGrid>
      <w:tr w:rsidR="000619D4" w:rsidRPr="001B7B27" w14:paraId="7C953B16" w14:textId="77777777" w:rsidTr="00BA11CA">
        <w:trPr>
          <w:trHeight w:val="73"/>
        </w:trPr>
        <w:tc>
          <w:tcPr>
            <w:tcW w:w="15314" w:type="dxa"/>
            <w:tcBorders>
              <w:top w:val="nil"/>
              <w:left w:val="nil"/>
              <w:bottom w:val="single" w:sz="4" w:space="0" w:color="auto"/>
              <w:right w:val="nil"/>
            </w:tcBorders>
            <w:shd w:val="clear" w:color="auto" w:fill="auto"/>
            <w:noWrap/>
            <w:hideMark/>
          </w:tcPr>
          <w:p w14:paraId="689022D5" w14:textId="67B4B4E6" w:rsidR="000619D4" w:rsidRPr="001B7B27" w:rsidRDefault="000619D4" w:rsidP="000619D4">
            <w:pPr>
              <w:jc w:val="center"/>
              <w:rPr>
                <w:rFonts w:ascii="Calibri" w:hAnsi="Calibri" w:cs="Calibri"/>
                <w:b/>
                <w:bCs/>
                <w:color w:val="000000"/>
                <w:sz w:val="16"/>
                <w:szCs w:val="16"/>
              </w:rPr>
            </w:pPr>
            <w:r>
              <w:rPr>
                <w:rFonts w:ascii="Calibri" w:hAnsi="Calibri" w:cs="Calibri"/>
                <w:b/>
                <w:bCs/>
                <w:color w:val="000000"/>
                <w:sz w:val="16"/>
                <w:szCs w:val="16"/>
                <w:lang w:val="en-US"/>
              </w:rPr>
              <w:t xml:space="preserve">Peri-operative </w:t>
            </w:r>
            <w:r w:rsidR="00691248">
              <w:rPr>
                <w:rFonts w:ascii="Calibri" w:hAnsi="Calibri" w:cs="Calibri"/>
                <w:b/>
                <w:bCs/>
                <w:color w:val="000000"/>
                <w:sz w:val="16"/>
                <w:szCs w:val="16"/>
                <w:lang w:val="en-US"/>
              </w:rPr>
              <w:t>interventional radiotherapy</w:t>
            </w:r>
            <w:r>
              <w:rPr>
                <w:rFonts w:ascii="Calibri" w:hAnsi="Calibri" w:cs="Calibri"/>
                <w:b/>
                <w:bCs/>
                <w:color w:val="000000"/>
                <w:sz w:val="16"/>
                <w:szCs w:val="16"/>
                <w:lang w:val="en-US"/>
              </w:rPr>
              <w:t xml:space="preserve"> in the re-irradiation setting</w:t>
            </w:r>
          </w:p>
        </w:tc>
      </w:tr>
    </w:tbl>
    <w:p w14:paraId="0408C8E9" w14:textId="77777777" w:rsidR="00B240B3" w:rsidRPr="00864DF6" w:rsidRDefault="00B240B3" w:rsidP="00B240B3">
      <w:pPr>
        <w:rPr>
          <w:sz w:val="16"/>
          <w:szCs w:val="16"/>
        </w:rPr>
      </w:pPr>
    </w:p>
    <w:tbl>
      <w:tblPr>
        <w:tblW w:w="15314" w:type="dxa"/>
        <w:tblLayout w:type="fixed"/>
        <w:tblCellMar>
          <w:left w:w="57" w:type="dxa"/>
          <w:right w:w="57" w:type="dxa"/>
        </w:tblCellMar>
        <w:tblLook w:val="04A0" w:firstRow="1" w:lastRow="0" w:firstColumn="1" w:lastColumn="0" w:noHBand="0" w:noVBand="1"/>
      </w:tblPr>
      <w:tblGrid>
        <w:gridCol w:w="707"/>
        <w:gridCol w:w="1274"/>
        <w:gridCol w:w="1280"/>
        <w:gridCol w:w="1134"/>
        <w:gridCol w:w="1275"/>
        <w:gridCol w:w="1276"/>
        <w:gridCol w:w="1134"/>
        <w:gridCol w:w="1559"/>
        <w:gridCol w:w="851"/>
        <w:gridCol w:w="1134"/>
        <w:gridCol w:w="1276"/>
        <w:gridCol w:w="1134"/>
        <w:gridCol w:w="1280"/>
      </w:tblGrid>
      <w:tr w:rsidR="00B240B3" w:rsidRPr="001B7B27" w14:paraId="74AC548B" w14:textId="77777777" w:rsidTr="00BA11CA">
        <w:trPr>
          <w:trHeight w:val="480"/>
          <w:tblHeader/>
        </w:trPr>
        <w:tc>
          <w:tcPr>
            <w:tcW w:w="707" w:type="dxa"/>
            <w:tcBorders>
              <w:top w:val="single" w:sz="4" w:space="0" w:color="auto"/>
              <w:left w:val="nil"/>
              <w:bottom w:val="single" w:sz="4" w:space="0" w:color="auto"/>
              <w:right w:val="nil"/>
            </w:tcBorders>
            <w:shd w:val="clear" w:color="000000" w:fill="2F75B5"/>
            <w:hideMark/>
          </w:tcPr>
          <w:p w14:paraId="60104751" w14:textId="77777777" w:rsidR="00B240B3" w:rsidRPr="001B7B27" w:rsidRDefault="00B240B3" w:rsidP="00BA11CA">
            <w:pPr>
              <w:ind w:right="91"/>
              <w:jc w:val="center"/>
              <w:rPr>
                <w:rFonts w:ascii="Calibri" w:hAnsi="Calibri" w:cs="Calibri"/>
                <w:b/>
                <w:bCs/>
                <w:color w:val="000000"/>
                <w:sz w:val="16"/>
                <w:szCs w:val="16"/>
              </w:rPr>
            </w:pPr>
            <w:r w:rsidRPr="001B7B27">
              <w:rPr>
                <w:rFonts w:ascii="Calibri" w:hAnsi="Calibri" w:cs="Calibri"/>
                <w:b/>
                <w:bCs/>
                <w:color w:val="000000"/>
                <w:sz w:val="16"/>
                <w:szCs w:val="16"/>
              </w:rPr>
              <w:t>Study ID</w:t>
            </w:r>
          </w:p>
        </w:tc>
        <w:tc>
          <w:tcPr>
            <w:tcW w:w="1274" w:type="dxa"/>
            <w:tcBorders>
              <w:top w:val="single" w:sz="4" w:space="0" w:color="auto"/>
              <w:left w:val="nil"/>
              <w:bottom w:val="single" w:sz="4" w:space="0" w:color="auto"/>
              <w:right w:val="nil"/>
            </w:tcBorders>
            <w:shd w:val="clear" w:color="000000" w:fill="A9D08E"/>
            <w:hideMark/>
          </w:tcPr>
          <w:p w14:paraId="6B8CE2DD" w14:textId="77777777" w:rsidR="00B240B3" w:rsidRPr="001B7B27" w:rsidRDefault="00B240B3" w:rsidP="00BA11CA">
            <w:pPr>
              <w:ind w:right="91"/>
              <w:jc w:val="center"/>
              <w:rPr>
                <w:rFonts w:ascii="Calibri" w:hAnsi="Calibri" w:cs="Calibri"/>
                <w:b/>
                <w:bCs/>
                <w:color w:val="000000"/>
                <w:sz w:val="16"/>
                <w:szCs w:val="16"/>
              </w:rPr>
            </w:pPr>
            <w:r w:rsidRPr="001B7B27">
              <w:rPr>
                <w:rFonts w:ascii="Calibri" w:hAnsi="Calibri" w:cs="Calibri"/>
                <w:b/>
                <w:bCs/>
                <w:color w:val="000000"/>
                <w:sz w:val="16"/>
                <w:szCs w:val="16"/>
              </w:rPr>
              <w:t xml:space="preserve">Research Question </w:t>
            </w:r>
          </w:p>
        </w:tc>
        <w:tc>
          <w:tcPr>
            <w:tcW w:w="1280" w:type="dxa"/>
            <w:tcBorders>
              <w:top w:val="single" w:sz="4" w:space="0" w:color="auto"/>
              <w:left w:val="nil"/>
              <w:bottom w:val="single" w:sz="4" w:space="0" w:color="auto"/>
              <w:right w:val="nil"/>
            </w:tcBorders>
            <w:shd w:val="clear" w:color="000000" w:fill="A9D08E"/>
            <w:hideMark/>
          </w:tcPr>
          <w:p w14:paraId="16E81C78" w14:textId="77777777" w:rsidR="00B240B3" w:rsidRPr="001B7B27" w:rsidRDefault="00B240B3" w:rsidP="00BA11CA">
            <w:pPr>
              <w:jc w:val="center"/>
              <w:rPr>
                <w:rFonts w:ascii="Calibri" w:hAnsi="Calibri" w:cs="Calibri"/>
                <w:b/>
                <w:bCs/>
                <w:color w:val="000000"/>
                <w:sz w:val="16"/>
                <w:szCs w:val="16"/>
              </w:rPr>
            </w:pPr>
            <w:r w:rsidRPr="001B7B27">
              <w:rPr>
                <w:rFonts w:ascii="Calibri" w:hAnsi="Calibri" w:cs="Calibri"/>
                <w:b/>
                <w:bCs/>
                <w:color w:val="000000"/>
                <w:sz w:val="16"/>
                <w:szCs w:val="16"/>
              </w:rPr>
              <w:t xml:space="preserve">Selection bias </w:t>
            </w:r>
          </w:p>
        </w:tc>
        <w:tc>
          <w:tcPr>
            <w:tcW w:w="1134" w:type="dxa"/>
            <w:tcBorders>
              <w:top w:val="single" w:sz="4" w:space="0" w:color="auto"/>
              <w:left w:val="nil"/>
              <w:bottom w:val="single" w:sz="4" w:space="0" w:color="auto"/>
              <w:right w:val="nil"/>
            </w:tcBorders>
            <w:shd w:val="clear" w:color="000000" w:fill="A9D08E"/>
            <w:hideMark/>
          </w:tcPr>
          <w:p w14:paraId="6198D586" w14:textId="77777777" w:rsidR="00B240B3" w:rsidRPr="001B7B27" w:rsidRDefault="00B240B3" w:rsidP="00BA11CA">
            <w:pPr>
              <w:jc w:val="center"/>
              <w:rPr>
                <w:rFonts w:ascii="Calibri" w:hAnsi="Calibri" w:cs="Calibri"/>
                <w:b/>
                <w:bCs/>
                <w:color w:val="000000"/>
                <w:sz w:val="16"/>
                <w:szCs w:val="16"/>
              </w:rPr>
            </w:pPr>
            <w:r w:rsidRPr="001B7B27">
              <w:rPr>
                <w:rFonts w:ascii="Calibri" w:hAnsi="Calibri" w:cs="Calibri"/>
                <w:b/>
                <w:bCs/>
                <w:color w:val="000000"/>
                <w:sz w:val="16"/>
                <w:szCs w:val="16"/>
              </w:rPr>
              <w:t xml:space="preserve">Measurement bias (exposure) </w:t>
            </w:r>
          </w:p>
        </w:tc>
        <w:tc>
          <w:tcPr>
            <w:tcW w:w="1275" w:type="dxa"/>
            <w:tcBorders>
              <w:top w:val="single" w:sz="4" w:space="0" w:color="auto"/>
              <w:left w:val="nil"/>
              <w:bottom w:val="single" w:sz="4" w:space="0" w:color="auto"/>
              <w:right w:val="nil"/>
            </w:tcBorders>
            <w:shd w:val="clear" w:color="000000" w:fill="A9D08E"/>
            <w:hideMark/>
          </w:tcPr>
          <w:p w14:paraId="3F445CC8" w14:textId="77777777" w:rsidR="00B240B3" w:rsidRPr="001B7B27" w:rsidRDefault="00B240B3" w:rsidP="00BA11CA">
            <w:pPr>
              <w:jc w:val="center"/>
              <w:rPr>
                <w:rFonts w:ascii="Calibri" w:hAnsi="Calibri" w:cs="Calibri"/>
                <w:b/>
                <w:bCs/>
                <w:color w:val="000000"/>
                <w:sz w:val="16"/>
                <w:szCs w:val="16"/>
              </w:rPr>
            </w:pPr>
            <w:r w:rsidRPr="001B7B27">
              <w:rPr>
                <w:rFonts w:ascii="Calibri" w:hAnsi="Calibri" w:cs="Calibri"/>
                <w:b/>
                <w:bCs/>
                <w:color w:val="000000"/>
                <w:sz w:val="16"/>
                <w:szCs w:val="16"/>
              </w:rPr>
              <w:t xml:space="preserve">Measurement bias (outcomes) </w:t>
            </w:r>
          </w:p>
        </w:tc>
        <w:tc>
          <w:tcPr>
            <w:tcW w:w="1276" w:type="dxa"/>
            <w:tcBorders>
              <w:top w:val="single" w:sz="4" w:space="0" w:color="auto"/>
              <w:left w:val="nil"/>
              <w:bottom w:val="single" w:sz="4" w:space="0" w:color="auto"/>
              <w:right w:val="nil"/>
            </w:tcBorders>
            <w:shd w:val="clear" w:color="000000" w:fill="A9D08E"/>
            <w:hideMark/>
          </w:tcPr>
          <w:p w14:paraId="3CA83C19" w14:textId="77777777" w:rsidR="00B240B3" w:rsidRPr="001B7B27" w:rsidRDefault="00B240B3" w:rsidP="00BA11CA">
            <w:pPr>
              <w:jc w:val="center"/>
              <w:rPr>
                <w:rFonts w:ascii="Calibri" w:hAnsi="Calibri" w:cs="Calibri"/>
                <w:b/>
                <w:bCs/>
                <w:color w:val="000000"/>
                <w:sz w:val="16"/>
                <w:szCs w:val="16"/>
              </w:rPr>
            </w:pPr>
            <w:r w:rsidRPr="001B7B27">
              <w:rPr>
                <w:rFonts w:ascii="Calibri" w:hAnsi="Calibri" w:cs="Calibri"/>
                <w:b/>
                <w:bCs/>
                <w:color w:val="000000"/>
                <w:sz w:val="16"/>
                <w:szCs w:val="16"/>
              </w:rPr>
              <w:t xml:space="preserve">Confounding factors </w:t>
            </w:r>
          </w:p>
        </w:tc>
        <w:tc>
          <w:tcPr>
            <w:tcW w:w="1134" w:type="dxa"/>
            <w:tcBorders>
              <w:top w:val="single" w:sz="4" w:space="0" w:color="auto"/>
              <w:left w:val="nil"/>
              <w:bottom w:val="single" w:sz="4" w:space="0" w:color="auto"/>
              <w:right w:val="nil"/>
            </w:tcBorders>
            <w:shd w:val="clear" w:color="000000" w:fill="A9D08E"/>
            <w:hideMark/>
          </w:tcPr>
          <w:p w14:paraId="1D1663F3" w14:textId="77777777" w:rsidR="00B240B3" w:rsidRPr="001B7B27" w:rsidRDefault="00B240B3" w:rsidP="00BA11CA">
            <w:pPr>
              <w:jc w:val="center"/>
              <w:rPr>
                <w:rFonts w:ascii="Calibri" w:hAnsi="Calibri" w:cs="Calibri"/>
                <w:b/>
                <w:bCs/>
                <w:color w:val="000000"/>
                <w:sz w:val="16"/>
                <w:szCs w:val="16"/>
              </w:rPr>
            </w:pPr>
            <w:r w:rsidRPr="001B7B27">
              <w:rPr>
                <w:rFonts w:ascii="Calibri" w:hAnsi="Calibri" w:cs="Calibri"/>
                <w:b/>
                <w:bCs/>
                <w:color w:val="000000"/>
                <w:sz w:val="16"/>
                <w:szCs w:val="16"/>
              </w:rPr>
              <w:t xml:space="preserve">Follow-up </w:t>
            </w:r>
          </w:p>
        </w:tc>
        <w:tc>
          <w:tcPr>
            <w:tcW w:w="1559" w:type="dxa"/>
            <w:tcBorders>
              <w:top w:val="single" w:sz="4" w:space="0" w:color="auto"/>
              <w:left w:val="nil"/>
              <w:bottom w:val="single" w:sz="4" w:space="0" w:color="auto"/>
              <w:right w:val="nil"/>
            </w:tcBorders>
            <w:shd w:val="clear" w:color="000000" w:fill="A9D08E"/>
            <w:hideMark/>
          </w:tcPr>
          <w:p w14:paraId="7F052515" w14:textId="77777777" w:rsidR="00B240B3" w:rsidRPr="001B7B27" w:rsidRDefault="00B240B3" w:rsidP="00BA11CA">
            <w:pPr>
              <w:jc w:val="center"/>
              <w:rPr>
                <w:rFonts w:ascii="Calibri" w:hAnsi="Calibri" w:cs="Calibri"/>
                <w:b/>
                <w:bCs/>
                <w:color w:val="000000"/>
                <w:sz w:val="16"/>
                <w:szCs w:val="16"/>
              </w:rPr>
            </w:pPr>
            <w:r w:rsidRPr="001B7B27">
              <w:rPr>
                <w:rFonts w:ascii="Calibri" w:hAnsi="Calibri" w:cs="Calibri"/>
                <w:b/>
                <w:bCs/>
                <w:color w:val="000000"/>
                <w:sz w:val="16"/>
                <w:szCs w:val="16"/>
              </w:rPr>
              <w:t xml:space="preserve">Magnitude of effect  </w:t>
            </w:r>
          </w:p>
        </w:tc>
        <w:tc>
          <w:tcPr>
            <w:tcW w:w="851" w:type="dxa"/>
            <w:tcBorders>
              <w:top w:val="single" w:sz="4" w:space="0" w:color="auto"/>
              <w:left w:val="nil"/>
              <w:bottom w:val="single" w:sz="4" w:space="0" w:color="auto"/>
              <w:right w:val="nil"/>
            </w:tcBorders>
            <w:shd w:val="clear" w:color="000000" w:fill="A9D08E"/>
            <w:hideMark/>
          </w:tcPr>
          <w:p w14:paraId="036CA599" w14:textId="77777777" w:rsidR="00B240B3" w:rsidRPr="001B7B27" w:rsidRDefault="00B240B3" w:rsidP="00BA11CA">
            <w:pPr>
              <w:jc w:val="center"/>
              <w:rPr>
                <w:rFonts w:ascii="Calibri" w:hAnsi="Calibri" w:cs="Calibri"/>
                <w:b/>
                <w:bCs/>
                <w:color w:val="000000"/>
                <w:sz w:val="16"/>
                <w:szCs w:val="16"/>
              </w:rPr>
            </w:pPr>
            <w:r w:rsidRPr="001B7B27">
              <w:rPr>
                <w:rFonts w:ascii="Calibri" w:hAnsi="Calibri" w:cs="Calibri"/>
                <w:b/>
                <w:bCs/>
                <w:color w:val="000000"/>
                <w:sz w:val="16"/>
                <w:szCs w:val="16"/>
              </w:rPr>
              <w:t xml:space="preserve">Precision of estimate </w:t>
            </w:r>
          </w:p>
        </w:tc>
        <w:tc>
          <w:tcPr>
            <w:tcW w:w="1134" w:type="dxa"/>
            <w:tcBorders>
              <w:top w:val="single" w:sz="4" w:space="0" w:color="auto"/>
              <w:left w:val="nil"/>
              <w:bottom w:val="single" w:sz="4" w:space="0" w:color="auto"/>
              <w:right w:val="nil"/>
            </w:tcBorders>
            <w:shd w:val="clear" w:color="000000" w:fill="A9D08E"/>
            <w:hideMark/>
          </w:tcPr>
          <w:p w14:paraId="7A198192" w14:textId="77777777" w:rsidR="00B240B3" w:rsidRPr="001B7B27" w:rsidRDefault="00B240B3" w:rsidP="00BA11CA">
            <w:pPr>
              <w:jc w:val="center"/>
              <w:rPr>
                <w:rFonts w:ascii="Calibri" w:hAnsi="Calibri" w:cs="Calibri"/>
                <w:b/>
                <w:bCs/>
                <w:color w:val="000000"/>
                <w:sz w:val="16"/>
                <w:szCs w:val="16"/>
              </w:rPr>
            </w:pPr>
            <w:r w:rsidRPr="001B7B27">
              <w:rPr>
                <w:rFonts w:ascii="Calibri" w:hAnsi="Calibri" w:cs="Calibri"/>
                <w:b/>
                <w:bCs/>
                <w:color w:val="000000"/>
                <w:sz w:val="16"/>
                <w:szCs w:val="16"/>
              </w:rPr>
              <w:t xml:space="preserve">Credibility </w:t>
            </w:r>
          </w:p>
        </w:tc>
        <w:tc>
          <w:tcPr>
            <w:tcW w:w="1276" w:type="dxa"/>
            <w:tcBorders>
              <w:top w:val="single" w:sz="4" w:space="0" w:color="auto"/>
              <w:left w:val="nil"/>
              <w:bottom w:val="single" w:sz="4" w:space="0" w:color="auto"/>
              <w:right w:val="nil"/>
            </w:tcBorders>
            <w:shd w:val="clear" w:color="000000" w:fill="A9D08E"/>
            <w:hideMark/>
          </w:tcPr>
          <w:p w14:paraId="3F8CB793" w14:textId="77777777" w:rsidR="00B240B3" w:rsidRPr="001B7B27" w:rsidRDefault="00B240B3" w:rsidP="00BA11CA">
            <w:pPr>
              <w:jc w:val="center"/>
              <w:rPr>
                <w:rFonts w:ascii="Calibri" w:hAnsi="Calibri" w:cs="Calibri"/>
                <w:b/>
                <w:bCs/>
                <w:color w:val="000000"/>
                <w:sz w:val="16"/>
                <w:szCs w:val="16"/>
              </w:rPr>
            </w:pPr>
            <w:r w:rsidRPr="001B7B27">
              <w:rPr>
                <w:rFonts w:ascii="Calibri" w:hAnsi="Calibri" w:cs="Calibri"/>
                <w:b/>
                <w:bCs/>
                <w:color w:val="000000"/>
                <w:sz w:val="16"/>
                <w:szCs w:val="16"/>
              </w:rPr>
              <w:t xml:space="preserve">Empiric congruence </w:t>
            </w:r>
          </w:p>
        </w:tc>
        <w:tc>
          <w:tcPr>
            <w:tcW w:w="1134" w:type="dxa"/>
            <w:tcBorders>
              <w:top w:val="single" w:sz="4" w:space="0" w:color="auto"/>
              <w:left w:val="nil"/>
              <w:bottom w:val="single" w:sz="4" w:space="0" w:color="auto"/>
              <w:right w:val="nil"/>
            </w:tcBorders>
            <w:shd w:val="clear" w:color="000000" w:fill="A9D08E"/>
            <w:hideMark/>
          </w:tcPr>
          <w:p w14:paraId="146B4DDC" w14:textId="77777777" w:rsidR="00B240B3" w:rsidRPr="001B7B27" w:rsidRDefault="00B240B3" w:rsidP="00BA11CA">
            <w:pPr>
              <w:jc w:val="center"/>
              <w:rPr>
                <w:rFonts w:ascii="Calibri" w:hAnsi="Calibri" w:cs="Calibri"/>
                <w:b/>
                <w:bCs/>
                <w:color w:val="000000"/>
                <w:sz w:val="16"/>
                <w:szCs w:val="16"/>
              </w:rPr>
            </w:pPr>
            <w:r w:rsidRPr="001B7B27">
              <w:rPr>
                <w:rFonts w:ascii="Calibri" w:hAnsi="Calibri" w:cs="Calibri"/>
                <w:b/>
                <w:bCs/>
                <w:color w:val="000000"/>
                <w:sz w:val="16"/>
                <w:szCs w:val="16"/>
              </w:rPr>
              <w:t xml:space="preserve">Applicability </w:t>
            </w:r>
          </w:p>
        </w:tc>
        <w:tc>
          <w:tcPr>
            <w:tcW w:w="1280" w:type="dxa"/>
            <w:tcBorders>
              <w:top w:val="single" w:sz="4" w:space="0" w:color="auto"/>
              <w:left w:val="nil"/>
              <w:bottom w:val="single" w:sz="4" w:space="0" w:color="auto"/>
              <w:right w:val="nil"/>
            </w:tcBorders>
            <w:shd w:val="clear" w:color="000000" w:fill="A9D08E"/>
            <w:hideMark/>
          </w:tcPr>
          <w:p w14:paraId="7396A106" w14:textId="77777777" w:rsidR="00B240B3" w:rsidRPr="001B7B27" w:rsidRDefault="00B240B3" w:rsidP="00BA11CA">
            <w:pPr>
              <w:jc w:val="center"/>
              <w:rPr>
                <w:rFonts w:ascii="Calibri" w:hAnsi="Calibri" w:cs="Calibri"/>
                <w:b/>
                <w:bCs/>
                <w:color w:val="000000"/>
                <w:sz w:val="16"/>
                <w:szCs w:val="16"/>
              </w:rPr>
            </w:pPr>
            <w:r w:rsidRPr="001B7B27">
              <w:rPr>
                <w:rFonts w:ascii="Calibri" w:hAnsi="Calibri" w:cs="Calibri"/>
                <w:b/>
                <w:bCs/>
                <w:color w:val="000000"/>
                <w:sz w:val="16"/>
                <w:szCs w:val="16"/>
              </w:rPr>
              <w:t xml:space="preserve">Implications to Practice </w:t>
            </w:r>
          </w:p>
        </w:tc>
      </w:tr>
      <w:tr w:rsidR="00B240B3" w:rsidRPr="001B7B27" w14:paraId="5B7A06BD" w14:textId="77777777" w:rsidTr="00BA11CA">
        <w:trPr>
          <w:trHeight w:val="220"/>
        </w:trPr>
        <w:tc>
          <w:tcPr>
            <w:tcW w:w="15314" w:type="dxa"/>
            <w:gridSpan w:val="13"/>
            <w:tcBorders>
              <w:top w:val="single" w:sz="4" w:space="0" w:color="auto"/>
              <w:left w:val="nil"/>
              <w:bottom w:val="single" w:sz="4" w:space="0" w:color="auto"/>
              <w:right w:val="nil"/>
            </w:tcBorders>
            <w:shd w:val="clear" w:color="auto" w:fill="auto"/>
            <w:hideMark/>
          </w:tcPr>
          <w:p w14:paraId="2E38FE21" w14:textId="77777777" w:rsidR="00B240B3" w:rsidRPr="001B7B27" w:rsidRDefault="00B240B3" w:rsidP="00BA11CA">
            <w:pPr>
              <w:rPr>
                <w:rFonts w:ascii="Calibri" w:hAnsi="Calibri" w:cs="Calibri"/>
                <w:b/>
                <w:bCs/>
                <w:color w:val="000000"/>
                <w:sz w:val="16"/>
                <w:szCs w:val="16"/>
              </w:rPr>
            </w:pPr>
            <w:r w:rsidRPr="00C51B3B">
              <w:rPr>
                <w:rFonts w:ascii="Calibri" w:hAnsi="Calibri" w:cs="Calibri"/>
                <w:b/>
                <w:bCs/>
                <w:color w:val="000000"/>
                <w:sz w:val="16"/>
                <w:szCs w:val="16"/>
              </w:rPr>
              <w:t>Non-controlled clinical trial</w:t>
            </w:r>
          </w:p>
        </w:tc>
      </w:tr>
      <w:tr w:rsidR="00B240B3" w:rsidRPr="001B7B27" w14:paraId="4168911E" w14:textId="77777777" w:rsidTr="00BA11CA">
        <w:trPr>
          <w:trHeight w:val="70"/>
        </w:trPr>
        <w:tc>
          <w:tcPr>
            <w:tcW w:w="707" w:type="dxa"/>
            <w:vMerge w:val="restart"/>
            <w:tcBorders>
              <w:top w:val="single" w:sz="4" w:space="0" w:color="auto"/>
              <w:left w:val="nil"/>
              <w:right w:val="nil"/>
            </w:tcBorders>
            <w:shd w:val="clear" w:color="auto" w:fill="auto"/>
            <w:hideMark/>
          </w:tcPr>
          <w:p w14:paraId="784CD881" w14:textId="68A15BA8" w:rsidR="00B240B3" w:rsidRPr="001B7B27" w:rsidRDefault="00B240B3" w:rsidP="00B240B3">
            <w:pPr>
              <w:rPr>
                <w:rFonts w:ascii="Calibri" w:hAnsi="Calibri" w:cs="Calibri"/>
                <w:b/>
                <w:bCs/>
                <w:color w:val="000000"/>
                <w:sz w:val="16"/>
                <w:szCs w:val="16"/>
              </w:rPr>
            </w:pPr>
            <w:r w:rsidRPr="00B240B3">
              <w:rPr>
                <w:rFonts w:ascii="Calibri" w:hAnsi="Calibri" w:cs="Calibri"/>
                <w:color w:val="000000"/>
                <w:sz w:val="16"/>
                <w:szCs w:val="16"/>
              </w:rPr>
              <w:t>Martínez-Fernández, 2017</w:t>
            </w:r>
          </w:p>
        </w:tc>
        <w:tc>
          <w:tcPr>
            <w:tcW w:w="1274" w:type="dxa"/>
            <w:tcBorders>
              <w:top w:val="single" w:sz="4" w:space="0" w:color="auto"/>
              <w:left w:val="nil"/>
              <w:right w:val="nil"/>
            </w:tcBorders>
            <w:shd w:val="clear" w:color="auto" w:fill="auto"/>
            <w:hideMark/>
          </w:tcPr>
          <w:p w14:paraId="371AD6CF" w14:textId="22FB5EE9" w:rsidR="00B240B3" w:rsidRPr="001B7B27" w:rsidRDefault="00B240B3" w:rsidP="00B240B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80" w:type="dxa"/>
            <w:tcBorders>
              <w:top w:val="single" w:sz="4" w:space="0" w:color="auto"/>
              <w:left w:val="nil"/>
              <w:right w:val="nil"/>
            </w:tcBorders>
            <w:shd w:val="clear" w:color="auto" w:fill="auto"/>
            <w:hideMark/>
          </w:tcPr>
          <w:p w14:paraId="1BAF861D" w14:textId="3E32414B" w:rsidR="00B240B3" w:rsidRPr="001B7B27" w:rsidRDefault="00B240B3" w:rsidP="00B240B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34" w:type="dxa"/>
            <w:tcBorders>
              <w:top w:val="single" w:sz="4" w:space="0" w:color="auto"/>
              <w:left w:val="nil"/>
              <w:right w:val="nil"/>
            </w:tcBorders>
            <w:shd w:val="clear" w:color="auto" w:fill="auto"/>
            <w:hideMark/>
          </w:tcPr>
          <w:p w14:paraId="37B8C1E1" w14:textId="7137297E" w:rsidR="00B240B3" w:rsidRPr="001B7B27" w:rsidRDefault="00B240B3" w:rsidP="00B240B3">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275" w:type="dxa"/>
            <w:tcBorders>
              <w:top w:val="single" w:sz="4" w:space="0" w:color="auto"/>
              <w:left w:val="nil"/>
              <w:right w:val="nil"/>
            </w:tcBorders>
            <w:shd w:val="clear" w:color="auto" w:fill="auto"/>
            <w:hideMark/>
          </w:tcPr>
          <w:p w14:paraId="45F2A92F" w14:textId="662E71A7" w:rsidR="00B240B3" w:rsidRPr="001B7B27" w:rsidRDefault="00B240B3" w:rsidP="00B240B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76" w:type="dxa"/>
            <w:tcBorders>
              <w:top w:val="single" w:sz="4" w:space="0" w:color="auto"/>
              <w:left w:val="nil"/>
              <w:right w:val="nil"/>
            </w:tcBorders>
            <w:shd w:val="clear" w:color="auto" w:fill="auto"/>
            <w:hideMark/>
          </w:tcPr>
          <w:p w14:paraId="09513EC1" w14:textId="6A8A9FF2" w:rsidR="00B240B3" w:rsidRPr="001B7B27" w:rsidRDefault="00B240B3" w:rsidP="00B240B3">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134" w:type="dxa"/>
            <w:tcBorders>
              <w:top w:val="single" w:sz="4" w:space="0" w:color="auto"/>
              <w:left w:val="nil"/>
              <w:right w:val="nil"/>
            </w:tcBorders>
            <w:shd w:val="clear" w:color="auto" w:fill="auto"/>
            <w:hideMark/>
          </w:tcPr>
          <w:p w14:paraId="0CE11AF4" w14:textId="6B8DD877" w:rsidR="00B240B3" w:rsidRPr="001B7B27" w:rsidRDefault="00B240B3" w:rsidP="00B240B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559" w:type="dxa"/>
            <w:tcBorders>
              <w:top w:val="single" w:sz="4" w:space="0" w:color="auto"/>
              <w:left w:val="nil"/>
              <w:right w:val="nil"/>
            </w:tcBorders>
            <w:shd w:val="clear" w:color="auto" w:fill="auto"/>
            <w:hideMark/>
          </w:tcPr>
          <w:p w14:paraId="32D3B5E5" w14:textId="58615420" w:rsidR="00B240B3" w:rsidRPr="001B7B27" w:rsidRDefault="00B240B3" w:rsidP="00B240B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851" w:type="dxa"/>
            <w:tcBorders>
              <w:top w:val="single" w:sz="4" w:space="0" w:color="auto"/>
              <w:left w:val="nil"/>
              <w:right w:val="nil"/>
            </w:tcBorders>
            <w:shd w:val="clear" w:color="auto" w:fill="auto"/>
            <w:hideMark/>
          </w:tcPr>
          <w:p w14:paraId="7EF5CEF4" w14:textId="7DF8436B" w:rsidR="00B240B3" w:rsidRPr="002C77F7" w:rsidRDefault="00B240B3" w:rsidP="00B240B3">
            <w:pPr>
              <w:ind w:right="20"/>
              <w:jc w:val="center"/>
              <w:rPr>
                <w:rFonts w:ascii="Calibri" w:hAnsi="Calibri" w:cs="Calibri"/>
                <w:b/>
                <w:bCs/>
                <w:color w:val="C00000"/>
                <w:sz w:val="16"/>
                <w:szCs w:val="16"/>
              </w:rPr>
            </w:pPr>
            <w:r>
              <w:rPr>
                <w:rFonts w:ascii="Calibri" w:hAnsi="Calibri" w:cs="Calibri"/>
                <w:b/>
                <w:bCs/>
                <w:color w:val="FF0000"/>
                <w:sz w:val="16"/>
                <w:szCs w:val="16"/>
              </w:rPr>
              <w:t>High risk</w:t>
            </w:r>
          </w:p>
        </w:tc>
        <w:tc>
          <w:tcPr>
            <w:tcW w:w="1134" w:type="dxa"/>
            <w:tcBorders>
              <w:top w:val="single" w:sz="4" w:space="0" w:color="auto"/>
              <w:left w:val="nil"/>
              <w:right w:val="nil"/>
            </w:tcBorders>
            <w:shd w:val="clear" w:color="auto" w:fill="auto"/>
            <w:hideMark/>
          </w:tcPr>
          <w:p w14:paraId="371172C2" w14:textId="746F128A" w:rsidR="00B240B3" w:rsidRPr="001B7B27" w:rsidRDefault="00B240B3" w:rsidP="00B240B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76" w:type="dxa"/>
            <w:tcBorders>
              <w:top w:val="single" w:sz="4" w:space="0" w:color="auto"/>
              <w:left w:val="nil"/>
              <w:right w:val="nil"/>
            </w:tcBorders>
            <w:shd w:val="clear" w:color="auto" w:fill="auto"/>
            <w:hideMark/>
          </w:tcPr>
          <w:p w14:paraId="336C49BB" w14:textId="4B6D5DD2" w:rsidR="00B240B3" w:rsidRPr="001B7B27" w:rsidRDefault="00B240B3" w:rsidP="00B240B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34" w:type="dxa"/>
            <w:tcBorders>
              <w:top w:val="single" w:sz="4" w:space="0" w:color="auto"/>
              <w:left w:val="nil"/>
              <w:right w:val="nil"/>
            </w:tcBorders>
            <w:shd w:val="clear" w:color="auto" w:fill="auto"/>
            <w:hideMark/>
          </w:tcPr>
          <w:p w14:paraId="5C5548D3" w14:textId="67013C9E" w:rsidR="00B240B3" w:rsidRPr="001B7B27" w:rsidRDefault="00B240B3" w:rsidP="00B240B3">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280" w:type="dxa"/>
            <w:tcBorders>
              <w:top w:val="single" w:sz="4" w:space="0" w:color="auto"/>
              <w:left w:val="nil"/>
              <w:right w:val="nil"/>
            </w:tcBorders>
            <w:shd w:val="clear" w:color="auto" w:fill="auto"/>
            <w:hideMark/>
          </w:tcPr>
          <w:p w14:paraId="4ED7A1D7" w14:textId="72276BA1" w:rsidR="00B240B3" w:rsidRPr="001B7B27" w:rsidRDefault="00B240B3" w:rsidP="00B240B3">
            <w:pPr>
              <w:jc w:val="center"/>
              <w:rPr>
                <w:rFonts w:ascii="Calibri" w:hAnsi="Calibri" w:cs="Calibri"/>
                <w:b/>
                <w:bCs/>
                <w:color w:val="000000"/>
                <w:sz w:val="16"/>
                <w:szCs w:val="16"/>
              </w:rPr>
            </w:pPr>
            <w:r>
              <w:rPr>
                <w:rFonts w:ascii="Calibri" w:hAnsi="Calibri" w:cs="Calibri"/>
                <w:b/>
                <w:bCs/>
                <w:color w:val="000000"/>
                <w:sz w:val="16"/>
                <w:szCs w:val="16"/>
              </w:rPr>
              <w:t>Low risk</w:t>
            </w:r>
          </w:p>
        </w:tc>
      </w:tr>
      <w:tr w:rsidR="00B240B3" w:rsidRPr="001B7B27" w14:paraId="5160A5F2" w14:textId="77777777" w:rsidTr="00FE2BF3">
        <w:trPr>
          <w:trHeight w:val="3081"/>
        </w:trPr>
        <w:tc>
          <w:tcPr>
            <w:tcW w:w="707" w:type="dxa"/>
            <w:vMerge/>
            <w:tcBorders>
              <w:left w:val="nil"/>
              <w:bottom w:val="single" w:sz="4" w:space="0" w:color="auto"/>
              <w:right w:val="nil"/>
            </w:tcBorders>
            <w:shd w:val="clear" w:color="auto" w:fill="auto"/>
            <w:hideMark/>
          </w:tcPr>
          <w:p w14:paraId="639407D5" w14:textId="77777777" w:rsidR="00B240B3" w:rsidRPr="001B7B27" w:rsidRDefault="00B240B3" w:rsidP="00B240B3">
            <w:pPr>
              <w:rPr>
                <w:rFonts w:ascii="Calibri" w:hAnsi="Calibri" w:cs="Calibri"/>
                <w:color w:val="000000"/>
                <w:sz w:val="16"/>
                <w:szCs w:val="16"/>
              </w:rPr>
            </w:pPr>
          </w:p>
        </w:tc>
        <w:tc>
          <w:tcPr>
            <w:tcW w:w="1274" w:type="dxa"/>
            <w:tcBorders>
              <w:left w:val="nil"/>
              <w:bottom w:val="single" w:sz="4" w:space="0" w:color="auto"/>
              <w:right w:val="nil"/>
            </w:tcBorders>
            <w:shd w:val="clear" w:color="auto" w:fill="auto"/>
            <w:hideMark/>
          </w:tcPr>
          <w:p w14:paraId="40FD71B6" w14:textId="767B8981" w:rsidR="00B240B3" w:rsidRPr="001B7B27" w:rsidRDefault="00B240B3" w:rsidP="00B240B3">
            <w:pPr>
              <w:rPr>
                <w:rFonts w:ascii="Calibri" w:hAnsi="Calibri" w:cs="Calibri"/>
                <w:color w:val="000000"/>
                <w:sz w:val="16"/>
                <w:szCs w:val="16"/>
              </w:rPr>
            </w:pPr>
            <w:r>
              <w:rPr>
                <w:rFonts w:ascii="Calibri" w:hAnsi="Calibri" w:cs="Calibri"/>
                <w:sz w:val="16"/>
                <w:szCs w:val="16"/>
              </w:rPr>
              <w:t xml:space="preserve">The study prospectively assessed the disease control, survival, and complication rates with </w:t>
            </w:r>
            <w:r w:rsidR="00691248">
              <w:rPr>
                <w:rFonts w:ascii="Calibri" w:hAnsi="Calibri" w:cs="Calibri"/>
                <w:sz w:val="16"/>
                <w:szCs w:val="16"/>
              </w:rPr>
              <w:t>POIRT</w:t>
            </w:r>
            <w:r>
              <w:rPr>
                <w:rFonts w:ascii="Calibri" w:hAnsi="Calibri" w:cs="Calibri"/>
                <w:sz w:val="16"/>
                <w:szCs w:val="16"/>
              </w:rPr>
              <w:t xml:space="preserve"> for resected, nonmetastatic primary or recurrent HNSCC with prior irradiation.</w:t>
            </w:r>
          </w:p>
        </w:tc>
        <w:tc>
          <w:tcPr>
            <w:tcW w:w="1280" w:type="dxa"/>
            <w:tcBorders>
              <w:left w:val="nil"/>
              <w:bottom w:val="single" w:sz="4" w:space="0" w:color="auto"/>
              <w:right w:val="nil"/>
            </w:tcBorders>
            <w:shd w:val="clear" w:color="auto" w:fill="auto"/>
            <w:hideMark/>
          </w:tcPr>
          <w:p w14:paraId="56002C35" w14:textId="6FFEC2CA" w:rsidR="00B240B3" w:rsidRPr="001B7B27" w:rsidRDefault="00B240B3" w:rsidP="00B240B3">
            <w:pPr>
              <w:rPr>
                <w:rFonts w:ascii="Calibri" w:hAnsi="Calibri" w:cs="Calibri"/>
                <w:color w:val="000000"/>
                <w:sz w:val="16"/>
                <w:szCs w:val="16"/>
              </w:rPr>
            </w:pPr>
            <w:r>
              <w:rPr>
                <w:rFonts w:ascii="Calibri" w:hAnsi="Calibri" w:cs="Calibri"/>
                <w:sz w:val="16"/>
                <w:szCs w:val="16"/>
              </w:rPr>
              <w:t>From February 2001 to November 2015, 63 patients with primary or recurrent HNC with prior irradiation were recruited into the study. Of these, 24% had second primaries, 76% had recurrences.</w:t>
            </w:r>
            <w:r>
              <w:rPr>
                <w:rFonts w:ascii="Calibri" w:hAnsi="Calibri" w:cs="Calibri"/>
                <w:sz w:val="16"/>
                <w:szCs w:val="16"/>
              </w:rPr>
              <w:br/>
            </w:r>
            <w:r>
              <w:rPr>
                <w:rFonts w:ascii="Calibri" w:hAnsi="Calibri" w:cs="Calibri"/>
                <w:sz w:val="16"/>
                <w:szCs w:val="16"/>
              </w:rPr>
              <w:br/>
              <w:t>The majority (95%) were SCC.</w:t>
            </w:r>
          </w:p>
        </w:tc>
        <w:tc>
          <w:tcPr>
            <w:tcW w:w="1134" w:type="dxa"/>
            <w:tcBorders>
              <w:left w:val="nil"/>
              <w:bottom w:val="single" w:sz="4" w:space="0" w:color="auto"/>
              <w:right w:val="nil"/>
            </w:tcBorders>
            <w:shd w:val="clear" w:color="auto" w:fill="auto"/>
            <w:hideMark/>
          </w:tcPr>
          <w:p w14:paraId="5FACC5F8" w14:textId="30F5195D" w:rsidR="00B240B3" w:rsidRPr="001B7B27" w:rsidRDefault="00B240B3" w:rsidP="00B240B3">
            <w:pPr>
              <w:rPr>
                <w:rFonts w:ascii="Calibri" w:hAnsi="Calibri" w:cs="Calibri"/>
                <w:sz w:val="16"/>
                <w:szCs w:val="16"/>
              </w:rPr>
            </w:pPr>
            <w:r>
              <w:rPr>
                <w:rFonts w:ascii="Calibri" w:hAnsi="Calibri" w:cs="Calibri"/>
                <w:sz w:val="16"/>
                <w:szCs w:val="16"/>
              </w:rPr>
              <w:t xml:space="preserve">The surgery and </w:t>
            </w:r>
            <w:r w:rsidR="00691248">
              <w:rPr>
                <w:rFonts w:ascii="Calibri" w:hAnsi="Calibri" w:cs="Calibri"/>
                <w:sz w:val="16"/>
                <w:szCs w:val="16"/>
              </w:rPr>
              <w:t>POIRT</w:t>
            </w:r>
            <w:r>
              <w:rPr>
                <w:rFonts w:ascii="Calibri" w:hAnsi="Calibri" w:cs="Calibri"/>
                <w:sz w:val="16"/>
                <w:szCs w:val="16"/>
              </w:rPr>
              <w:t xml:space="preserve"> protocols were described adequately.</w:t>
            </w:r>
            <w:r>
              <w:rPr>
                <w:rFonts w:ascii="Calibri" w:hAnsi="Calibri" w:cs="Calibri"/>
                <w:sz w:val="16"/>
                <w:szCs w:val="16"/>
              </w:rPr>
              <w:br/>
            </w:r>
            <w:r>
              <w:rPr>
                <w:rFonts w:ascii="Calibri" w:hAnsi="Calibri" w:cs="Calibri"/>
                <w:sz w:val="16"/>
                <w:szCs w:val="16"/>
              </w:rPr>
              <w:br/>
              <w:t>All patients had a GTR. EBRT and ChT were not given in the salvage setting.</w:t>
            </w:r>
            <w:r>
              <w:rPr>
                <w:rFonts w:ascii="Calibri" w:hAnsi="Calibri" w:cs="Calibri"/>
                <w:sz w:val="16"/>
                <w:szCs w:val="16"/>
              </w:rPr>
              <w:br/>
            </w:r>
            <w:r>
              <w:rPr>
                <w:rFonts w:ascii="Calibri" w:hAnsi="Calibri" w:cs="Calibri"/>
                <w:sz w:val="16"/>
                <w:szCs w:val="16"/>
              </w:rPr>
              <w:br/>
              <w:t>More than 10% (20.6%) was treated off-protocol due to toxicity.</w:t>
            </w:r>
          </w:p>
        </w:tc>
        <w:tc>
          <w:tcPr>
            <w:tcW w:w="1275" w:type="dxa"/>
            <w:tcBorders>
              <w:left w:val="nil"/>
              <w:bottom w:val="single" w:sz="4" w:space="0" w:color="auto"/>
              <w:right w:val="nil"/>
            </w:tcBorders>
            <w:shd w:val="clear" w:color="auto" w:fill="auto"/>
            <w:hideMark/>
          </w:tcPr>
          <w:p w14:paraId="5746D430" w14:textId="34C3FE0E" w:rsidR="00B240B3" w:rsidRDefault="00B240B3" w:rsidP="00B240B3">
            <w:pPr>
              <w:rPr>
                <w:rFonts w:ascii="Calibri" w:hAnsi="Calibri" w:cs="Calibri"/>
                <w:color w:val="000000"/>
                <w:sz w:val="16"/>
                <w:szCs w:val="16"/>
              </w:rPr>
            </w:pPr>
            <w:r>
              <w:rPr>
                <w:rFonts w:ascii="Calibri" w:hAnsi="Calibri" w:cs="Calibri"/>
                <w:color w:val="000000"/>
                <w:sz w:val="16"/>
                <w:szCs w:val="16"/>
              </w:rPr>
              <w:t xml:space="preserve">Survival events were per standard definitions. </w:t>
            </w:r>
            <w:r>
              <w:rPr>
                <w:rFonts w:ascii="Calibri" w:hAnsi="Calibri" w:cs="Calibri"/>
                <w:color w:val="000000"/>
                <w:sz w:val="16"/>
                <w:szCs w:val="16"/>
              </w:rPr>
              <w:br/>
            </w:r>
            <w:r>
              <w:rPr>
                <w:rFonts w:ascii="Calibri" w:hAnsi="Calibri" w:cs="Calibri"/>
                <w:color w:val="000000"/>
                <w:sz w:val="16"/>
                <w:szCs w:val="16"/>
              </w:rPr>
              <w:br/>
              <w:t>Toxicity criteria was evaluated per standard criteria (RTOG acute/late radiation morbidity scoring schema).</w:t>
            </w:r>
            <w:r>
              <w:rPr>
                <w:rFonts w:ascii="Calibri" w:hAnsi="Calibri" w:cs="Calibri"/>
                <w:color w:val="000000"/>
                <w:sz w:val="16"/>
                <w:szCs w:val="16"/>
              </w:rPr>
              <w:br/>
            </w:r>
            <w:r>
              <w:rPr>
                <w:rFonts w:ascii="Calibri" w:hAnsi="Calibri" w:cs="Calibri"/>
                <w:color w:val="000000"/>
                <w:sz w:val="16"/>
                <w:szCs w:val="16"/>
              </w:rPr>
              <w:br/>
              <w:t xml:space="preserve">Toxicities strongly related to the surgery and that occurred before completion of the </w:t>
            </w:r>
            <w:r w:rsidR="00691248">
              <w:rPr>
                <w:rFonts w:ascii="Calibri" w:hAnsi="Calibri" w:cs="Calibri"/>
                <w:color w:val="000000"/>
                <w:sz w:val="16"/>
                <w:szCs w:val="16"/>
              </w:rPr>
              <w:t>POIRT</w:t>
            </w:r>
            <w:r>
              <w:rPr>
                <w:rFonts w:ascii="Calibri" w:hAnsi="Calibri" w:cs="Calibri"/>
                <w:color w:val="000000"/>
                <w:sz w:val="16"/>
                <w:szCs w:val="16"/>
              </w:rPr>
              <w:t xml:space="preserve"> were excluded from the </w:t>
            </w:r>
            <w:r w:rsidR="00691248">
              <w:rPr>
                <w:rFonts w:ascii="Calibri" w:hAnsi="Calibri" w:cs="Calibri"/>
                <w:color w:val="000000"/>
                <w:sz w:val="16"/>
                <w:szCs w:val="16"/>
              </w:rPr>
              <w:t>POIRT</w:t>
            </w:r>
            <w:r>
              <w:rPr>
                <w:rFonts w:ascii="Calibri" w:hAnsi="Calibri" w:cs="Calibri"/>
                <w:color w:val="000000"/>
                <w:sz w:val="16"/>
                <w:szCs w:val="16"/>
              </w:rPr>
              <w:t xml:space="preserve"> toxicity analysis.</w:t>
            </w:r>
            <w:r>
              <w:rPr>
                <w:rFonts w:ascii="Calibri" w:hAnsi="Calibri" w:cs="Calibri"/>
                <w:color w:val="000000"/>
                <w:sz w:val="16"/>
                <w:szCs w:val="16"/>
              </w:rPr>
              <w:br/>
            </w:r>
            <w:r>
              <w:rPr>
                <w:rFonts w:ascii="Calibri" w:hAnsi="Calibri" w:cs="Calibri"/>
                <w:color w:val="000000"/>
                <w:sz w:val="16"/>
                <w:szCs w:val="16"/>
              </w:rPr>
              <w:br/>
              <w:t xml:space="preserve">The Kaplan-Meier method was used in the survival analyses. </w:t>
            </w:r>
          </w:p>
          <w:p w14:paraId="02339756" w14:textId="4B1C99CC" w:rsidR="00FE2BF3" w:rsidRPr="001B7B27" w:rsidRDefault="00FE2BF3" w:rsidP="00B240B3">
            <w:pPr>
              <w:rPr>
                <w:rFonts w:ascii="Calibri" w:hAnsi="Calibri" w:cs="Calibri"/>
                <w:color w:val="000000"/>
                <w:sz w:val="16"/>
                <w:szCs w:val="16"/>
              </w:rPr>
            </w:pPr>
          </w:p>
        </w:tc>
        <w:tc>
          <w:tcPr>
            <w:tcW w:w="1276" w:type="dxa"/>
            <w:tcBorders>
              <w:left w:val="nil"/>
              <w:bottom w:val="single" w:sz="4" w:space="0" w:color="auto"/>
              <w:right w:val="nil"/>
            </w:tcBorders>
            <w:shd w:val="clear" w:color="auto" w:fill="auto"/>
            <w:hideMark/>
          </w:tcPr>
          <w:p w14:paraId="1041625C" w14:textId="28CC6141" w:rsidR="00B240B3" w:rsidRPr="001B7B27" w:rsidRDefault="00B240B3" w:rsidP="00B240B3">
            <w:pPr>
              <w:rPr>
                <w:rFonts w:ascii="Calibri" w:hAnsi="Calibri" w:cs="Calibri"/>
                <w:sz w:val="16"/>
                <w:szCs w:val="16"/>
              </w:rPr>
            </w:pPr>
            <w:r>
              <w:rPr>
                <w:rFonts w:ascii="Calibri" w:hAnsi="Calibri" w:cs="Calibri"/>
                <w:color w:val="000000"/>
                <w:sz w:val="16"/>
                <w:szCs w:val="16"/>
              </w:rPr>
              <w:t>Time to recurrence and time to reirradiation, which are important factors to disease control and toxicity outcomes, were not discussed.</w:t>
            </w:r>
          </w:p>
        </w:tc>
        <w:tc>
          <w:tcPr>
            <w:tcW w:w="1134" w:type="dxa"/>
            <w:tcBorders>
              <w:left w:val="nil"/>
              <w:bottom w:val="single" w:sz="4" w:space="0" w:color="auto"/>
              <w:right w:val="nil"/>
            </w:tcBorders>
            <w:shd w:val="clear" w:color="auto" w:fill="auto"/>
            <w:hideMark/>
          </w:tcPr>
          <w:p w14:paraId="37672C08" w14:textId="14544009" w:rsidR="00B240B3" w:rsidRPr="001B7B27" w:rsidRDefault="00B240B3" w:rsidP="00B240B3">
            <w:pPr>
              <w:rPr>
                <w:rFonts w:ascii="Calibri" w:hAnsi="Calibri" w:cs="Calibri"/>
                <w:sz w:val="16"/>
                <w:szCs w:val="16"/>
              </w:rPr>
            </w:pPr>
            <w:r>
              <w:rPr>
                <w:rFonts w:ascii="Calibri" w:hAnsi="Calibri" w:cs="Calibri"/>
                <w:color w:val="000000"/>
                <w:sz w:val="16"/>
                <w:szCs w:val="16"/>
              </w:rPr>
              <w:t>The FU schedule and modalities were described adequately. the median FU length (81.6 months) was adequate for the reported outcome measures. All patients were accounted for.</w:t>
            </w:r>
          </w:p>
        </w:tc>
        <w:tc>
          <w:tcPr>
            <w:tcW w:w="1559" w:type="dxa"/>
            <w:tcBorders>
              <w:left w:val="nil"/>
              <w:bottom w:val="single" w:sz="4" w:space="0" w:color="auto"/>
              <w:right w:val="nil"/>
            </w:tcBorders>
            <w:shd w:val="clear" w:color="auto" w:fill="auto"/>
            <w:hideMark/>
          </w:tcPr>
          <w:p w14:paraId="0C10F9C3" w14:textId="70B992CE" w:rsidR="00B240B3" w:rsidRPr="001B7B27" w:rsidRDefault="00B240B3" w:rsidP="00B240B3">
            <w:pPr>
              <w:rPr>
                <w:rFonts w:ascii="Calibri" w:hAnsi="Calibri" w:cs="Calibri"/>
                <w:color w:val="000000"/>
                <w:sz w:val="16"/>
                <w:szCs w:val="16"/>
              </w:rPr>
            </w:pPr>
            <w:r>
              <w:rPr>
                <w:rFonts w:ascii="Calibri" w:hAnsi="Calibri" w:cs="Calibri"/>
                <w:sz w:val="16"/>
                <w:szCs w:val="16"/>
              </w:rPr>
              <w:t xml:space="preserve">The 5y and 10y disease control, survival and toxicity rates are acceptable, given a cohort of patients with mostly recurrent disease and prior irradiation. </w:t>
            </w:r>
            <w:r>
              <w:rPr>
                <w:rFonts w:ascii="Calibri" w:hAnsi="Calibri" w:cs="Calibri"/>
                <w:sz w:val="16"/>
                <w:szCs w:val="16"/>
              </w:rPr>
              <w:br/>
            </w:r>
            <w:r>
              <w:rPr>
                <w:rFonts w:ascii="Calibri" w:hAnsi="Calibri" w:cs="Calibri"/>
                <w:sz w:val="16"/>
                <w:szCs w:val="16"/>
              </w:rPr>
              <w:br/>
              <w:t>The 5y LRC and OS were 55% and 35.6%, respectively; the 10y LRC and OS were 55% and 29.1%.</w:t>
            </w:r>
            <w:r>
              <w:rPr>
                <w:rFonts w:ascii="Calibri" w:hAnsi="Calibri" w:cs="Calibri"/>
                <w:sz w:val="16"/>
                <w:szCs w:val="16"/>
              </w:rPr>
              <w:br/>
            </w:r>
            <w:r>
              <w:rPr>
                <w:rFonts w:ascii="Calibri" w:hAnsi="Calibri" w:cs="Calibri"/>
                <w:sz w:val="16"/>
                <w:szCs w:val="16"/>
              </w:rPr>
              <w:br/>
              <w:t xml:space="preserve">The 10y cumulative incidence of grade 3-4 acute and late toxicity were 17.5% and 42.9%. The 10y cumulative incidence of grade 5 acute and late toxicity were 6.3% and 1.6%. </w:t>
            </w:r>
          </w:p>
        </w:tc>
        <w:tc>
          <w:tcPr>
            <w:tcW w:w="851" w:type="dxa"/>
            <w:tcBorders>
              <w:left w:val="nil"/>
              <w:bottom w:val="single" w:sz="4" w:space="0" w:color="auto"/>
              <w:right w:val="nil"/>
            </w:tcBorders>
            <w:shd w:val="clear" w:color="auto" w:fill="auto"/>
            <w:hideMark/>
          </w:tcPr>
          <w:p w14:paraId="024A72EE" w14:textId="68E46C70" w:rsidR="00B240B3" w:rsidRPr="001B7B27" w:rsidRDefault="00B240B3" w:rsidP="00B240B3">
            <w:pPr>
              <w:rPr>
                <w:rFonts w:ascii="Calibri" w:hAnsi="Calibri" w:cs="Calibri"/>
                <w:color w:val="000000"/>
                <w:sz w:val="16"/>
                <w:szCs w:val="16"/>
              </w:rPr>
            </w:pPr>
            <w:r>
              <w:rPr>
                <w:rFonts w:ascii="Calibri" w:hAnsi="Calibri" w:cs="Calibri"/>
                <w:sz w:val="16"/>
                <w:szCs w:val="16"/>
              </w:rPr>
              <w:t xml:space="preserve">CIs were not reported. </w:t>
            </w:r>
            <w:r>
              <w:rPr>
                <w:rFonts w:ascii="Calibri" w:hAnsi="Calibri" w:cs="Calibri"/>
                <w:sz w:val="16"/>
                <w:szCs w:val="16"/>
              </w:rPr>
              <w:br/>
            </w:r>
            <w:r>
              <w:rPr>
                <w:rFonts w:ascii="Calibri" w:hAnsi="Calibri" w:cs="Calibri"/>
                <w:sz w:val="16"/>
                <w:szCs w:val="16"/>
              </w:rPr>
              <w:br/>
              <w:t>The sample size (n=63) allows for estimates with moderate precision.</w:t>
            </w:r>
          </w:p>
        </w:tc>
        <w:tc>
          <w:tcPr>
            <w:tcW w:w="1134" w:type="dxa"/>
            <w:tcBorders>
              <w:left w:val="nil"/>
              <w:bottom w:val="single" w:sz="4" w:space="0" w:color="auto"/>
              <w:right w:val="nil"/>
            </w:tcBorders>
            <w:shd w:val="clear" w:color="auto" w:fill="auto"/>
            <w:hideMark/>
          </w:tcPr>
          <w:p w14:paraId="7D27B3B4" w14:textId="6E700DED" w:rsidR="00B240B3" w:rsidRPr="001B7B27" w:rsidRDefault="00B240B3" w:rsidP="00B240B3">
            <w:pPr>
              <w:rPr>
                <w:rFonts w:ascii="Calibri" w:hAnsi="Calibri" w:cs="Calibri"/>
                <w:color w:val="000000"/>
                <w:sz w:val="16"/>
                <w:szCs w:val="16"/>
              </w:rPr>
            </w:pPr>
            <w:r>
              <w:rPr>
                <w:rFonts w:ascii="Calibri" w:hAnsi="Calibri" w:cs="Calibri"/>
                <w:color w:val="000000"/>
                <w:sz w:val="16"/>
                <w:szCs w:val="16"/>
              </w:rPr>
              <w:t>The 5y and 10y disease control, survival and toxicity rates are consistent with those reported in the only other contemporary series with long-term outcomes,  that is included in this review (</w:t>
            </w:r>
            <w:proofErr w:type="spellStart"/>
            <w:r>
              <w:rPr>
                <w:rFonts w:ascii="Calibri" w:hAnsi="Calibri" w:cs="Calibri"/>
                <w:color w:val="000000"/>
                <w:sz w:val="16"/>
                <w:szCs w:val="16"/>
              </w:rPr>
              <w:t>Pellizzon</w:t>
            </w:r>
            <w:proofErr w:type="spellEnd"/>
            <w:r>
              <w:rPr>
                <w:rFonts w:ascii="Calibri" w:hAnsi="Calibri" w:cs="Calibri"/>
                <w:color w:val="000000"/>
                <w:sz w:val="16"/>
                <w:szCs w:val="16"/>
              </w:rPr>
              <w:t>, 2006).</w:t>
            </w:r>
          </w:p>
        </w:tc>
        <w:tc>
          <w:tcPr>
            <w:tcW w:w="1276" w:type="dxa"/>
            <w:tcBorders>
              <w:left w:val="nil"/>
              <w:bottom w:val="single" w:sz="4" w:space="0" w:color="auto"/>
              <w:right w:val="nil"/>
            </w:tcBorders>
            <w:shd w:val="clear" w:color="auto" w:fill="auto"/>
            <w:hideMark/>
          </w:tcPr>
          <w:p w14:paraId="7725F6C7" w14:textId="51F7A3E3" w:rsidR="00B240B3" w:rsidRPr="001B7B27" w:rsidRDefault="00B240B3" w:rsidP="00B240B3">
            <w:pPr>
              <w:rPr>
                <w:rFonts w:ascii="Calibri" w:hAnsi="Calibri" w:cs="Calibri"/>
                <w:color w:val="000000"/>
                <w:sz w:val="16"/>
                <w:szCs w:val="16"/>
              </w:rPr>
            </w:pPr>
            <w:r>
              <w:rPr>
                <w:rFonts w:ascii="Calibri" w:hAnsi="Calibri" w:cs="Calibri"/>
                <w:sz w:val="16"/>
                <w:szCs w:val="16"/>
              </w:rPr>
              <w:t>The results are compatible with the notion that adjuvant reirradiation limited to the tumor bed volume after wide resection for recurrent HNC after prior irradiation may be associated with long-term survival at the cost of significant late toxicity.</w:t>
            </w:r>
          </w:p>
        </w:tc>
        <w:tc>
          <w:tcPr>
            <w:tcW w:w="1134" w:type="dxa"/>
            <w:tcBorders>
              <w:left w:val="nil"/>
              <w:bottom w:val="single" w:sz="4" w:space="0" w:color="auto"/>
              <w:right w:val="nil"/>
            </w:tcBorders>
            <w:shd w:val="clear" w:color="auto" w:fill="auto"/>
            <w:hideMark/>
          </w:tcPr>
          <w:p w14:paraId="6FF064C8" w14:textId="24572C4F" w:rsidR="00B240B3" w:rsidRPr="001B7B27" w:rsidRDefault="00B240B3" w:rsidP="00B240B3">
            <w:pPr>
              <w:rPr>
                <w:rFonts w:ascii="Calibri" w:hAnsi="Calibri" w:cs="Calibri"/>
                <w:color w:val="000000"/>
                <w:sz w:val="16"/>
                <w:szCs w:val="16"/>
              </w:rPr>
            </w:pPr>
            <w:r>
              <w:rPr>
                <w:rFonts w:ascii="Calibri" w:hAnsi="Calibri" w:cs="Calibri"/>
                <w:color w:val="000000"/>
                <w:sz w:val="16"/>
                <w:szCs w:val="16"/>
              </w:rPr>
              <w:t>The surgical technique was highly individualized, to achieve GTR, and to reconstruct as necessary. This may require a highly specialized team to replicate.</w:t>
            </w:r>
          </w:p>
        </w:tc>
        <w:tc>
          <w:tcPr>
            <w:tcW w:w="1280" w:type="dxa"/>
            <w:tcBorders>
              <w:left w:val="nil"/>
              <w:bottom w:val="single" w:sz="4" w:space="0" w:color="auto"/>
              <w:right w:val="nil"/>
            </w:tcBorders>
            <w:shd w:val="clear" w:color="auto" w:fill="auto"/>
            <w:hideMark/>
          </w:tcPr>
          <w:p w14:paraId="74573A33" w14:textId="47A56848" w:rsidR="00B240B3" w:rsidRPr="001B7B27" w:rsidRDefault="00B240B3" w:rsidP="00B240B3">
            <w:pPr>
              <w:rPr>
                <w:rFonts w:ascii="Calibri" w:hAnsi="Calibri" w:cs="Calibri"/>
                <w:color w:val="000000"/>
                <w:sz w:val="16"/>
                <w:szCs w:val="16"/>
              </w:rPr>
            </w:pPr>
            <w:r>
              <w:rPr>
                <w:rFonts w:ascii="Calibri" w:hAnsi="Calibri" w:cs="Calibri"/>
                <w:sz w:val="16"/>
                <w:szCs w:val="16"/>
              </w:rPr>
              <w:t xml:space="preserve">The study provides prospective data on the long-term disease control, survival, and complication rates with </w:t>
            </w:r>
            <w:r w:rsidR="00691248">
              <w:rPr>
                <w:rFonts w:ascii="Calibri" w:hAnsi="Calibri" w:cs="Calibri"/>
                <w:sz w:val="16"/>
                <w:szCs w:val="16"/>
              </w:rPr>
              <w:t>POIRT</w:t>
            </w:r>
            <w:r>
              <w:rPr>
                <w:rFonts w:ascii="Calibri" w:hAnsi="Calibri" w:cs="Calibri"/>
                <w:sz w:val="16"/>
                <w:szCs w:val="16"/>
              </w:rPr>
              <w:t xml:space="preserve"> for resected, nonmetastatic primary or recurrent HNC with prior irradiation.</w:t>
            </w:r>
          </w:p>
        </w:tc>
      </w:tr>
      <w:tr w:rsidR="00B240B3" w:rsidRPr="001B7B27" w14:paraId="063CED9F" w14:textId="77777777" w:rsidTr="00BA11CA">
        <w:trPr>
          <w:trHeight w:val="220"/>
        </w:trPr>
        <w:tc>
          <w:tcPr>
            <w:tcW w:w="15314" w:type="dxa"/>
            <w:gridSpan w:val="13"/>
            <w:tcBorders>
              <w:top w:val="single" w:sz="4" w:space="0" w:color="auto"/>
              <w:left w:val="nil"/>
              <w:bottom w:val="single" w:sz="4" w:space="0" w:color="auto"/>
              <w:right w:val="nil"/>
            </w:tcBorders>
            <w:shd w:val="clear" w:color="auto" w:fill="auto"/>
            <w:hideMark/>
          </w:tcPr>
          <w:p w14:paraId="7E2901F4" w14:textId="77777777" w:rsidR="00B240B3" w:rsidRPr="001B7B27" w:rsidRDefault="00B240B3" w:rsidP="00BA11CA">
            <w:pPr>
              <w:rPr>
                <w:rFonts w:ascii="Calibri" w:hAnsi="Calibri" w:cs="Calibri"/>
                <w:b/>
                <w:bCs/>
                <w:color w:val="000000"/>
                <w:sz w:val="16"/>
                <w:szCs w:val="16"/>
              </w:rPr>
            </w:pPr>
            <w:r>
              <w:rPr>
                <w:rFonts w:ascii="Calibri" w:hAnsi="Calibri" w:cs="Calibri"/>
                <w:b/>
                <w:bCs/>
                <w:color w:val="000000"/>
                <w:sz w:val="16"/>
                <w:szCs w:val="16"/>
              </w:rPr>
              <w:t>Retrospective cohort</w:t>
            </w:r>
          </w:p>
        </w:tc>
      </w:tr>
      <w:tr w:rsidR="00FE2BF3" w:rsidRPr="001B7B27" w14:paraId="1C9EC560" w14:textId="77777777" w:rsidTr="00BA11CA">
        <w:trPr>
          <w:trHeight w:val="137"/>
        </w:trPr>
        <w:tc>
          <w:tcPr>
            <w:tcW w:w="707" w:type="dxa"/>
            <w:vMerge w:val="restart"/>
            <w:tcBorders>
              <w:top w:val="single" w:sz="4" w:space="0" w:color="auto"/>
              <w:left w:val="nil"/>
              <w:right w:val="nil"/>
            </w:tcBorders>
            <w:shd w:val="clear" w:color="auto" w:fill="auto"/>
            <w:hideMark/>
          </w:tcPr>
          <w:p w14:paraId="6A74A987" w14:textId="70903738" w:rsidR="00FE2BF3" w:rsidRPr="001B7B27" w:rsidRDefault="00FE2BF3" w:rsidP="00FE2BF3">
            <w:pPr>
              <w:rPr>
                <w:rFonts w:ascii="Calibri" w:hAnsi="Calibri" w:cs="Calibri"/>
                <w:b/>
                <w:bCs/>
                <w:color w:val="000000"/>
                <w:sz w:val="16"/>
                <w:szCs w:val="16"/>
              </w:rPr>
            </w:pPr>
            <w:proofErr w:type="spellStart"/>
            <w:r w:rsidRPr="00FE2BF3">
              <w:rPr>
                <w:rFonts w:ascii="Calibri" w:hAnsi="Calibri" w:cs="Calibri"/>
                <w:color w:val="000000"/>
                <w:sz w:val="16"/>
                <w:szCs w:val="16"/>
              </w:rPr>
              <w:t>Bussu</w:t>
            </w:r>
            <w:proofErr w:type="spellEnd"/>
            <w:r w:rsidRPr="00FE2BF3">
              <w:rPr>
                <w:rFonts w:ascii="Calibri" w:hAnsi="Calibri" w:cs="Calibri"/>
                <w:color w:val="000000"/>
                <w:sz w:val="16"/>
                <w:szCs w:val="16"/>
              </w:rPr>
              <w:t xml:space="preserve"> 2024</w:t>
            </w:r>
          </w:p>
        </w:tc>
        <w:tc>
          <w:tcPr>
            <w:tcW w:w="1274" w:type="dxa"/>
            <w:tcBorders>
              <w:top w:val="single" w:sz="4" w:space="0" w:color="auto"/>
              <w:left w:val="nil"/>
              <w:bottom w:val="nil"/>
              <w:right w:val="nil"/>
            </w:tcBorders>
            <w:shd w:val="clear" w:color="auto" w:fill="auto"/>
            <w:hideMark/>
          </w:tcPr>
          <w:p w14:paraId="189885CC" w14:textId="66777488"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80" w:type="dxa"/>
            <w:tcBorders>
              <w:top w:val="single" w:sz="4" w:space="0" w:color="auto"/>
              <w:left w:val="nil"/>
              <w:bottom w:val="nil"/>
              <w:right w:val="nil"/>
            </w:tcBorders>
            <w:shd w:val="clear" w:color="auto" w:fill="auto"/>
            <w:hideMark/>
          </w:tcPr>
          <w:p w14:paraId="2E51B036" w14:textId="18162601"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34" w:type="dxa"/>
            <w:tcBorders>
              <w:top w:val="single" w:sz="4" w:space="0" w:color="auto"/>
              <w:left w:val="nil"/>
              <w:bottom w:val="nil"/>
              <w:right w:val="nil"/>
            </w:tcBorders>
            <w:shd w:val="clear" w:color="auto" w:fill="auto"/>
            <w:hideMark/>
          </w:tcPr>
          <w:p w14:paraId="0EE1DDF0" w14:textId="78F7C14D"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75" w:type="dxa"/>
            <w:tcBorders>
              <w:top w:val="single" w:sz="4" w:space="0" w:color="auto"/>
              <w:left w:val="nil"/>
              <w:bottom w:val="nil"/>
              <w:right w:val="nil"/>
            </w:tcBorders>
            <w:shd w:val="clear" w:color="auto" w:fill="auto"/>
            <w:hideMark/>
          </w:tcPr>
          <w:p w14:paraId="0A0BFD42" w14:textId="7BD62B92"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76" w:type="dxa"/>
            <w:tcBorders>
              <w:top w:val="single" w:sz="4" w:space="0" w:color="auto"/>
              <w:left w:val="nil"/>
              <w:bottom w:val="nil"/>
              <w:right w:val="nil"/>
            </w:tcBorders>
            <w:shd w:val="clear" w:color="auto" w:fill="auto"/>
            <w:hideMark/>
          </w:tcPr>
          <w:p w14:paraId="08FF81E1" w14:textId="13A9A9DB" w:rsidR="00FE2BF3" w:rsidRPr="001B7B27" w:rsidRDefault="00FE2BF3" w:rsidP="00FE2BF3">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134" w:type="dxa"/>
            <w:tcBorders>
              <w:top w:val="single" w:sz="4" w:space="0" w:color="auto"/>
              <w:left w:val="nil"/>
              <w:bottom w:val="nil"/>
              <w:right w:val="nil"/>
            </w:tcBorders>
            <w:shd w:val="clear" w:color="auto" w:fill="auto"/>
            <w:hideMark/>
          </w:tcPr>
          <w:p w14:paraId="4D26515B" w14:textId="0541CD98"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559" w:type="dxa"/>
            <w:tcBorders>
              <w:top w:val="single" w:sz="4" w:space="0" w:color="auto"/>
              <w:left w:val="nil"/>
              <w:bottom w:val="nil"/>
              <w:right w:val="nil"/>
            </w:tcBorders>
            <w:shd w:val="clear" w:color="auto" w:fill="auto"/>
            <w:hideMark/>
          </w:tcPr>
          <w:p w14:paraId="520BE7E0" w14:textId="607224A2" w:rsidR="00FE2BF3" w:rsidRPr="001B7B27" w:rsidRDefault="00FE2BF3" w:rsidP="00FE2BF3">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851" w:type="dxa"/>
            <w:tcBorders>
              <w:top w:val="single" w:sz="4" w:space="0" w:color="auto"/>
              <w:left w:val="nil"/>
              <w:bottom w:val="nil"/>
              <w:right w:val="nil"/>
            </w:tcBorders>
            <w:shd w:val="clear" w:color="auto" w:fill="auto"/>
            <w:hideMark/>
          </w:tcPr>
          <w:p w14:paraId="2DCB51B8" w14:textId="547F3D02" w:rsidR="00FE2BF3" w:rsidRPr="002C77F7" w:rsidRDefault="00FE2BF3" w:rsidP="00FE2BF3">
            <w:pPr>
              <w:jc w:val="center"/>
              <w:rPr>
                <w:rFonts w:ascii="Calibri" w:hAnsi="Calibri" w:cs="Calibri"/>
                <w:b/>
                <w:bCs/>
                <w:color w:val="C00000"/>
                <w:sz w:val="16"/>
                <w:szCs w:val="16"/>
              </w:rPr>
            </w:pPr>
            <w:r>
              <w:rPr>
                <w:rFonts w:ascii="Calibri" w:hAnsi="Calibri" w:cs="Calibri"/>
                <w:b/>
                <w:bCs/>
                <w:color w:val="FF0000"/>
                <w:sz w:val="16"/>
                <w:szCs w:val="16"/>
              </w:rPr>
              <w:t>High risk</w:t>
            </w:r>
          </w:p>
        </w:tc>
        <w:tc>
          <w:tcPr>
            <w:tcW w:w="1134" w:type="dxa"/>
            <w:tcBorders>
              <w:top w:val="single" w:sz="4" w:space="0" w:color="auto"/>
              <w:left w:val="nil"/>
              <w:bottom w:val="nil"/>
              <w:right w:val="nil"/>
            </w:tcBorders>
            <w:shd w:val="clear" w:color="auto" w:fill="auto"/>
            <w:hideMark/>
          </w:tcPr>
          <w:p w14:paraId="6C0AD569" w14:textId="2C9D0970"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76" w:type="dxa"/>
            <w:tcBorders>
              <w:top w:val="single" w:sz="4" w:space="0" w:color="auto"/>
              <w:left w:val="nil"/>
              <w:bottom w:val="nil"/>
              <w:right w:val="nil"/>
            </w:tcBorders>
            <w:shd w:val="clear" w:color="auto" w:fill="auto"/>
            <w:hideMark/>
          </w:tcPr>
          <w:p w14:paraId="76AA079D" w14:textId="053EA19F"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34" w:type="dxa"/>
            <w:tcBorders>
              <w:top w:val="single" w:sz="4" w:space="0" w:color="auto"/>
              <w:left w:val="nil"/>
              <w:bottom w:val="nil"/>
              <w:right w:val="nil"/>
            </w:tcBorders>
            <w:shd w:val="clear" w:color="auto" w:fill="auto"/>
            <w:hideMark/>
          </w:tcPr>
          <w:p w14:paraId="73F31695" w14:textId="5C3DB78A" w:rsidR="00FE2BF3" w:rsidRPr="001B7B27" w:rsidRDefault="00FE2BF3" w:rsidP="00FE2BF3">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280" w:type="dxa"/>
            <w:tcBorders>
              <w:top w:val="single" w:sz="4" w:space="0" w:color="auto"/>
              <w:left w:val="nil"/>
              <w:bottom w:val="nil"/>
              <w:right w:val="nil"/>
            </w:tcBorders>
            <w:shd w:val="clear" w:color="auto" w:fill="auto"/>
            <w:hideMark/>
          </w:tcPr>
          <w:p w14:paraId="4FB63868" w14:textId="7821C34C"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r>
      <w:tr w:rsidR="00FE2BF3" w:rsidRPr="001B7B27" w14:paraId="3D7E73BB" w14:textId="77777777" w:rsidTr="00BA11CA">
        <w:trPr>
          <w:trHeight w:val="73"/>
        </w:trPr>
        <w:tc>
          <w:tcPr>
            <w:tcW w:w="707" w:type="dxa"/>
            <w:vMerge/>
            <w:tcBorders>
              <w:left w:val="nil"/>
              <w:bottom w:val="single" w:sz="4" w:space="0" w:color="auto"/>
              <w:right w:val="nil"/>
            </w:tcBorders>
            <w:shd w:val="clear" w:color="auto" w:fill="auto"/>
            <w:hideMark/>
          </w:tcPr>
          <w:p w14:paraId="1206B451" w14:textId="77777777" w:rsidR="00FE2BF3" w:rsidRPr="001B7B27" w:rsidRDefault="00FE2BF3" w:rsidP="00FE2BF3">
            <w:pPr>
              <w:rPr>
                <w:rFonts w:ascii="Calibri" w:hAnsi="Calibri" w:cs="Calibri"/>
                <w:color w:val="000000"/>
                <w:sz w:val="16"/>
                <w:szCs w:val="16"/>
              </w:rPr>
            </w:pPr>
          </w:p>
        </w:tc>
        <w:tc>
          <w:tcPr>
            <w:tcW w:w="1274" w:type="dxa"/>
            <w:tcBorders>
              <w:top w:val="nil"/>
              <w:left w:val="nil"/>
              <w:bottom w:val="single" w:sz="4" w:space="0" w:color="auto"/>
              <w:right w:val="nil"/>
            </w:tcBorders>
            <w:shd w:val="clear" w:color="auto" w:fill="auto"/>
            <w:hideMark/>
          </w:tcPr>
          <w:p w14:paraId="264042FF" w14:textId="6BB046A9"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t xml:space="preserve">The study retrospectively evaluated the medium-term locoregional control, survival and toxicity outcomes with </w:t>
            </w:r>
            <w:r w:rsidR="00691248">
              <w:rPr>
                <w:rFonts w:ascii="Calibri" w:hAnsi="Calibri" w:cs="Calibri"/>
                <w:color w:val="000000"/>
                <w:sz w:val="16"/>
                <w:szCs w:val="16"/>
              </w:rPr>
              <w:t>POIRT</w:t>
            </w:r>
            <w:r>
              <w:rPr>
                <w:rFonts w:ascii="Calibri" w:hAnsi="Calibri" w:cs="Calibri"/>
                <w:color w:val="000000"/>
                <w:sz w:val="16"/>
                <w:szCs w:val="16"/>
              </w:rPr>
              <w:t xml:space="preserve"> and with </w:t>
            </w:r>
            <w:r>
              <w:rPr>
                <w:rFonts w:ascii="Calibri" w:hAnsi="Calibri" w:cs="Calibri"/>
                <w:color w:val="000000"/>
                <w:sz w:val="16"/>
                <w:szCs w:val="16"/>
              </w:rPr>
              <w:lastRenderedPageBreak/>
              <w:t>exclusive HDR BRT in patients with nonmetastatic, recurrent HNC with prior irradiation.</w:t>
            </w:r>
          </w:p>
        </w:tc>
        <w:tc>
          <w:tcPr>
            <w:tcW w:w="1280" w:type="dxa"/>
            <w:tcBorders>
              <w:top w:val="nil"/>
              <w:left w:val="nil"/>
              <w:bottom w:val="single" w:sz="4" w:space="0" w:color="auto"/>
              <w:right w:val="nil"/>
            </w:tcBorders>
            <w:shd w:val="clear" w:color="auto" w:fill="auto"/>
            <w:hideMark/>
          </w:tcPr>
          <w:p w14:paraId="0A56F3A0" w14:textId="5AA6829C"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lastRenderedPageBreak/>
              <w:t xml:space="preserve">Between December 2010 and June 2023, patients with recurrent HNC were treated with </w:t>
            </w:r>
            <w:r w:rsidR="00691248">
              <w:rPr>
                <w:rFonts w:ascii="Calibri" w:hAnsi="Calibri" w:cs="Calibri"/>
                <w:color w:val="000000"/>
                <w:sz w:val="16"/>
                <w:szCs w:val="16"/>
              </w:rPr>
              <w:t>POIRT</w:t>
            </w:r>
            <w:r>
              <w:rPr>
                <w:rFonts w:ascii="Calibri" w:hAnsi="Calibri" w:cs="Calibri"/>
                <w:color w:val="000000"/>
                <w:sz w:val="16"/>
                <w:szCs w:val="16"/>
              </w:rPr>
              <w:t xml:space="preserve"> or exclusive HDR BRT if </w:t>
            </w:r>
            <w:r>
              <w:rPr>
                <w:rFonts w:ascii="Calibri" w:hAnsi="Calibri" w:cs="Calibri"/>
                <w:color w:val="000000"/>
                <w:sz w:val="16"/>
                <w:szCs w:val="16"/>
              </w:rPr>
              <w:lastRenderedPageBreak/>
              <w:t xml:space="preserve">unresectable. The </w:t>
            </w:r>
            <w:r w:rsidR="00691248">
              <w:rPr>
                <w:rFonts w:ascii="Calibri" w:hAnsi="Calibri" w:cs="Calibri"/>
                <w:color w:val="000000"/>
                <w:sz w:val="16"/>
                <w:szCs w:val="16"/>
              </w:rPr>
              <w:t>POIRT</w:t>
            </w:r>
            <w:r>
              <w:rPr>
                <w:rFonts w:ascii="Calibri" w:hAnsi="Calibri" w:cs="Calibri"/>
                <w:color w:val="000000"/>
                <w:sz w:val="16"/>
                <w:szCs w:val="16"/>
              </w:rPr>
              <w:t xml:space="preserve"> group included 29 patients.</w:t>
            </w:r>
          </w:p>
        </w:tc>
        <w:tc>
          <w:tcPr>
            <w:tcW w:w="1134" w:type="dxa"/>
            <w:tcBorders>
              <w:top w:val="nil"/>
              <w:left w:val="nil"/>
              <w:bottom w:val="single" w:sz="4" w:space="0" w:color="auto"/>
              <w:right w:val="nil"/>
            </w:tcBorders>
            <w:shd w:val="clear" w:color="auto" w:fill="auto"/>
            <w:hideMark/>
          </w:tcPr>
          <w:p w14:paraId="44CD0370" w14:textId="73111AF0" w:rsidR="00FE2BF3" w:rsidRPr="001B7B27" w:rsidRDefault="00FE2BF3" w:rsidP="00FE2BF3">
            <w:pPr>
              <w:rPr>
                <w:rFonts w:ascii="Calibri" w:hAnsi="Calibri" w:cs="Calibri"/>
                <w:sz w:val="16"/>
                <w:szCs w:val="16"/>
              </w:rPr>
            </w:pPr>
            <w:r>
              <w:rPr>
                <w:rFonts w:ascii="Calibri" w:hAnsi="Calibri" w:cs="Calibri"/>
                <w:color w:val="000000"/>
                <w:sz w:val="16"/>
                <w:szCs w:val="16"/>
              </w:rPr>
              <w:lastRenderedPageBreak/>
              <w:t>The surgery and BRT protocols were described adequately.</w:t>
            </w:r>
            <w:r>
              <w:rPr>
                <w:rFonts w:ascii="Calibri" w:hAnsi="Calibri" w:cs="Calibri"/>
                <w:color w:val="000000"/>
                <w:sz w:val="16"/>
                <w:szCs w:val="16"/>
              </w:rPr>
              <w:br/>
            </w:r>
            <w:r>
              <w:rPr>
                <w:rFonts w:ascii="Calibri" w:hAnsi="Calibri" w:cs="Calibri"/>
                <w:color w:val="000000"/>
                <w:sz w:val="16"/>
                <w:szCs w:val="16"/>
              </w:rPr>
              <w:br/>
              <w:t xml:space="preserve">All patients in the </w:t>
            </w:r>
            <w:r w:rsidR="00691248">
              <w:rPr>
                <w:rFonts w:ascii="Calibri" w:hAnsi="Calibri" w:cs="Calibri"/>
                <w:color w:val="000000"/>
                <w:sz w:val="16"/>
                <w:szCs w:val="16"/>
              </w:rPr>
              <w:t>POIRT</w:t>
            </w:r>
            <w:r>
              <w:rPr>
                <w:rFonts w:ascii="Calibri" w:hAnsi="Calibri" w:cs="Calibri"/>
                <w:color w:val="000000"/>
                <w:sz w:val="16"/>
                <w:szCs w:val="16"/>
              </w:rPr>
              <w:t xml:space="preserve"> </w:t>
            </w:r>
            <w:r>
              <w:rPr>
                <w:rFonts w:ascii="Calibri" w:hAnsi="Calibri" w:cs="Calibri"/>
                <w:color w:val="000000"/>
                <w:sz w:val="16"/>
                <w:szCs w:val="16"/>
              </w:rPr>
              <w:lastRenderedPageBreak/>
              <w:t>group had a GTR.</w:t>
            </w:r>
          </w:p>
        </w:tc>
        <w:tc>
          <w:tcPr>
            <w:tcW w:w="1275" w:type="dxa"/>
            <w:tcBorders>
              <w:top w:val="nil"/>
              <w:left w:val="nil"/>
              <w:bottom w:val="single" w:sz="4" w:space="0" w:color="auto"/>
              <w:right w:val="nil"/>
            </w:tcBorders>
            <w:shd w:val="clear" w:color="auto" w:fill="auto"/>
            <w:hideMark/>
          </w:tcPr>
          <w:p w14:paraId="0809B004" w14:textId="0B9FBBB2"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lastRenderedPageBreak/>
              <w:t xml:space="preserve">Survival events were per standard definitions. </w:t>
            </w:r>
            <w:r>
              <w:rPr>
                <w:rFonts w:ascii="Calibri" w:hAnsi="Calibri" w:cs="Calibri"/>
                <w:color w:val="000000"/>
                <w:sz w:val="16"/>
                <w:szCs w:val="16"/>
              </w:rPr>
              <w:br/>
            </w:r>
            <w:r>
              <w:rPr>
                <w:rFonts w:ascii="Calibri" w:hAnsi="Calibri" w:cs="Calibri"/>
                <w:color w:val="000000"/>
                <w:sz w:val="16"/>
                <w:szCs w:val="16"/>
              </w:rPr>
              <w:br/>
              <w:t>Toxicity was evaluated per standard criteria (CTCAE) v5.0.</w:t>
            </w:r>
            <w:r>
              <w:rPr>
                <w:rFonts w:ascii="Calibri" w:hAnsi="Calibri" w:cs="Calibri"/>
                <w:color w:val="000000"/>
                <w:sz w:val="16"/>
                <w:szCs w:val="16"/>
              </w:rPr>
              <w:br/>
            </w:r>
            <w:r>
              <w:rPr>
                <w:rFonts w:ascii="Calibri" w:hAnsi="Calibri" w:cs="Calibri"/>
                <w:color w:val="000000"/>
                <w:sz w:val="16"/>
                <w:szCs w:val="16"/>
              </w:rPr>
              <w:lastRenderedPageBreak/>
              <w:br/>
              <w:t xml:space="preserve">The Kaplan-Meier method was used in the survival analyses. </w:t>
            </w:r>
          </w:p>
        </w:tc>
        <w:tc>
          <w:tcPr>
            <w:tcW w:w="1276" w:type="dxa"/>
            <w:tcBorders>
              <w:top w:val="nil"/>
              <w:left w:val="nil"/>
              <w:bottom w:val="single" w:sz="4" w:space="0" w:color="auto"/>
              <w:right w:val="nil"/>
            </w:tcBorders>
            <w:shd w:val="clear" w:color="auto" w:fill="auto"/>
            <w:hideMark/>
          </w:tcPr>
          <w:p w14:paraId="76B23223" w14:textId="62A30F0D"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lastRenderedPageBreak/>
              <w:t xml:space="preserve">Time to recurrence and time to reirradiation, which are important factors to disease control and toxicity outcomes, were </w:t>
            </w:r>
            <w:r>
              <w:rPr>
                <w:rFonts w:ascii="Calibri" w:hAnsi="Calibri" w:cs="Calibri"/>
                <w:color w:val="000000"/>
                <w:sz w:val="16"/>
                <w:szCs w:val="16"/>
              </w:rPr>
              <w:lastRenderedPageBreak/>
              <w:t>not discussed.</w:t>
            </w:r>
            <w:r>
              <w:rPr>
                <w:rFonts w:ascii="Calibri" w:hAnsi="Calibri" w:cs="Calibri"/>
                <w:color w:val="000000"/>
                <w:sz w:val="16"/>
                <w:szCs w:val="16"/>
              </w:rPr>
              <w:br/>
            </w:r>
            <w:r>
              <w:rPr>
                <w:rFonts w:ascii="Calibri" w:hAnsi="Calibri" w:cs="Calibri"/>
                <w:color w:val="000000"/>
                <w:sz w:val="16"/>
                <w:szCs w:val="16"/>
              </w:rPr>
              <w:br/>
              <w:t>Two patients had second or third re-irradiation.</w:t>
            </w:r>
          </w:p>
        </w:tc>
        <w:tc>
          <w:tcPr>
            <w:tcW w:w="1134" w:type="dxa"/>
            <w:tcBorders>
              <w:top w:val="nil"/>
              <w:left w:val="nil"/>
              <w:bottom w:val="single" w:sz="4" w:space="0" w:color="auto"/>
              <w:right w:val="nil"/>
            </w:tcBorders>
            <w:shd w:val="clear" w:color="auto" w:fill="auto"/>
            <w:hideMark/>
          </w:tcPr>
          <w:p w14:paraId="2D3A5AC2" w14:textId="29260EFE"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lastRenderedPageBreak/>
              <w:t xml:space="preserve">The FU schedule and modalities were described adequately. the median FU length (24.5 months) was adequate for </w:t>
            </w:r>
            <w:r>
              <w:rPr>
                <w:rFonts w:ascii="Calibri" w:hAnsi="Calibri" w:cs="Calibri"/>
                <w:color w:val="000000"/>
                <w:sz w:val="16"/>
                <w:szCs w:val="16"/>
              </w:rPr>
              <w:lastRenderedPageBreak/>
              <w:t>the reported outcome measures. All patients were accounted for.</w:t>
            </w:r>
          </w:p>
        </w:tc>
        <w:tc>
          <w:tcPr>
            <w:tcW w:w="1559" w:type="dxa"/>
            <w:tcBorders>
              <w:top w:val="nil"/>
              <w:left w:val="nil"/>
              <w:bottom w:val="single" w:sz="4" w:space="0" w:color="auto"/>
              <w:right w:val="nil"/>
            </w:tcBorders>
            <w:shd w:val="clear" w:color="auto" w:fill="auto"/>
            <w:hideMark/>
          </w:tcPr>
          <w:p w14:paraId="7A3F0F60" w14:textId="77777777" w:rsidR="00FE2BF3" w:rsidRDefault="00FE2BF3" w:rsidP="00FE2BF3">
            <w:pPr>
              <w:rPr>
                <w:rFonts w:ascii="Calibri" w:hAnsi="Calibri" w:cs="Calibri"/>
                <w:color w:val="000000"/>
                <w:sz w:val="16"/>
                <w:szCs w:val="16"/>
              </w:rPr>
            </w:pPr>
            <w:r>
              <w:rPr>
                <w:rFonts w:ascii="Calibri" w:hAnsi="Calibri" w:cs="Calibri"/>
                <w:color w:val="000000"/>
                <w:sz w:val="16"/>
                <w:szCs w:val="16"/>
              </w:rPr>
              <w:lastRenderedPageBreak/>
              <w:t>The 2y survival and disease control rates are acceptable, and toxicity rates are excellent for a cohort of recurrent HNC patients with prior irradiation.</w:t>
            </w:r>
            <w:r>
              <w:rPr>
                <w:rFonts w:ascii="Calibri" w:hAnsi="Calibri" w:cs="Calibri"/>
                <w:color w:val="000000"/>
                <w:sz w:val="16"/>
                <w:szCs w:val="16"/>
              </w:rPr>
              <w:br/>
            </w:r>
            <w:r>
              <w:rPr>
                <w:rFonts w:ascii="Calibri" w:hAnsi="Calibri" w:cs="Calibri"/>
                <w:color w:val="000000"/>
                <w:sz w:val="16"/>
                <w:szCs w:val="16"/>
              </w:rPr>
              <w:br/>
            </w:r>
            <w:r>
              <w:rPr>
                <w:rFonts w:ascii="Calibri" w:hAnsi="Calibri" w:cs="Calibri"/>
                <w:color w:val="000000"/>
                <w:sz w:val="16"/>
                <w:szCs w:val="16"/>
              </w:rPr>
              <w:lastRenderedPageBreak/>
              <w:t xml:space="preserve">The 2y local RFS, DSS and OS were 29.4%, 49.85%, and 46.3%, respectively. The acute toxicity rate is 3.4% (grade 1-2 ) with no grade ≥3  events. </w:t>
            </w:r>
            <w:r>
              <w:rPr>
                <w:rFonts w:ascii="Calibri" w:hAnsi="Calibri" w:cs="Calibri"/>
                <w:color w:val="000000"/>
                <w:sz w:val="16"/>
                <w:szCs w:val="16"/>
              </w:rPr>
              <w:br/>
            </w:r>
            <w:r>
              <w:rPr>
                <w:rFonts w:ascii="Calibri" w:hAnsi="Calibri" w:cs="Calibri"/>
                <w:color w:val="000000"/>
                <w:sz w:val="16"/>
                <w:szCs w:val="16"/>
              </w:rPr>
              <w:br/>
              <w:t>Time to recurrence and time to reirradiation could give important context to the above rates.</w:t>
            </w:r>
          </w:p>
          <w:p w14:paraId="32B889A3" w14:textId="75F9128E" w:rsidR="00FE2BF3" w:rsidRPr="001B7B27" w:rsidRDefault="00FE2BF3" w:rsidP="00FE2BF3">
            <w:pPr>
              <w:rPr>
                <w:rFonts w:ascii="Calibri" w:hAnsi="Calibri" w:cs="Calibri"/>
                <w:color w:val="000000"/>
                <w:sz w:val="16"/>
                <w:szCs w:val="16"/>
              </w:rPr>
            </w:pPr>
          </w:p>
        </w:tc>
        <w:tc>
          <w:tcPr>
            <w:tcW w:w="851" w:type="dxa"/>
            <w:tcBorders>
              <w:top w:val="nil"/>
              <w:left w:val="nil"/>
              <w:bottom w:val="single" w:sz="4" w:space="0" w:color="auto"/>
              <w:right w:val="nil"/>
            </w:tcBorders>
            <w:shd w:val="clear" w:color="auto" w:fill="auto"/>
            <w:hideMark/>
          </w:tcPr>
          <w:p w14:paraId="6C84FECA" w14:textId="23901584" w:rsidR="00FE2BF3" w:rsidRPr="001B7B27" w:rsidRDefault="00FE2BF3" w:rsidP="00FE2BF3">
            <w:pPr>
              <w:rPr>
                <w:rFonts w:ascii="Calibri" w:hAnsi="Calibri" w:cs="Calibri"/>
                <w:color w:val="000000"/>
                <w:sz w:val="16"/>
                <w:szCs w:val="16"/>
              </w:rPr>
            </w:pPr>
            <w:r>
              <w:rPr>
                <w:rFonts w:ascii="Calibri" w:hAnsi="Calibri" w:cs="Calibri"/>
                <w:sz w:val="16"/>
                <w:szCs w:val="16"/>
              </w:rPr>
              <w:lastRenderedPageBreak/>
              <w:t xml:space="preserve">CIs were not reported. </w:t>
            </w:r>
            <w:r>
              <w:rPr>
                <w:rFonts w:ascii="Calibri" w:hAnsi="Calibri" w:cs="Calibri"/>
                <w:sz w:val="16"/>
                <w:szCs w:val="16"/>
              </w:rPr>
              <w:br/>
            </w:r>
            <w:r>
              <w:rPr>
                <w:rFonts w:ascii="Calibri" w:hAnsi="Calibri" w:cs="Calibri"/>
                <w:sz w:val="16"/>
                <w:szCs w:val="16"/>
              </w:rPr>
              <w:br/>
              <w:t xml:space="preserve">The sample size (n=29) allows for estimates </w:t>
            </w:r>
            <w:r>
              <w:rPr>
                <w:rFonts w:ascii="Calibri" w:hAnsi="Calibri" w:cs="Calibri"/>
                <w:sz w:val="16"/>
                <w:szCs w:val="16"/>
              </w:rPr>
              <w:lastRenderedPageBreak/>
              <w:t>with low precision.</w:t>
            </w:r>
          </w:p>
        </w:tc>
        <w:tc>
          <w:tcPr>
            <w:tcW w:w="1134" w:type="dxa"/>
            <w:tcBorders>
              <w:top w:val="nil"/>
              <w:left w:val="nil"/>
              <w:bottom w:val="single" w:sz="4" w:space="0" w:color="auto"/>
              <w:right w:val="nil"/>
            </w:tcBorders>
            <w:shd w:val="clear" w:color="auto" w:fill="auto"/>
            <w:hideMark/>
          </w:tcPr>
          <w:p w14:paraId="452F7DA6" w14:textId="3ECD79A2"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lastRenderedPageBreak/>
              <w:t xml:space="preserve">The 2y disease control, survival and toxicity rates are consistent with outcomes reported in the few contemporary </w:t>
            </w:r>
            <w:r>
              <w:rPr>
                <w:rFonts w:ascii="Calibri" w:hAnsi="Calibri" w:cs="Calibri"/>
                <w:color w:val="000000"/>
                <w:sz w:val="16"/>
                <w:szCs w:val="16"/>
              </w:rPr>
              <w:lastRenderedPageBreak/>
              <w:t>series that are available and are included in this review (</w:t>
            </w:r>
            <w:proofErr w:type="spellStart"/>
            <w:r>
              <w:rPr>
                <w:rFonts w:ascii="Calibri" w:hAnsi="Calibri" w:cs="Calibri"/>
                <w:color w:val="000000"/>
                <w:sz w:val="16"/>
                <w:szCs w:val="16"/>
              </w:rPr>
              <w:t>Teudt</w:t>
            </w:r>
            <w:proofErr w:type="spellEnd"/>
            <w:r>
              <w:rPr>
                <w:rFonts w:ascii="Calibri" w:hAnsi="Calibri" w:cs="Calibri"/>
                <w:color w:val="000000"/>
                <w:sz w:val="16"/>
                <w:szCs w:val="16"/>
              </w:rPr>
              <w:t xml:space="preserve">, 2014; </w:t>
            </w:r>
            <w:proofErr w:type="spellStart"/>
            <w:r>
              <w:rPr>
                <w:rFonts w:ascii="Calibri" w:hAnsi="Calibri" w:cs="Calibri"/>
                <w:color w:val="000000"/>
                <w:sz w:val="16"/>
                <w:szCs w:val="16"/>
              </w:rPr>
              <w:t>Rudzianskas</w:t>
            </w:r>
            <w:proofErr w:type="spellEnd"/>
            <w:r>
              <w:rPr>
                <w:rFonts w:ascii="Calibri" w:hAnsi="Calibri" w:cs="Calibri"/>
                <w:color w:val="000000"/>
                <w:sz w:val="16"/>
                <w:szCs w:val="16"/>
              </w:rPr>
              <w:t>, 2012).</w:t>
            </w:r>
          </w:p>
        </w:tc>
        <w:tc>
          <w:tcPr>
            <w:tcW w:w="1276" w:type="dxa"/>
            <w:tcBorders>
              <w:top w:val="nil"/>
              <w:left w:val="nil"/>
              <w:bottom w:val="single" w:sz="4" w:space="0" w:color="auto"/>
              <w:right w:val="nil"/>
            </w:tcBorders>
            <w:shd w:val="clear" w:color="auto" w:fill="auto"/>
            <w:hideMark/>
          </w:tcPr>
          <w:p w14:paraId="49F4234B" w14:textId="42FBB9C0" w:rsidR="00FE2BF3" w:rsidRPr="001B7B27" w:rsidRDefault="00FE2BF3" w:rsidP="00FE2BF3">
            <w:pPr>
              <w:rPr>
                <w:rFonts w:ascii="Calibri" w:hAnsi="Calibri" w:cs="Calibri"/>
                <w:color w:val="000000"/>
                <w:sz w:val="16"/>
                <w:szCs w:val="16"/>
              </w:rPr>
            </w:pPr>
            <w:r>
              <w:rPr>
                <w:rFonts w:ascii="Calibri" w:hAnsi="Calibri" w:cs="Calibri"/>
                <w:sz w:val="16"/>
                <w:szCs w:val="16"/>
              </w:rPr>
              <w:lastRenderedPageBreak/>
              <w:t xml:space="preserve">The results are compatible with the notion that adjuvant reirradiation limited to the tumor bed volume after wide resection </w:t>
            </w:r>
            <w:r>
              <w:rPr>
                <w:rFonts w:ascii="Calibri" w:hAnsi="Calibri" w:cs="Calibri"/>
                <w:sz w:val="16"/>
                <w:szCs w:val="16"/>
              </w:rPr>
              <w:lastRenderedPageBreak/>
              <w:t>for recurrent HNC after prior irradiation may improve tolerance and toxicity of salvage treatment.</w:t>
            </w:r>
          </w:p>
        </w:tc>
        <w:tc>
          <w:tcPr>
            <w:tcW w:w="1134" w:type="dxa"/>
            <w:tcBorders>
              <w:top w:val="nil"/>
              <w:left w:val="nil"/>
              <w:bottom w:val="single" w:sz="4" w:space="0" w:color="auto"/>
              <w:right w:val="nil"/>
            </w:tcBorders>
            <w:shd w:val="clear" w:color="auto" w:fill="auto"/>
            <w:hideMark/>
          </w:tcPr>
          <w:p w14:paraId="35FAD3DB" w14:textId="1AF90ED8"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lastRenderedPageBreak/>
              <w:t xml:space="preserve">The surgical technique was highly individualized, to achieve GTR, and to reconstruct as necessary. This may require a </w:t>
            </w:r>
            <w:r>
              <w:rPr>
                <w:rFonts w:ascii="Calibri" w:hAnsi="Calibri" w:cs="Calibri"/>
                <w:color w:val="000000"/>
                <w:sz w:val="16"/>
                <w:szCs w:val="16"/>
              </w:rPr>
              <w:lastRenderedPageBreak/>
              <w:t>highly specialized team to replicate.</w:t>
            </w:r>
          </w:p>
        </w:tc>
        <w:tc>
          <w:tcPr>
            <w:tcW w:w="1280" w:type="dxa"/>
            <w:tcBorders>
              <w:top w:val="nil"/>
              <w:left w:val="nil"/>
              <w:bottom w:val="single" w:sz="4" w:space="0" w:color="auto"/>
              <w:right w:val="nil"/>
            </w:tcBorders>
            <w:shd w:val="clear" w:color="auto" w:fill="auto"/>
            <w:hideMark/>
          </w:tcPr>
          <w:p w14:paraId="729E49B4" w14:textId="1C187691"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lastRenderedPageBreak/>
              <w:t xml:space="preserve">The study provides retrospective data on medium-term disease control, survival and toxicity rates with </w:t>
            </w:r>
            <w:r w:rsidR="00691248">
              <w:rPr>
                <w:rFonts w:ascii="Calibri" w:hAnsi="Calibri" w:cs="Calibri"/>
                <w:color w:val="000000"/>
                <w:sz w:val="16"/>
                <w:szCs w:val="16"/>
              </w:rPr>
              <w:t>POIRT</w:t>
            </w:r>
            <w:r>
              <w:rPr>
                <w:rFonts w:ascii="Calibri" w:hAnsi="Calibri" w:cs="Calibri"/>
                <w:color w:val="000000"/>
                <w:sz w:val="16"/>
                <w:szCs w:val="16"/>
              </w:rPr>
              <w:t xml:space="preserve"> for resected, </w:t>
            </w:r>
            <w:r>
              <w:rPr>
                <w:rFonts w:ascii="Calibri" w:hAnsi="Calibri" w:cs="Calibri"/>
                <w:color w:val="000000"/>
                <w:sz w:val="16"/>
                <w:szCs w:val="16"/>
              </w:rPr>
              <w:lastRenderedPageBreak/>
              <w:t>nonmetastatic recurrent HNSCC with prior irradiation.</w:t>
            </w:r>
          </w:p>
        </w:tc>
      </w:tr>
      <w:tr w:rsidR="00FE2BF3" w:rsidRPr="001B7B27" w14:paraId="5507D4E6" w14:textId="77777777" w:rsidTr="00BA11CA">
        <w:trPr>
          <w:trHeight w:val="240"/>
        </w:trPr>
        <w:tc>
          <w:tcPr>
            <w:tcW w:w="707" w:type="dxa"/>
            <w:vMerge w:val="restart"/>
            <w:tcBorders>
              <w:top w:val="single" w:sz="4" w:space="0" w:color="auto"/>
              <w:left w:val="nil"/>
              <w:right w:val="nil"/>
            </w:tcBorders>
            <w:shd w:val="clear" w:color="auto" w:fill="auto"/>
            <w:hideMark/>
          </w:tcPr>
          <w:p w14:paraId="372A91CB" w14:textId="1CFE3940" w:rsidR="00FE2BF3" w:rsidRPr="001B7B27" w:rsidRDefault="00FE2BF3" w:rsidP="00FE2BF3">
            <w:pPr>
              <w:rPr>
                <w:rFonts w:ascii="Calibri" w:hAnsi="Calibri" w:cs="Calibri"/>
                <w:color w:val="000000"/>
                <w:sz w:val="16"/>
                <w:szCs w:val="16"/>
              </w:rPr>
            </w:pPr>
            <w:r w:rsidRPr="00FE2BF3">
              <w:rPr>
                <w:rFonts w:ascii="Calibri" w:hAnsi="Calibri" w:cs="Calibri"/>
                <w:color w:val="000000"/>
                <w:sz w:val="16"/>
                <w:szCs w:val="16"/>
              </w:rPr>
              <w:lastRenderedPageBreak/>
              <w:t>Soror 2023</w:t>
            </w:r>
          </w:p>
        </w:tc>
        <w:tc>
          <w:tcPr>
            <w:tcW w:w="1274" w:type="dxa"/>
            <w:tcBorders>
              <w:top w:val="single" w:sz="4" w:space="0" w:color="auto"/>
              <w:left w:val="nil"/>
              <w:bottom w:val="nil"/>
              <w:right w:val="nil"/>
            </w:tcBorders>
            <w:shd w:val="clear" w:color="auto" w:fill="auto"/>
            <w:hideMark/>
          </w:tcPr>
          <w:p w14:paraId="7727EFCF" w14:textId="1A5D4891"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80" w:type="dxa"/>
            <w:tcBorders>
              <w:top w:val="single" w:sz="4" w:space="0" w:color="auto"/>
              <w:left w:val="nil"/>
              <w:bottom w:val="nil"/>
              <w:right w:val="nil"/>
            </w:tcBorders>
            <w:shd w:val="clear" w:color="auto" w:fill="auto"/>
            <w:hideMark/>
          </w:tcPr>
          <w:p w14:paraId="5227DAF3" w14:textId="5F1707C4" w:rsidR="00FE2BF3" w:rsidRPr="001B7B27" w:rsidRDefault="00FE2BF3" w:rsidP="00FE2BF3">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134" w:type="dxa"/>
            <w:tcBorders>
              <w:top w:val="single" w:sz="4" w:space="0" w:color="auto"/>
              <w:left w:val="nil"/>
              <w:bottom w:val="nil"/>
              <w:right w:val="nil"/>
            </w:tcBorders>
            <w:shd w:val="clear" w:color="auto" w:fill="auto"/>
            <w:hideMark/>
          </w:tcPr>
          <w:p w14:paraId="5E0774C4" w14:textId="221A54A6" w:rsidR="00FE2BF3" w:rsidRPr="002C77F7" w:rsidRDefault="00FE2BF3" w:rsidP="00FE2BF3">
            <w:pPr>
              <w:jc w:val="center"/>
              <w:rPr>
                <w:rFonts w:ascii="Calibri" w:hAnsi="Calibri" w:cs="Calibri"/>
                <w:b/>
                <w:bCs/>
                <w:color w:val="C00000"/>
                <w:sz w:val="16"/>
                <w:szCs w:val="16"/>
              </w:rPr>
            </w:pPr>
            <w:r>
              <w:rPr>
                <w:rFonts w:ascii="Calibri" w:hAnsi="Calibri" w:cs="Calibri"/>
                <w:b/>
                <w:bCs/>
                <w:color w:val="FF0000"/>
                <w:sz w:val="16"/>
                <w:szCs w:val="16"/>
              </w:rPr>
              <w:t>High risk</w:t>
            </w:r>
          </w:p>
        </w:tc>
        <w:tc>
          <w:tcPr>
            <w:tcW w:w="1275" w:type="dxa"/>
            <w:tcBorders>
              <w:top w:val="single" w:sz="4" w:space="0" w:color="auto"/>
              <w:left w:val="nil"/>
              <w:bottom w:val="nil"/>
              <w:right w:val="nil"/>
            </w:tcBorders>
            <w:shd w:val="clear" w:color="auto" w:fill="auto"/>
            <w:hideMark/>
          </w:tcPr>
          <w:p w14:paraId="5F1770E6" w14:textId="734F6BE8"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276" w:type="dxa"/>
            <w:tcBorders>
              <w:top w:val="single" w:sz="4" w:space="0" w:color="auto"/>
              <w:left w:val="nil"/>
              <w:bottom w:val="nil"/>
              <w:right w:val="nil"/>
            </w:tcBorders>
            <w:shd w:val="clear" w:color="auto" w:fill="auto"/>
            <w:hideMark/>
          </w:tcPr>
          <w:p w14:paraId="2152FE66" w14:textId="0EDB0C9D" w:rsidR="00FE2BF3" w:rsidRPr="002C77F7" w:rsidRDefault="00FE2BF3" w:rsidP="00FE2BF3">
            <w:pPr>
              <w:jc w:val="center"/>
              <w:rPr>
                <w:rFonts w:ascii="Calibri" w:hAnsi="Calibri" w:cs="Calibri"/>
                <w:b/>
                <w:bCs/>
                <w:color w:val="C00000"/>
                <w:sz w:val="16"/>
                <w:szCs w:val="16"/>
              </w:rPr>
            </w:pPr>
            <w:r>
              <w:rPr>
                <w:rFonts w:ascii="Calibri" w:hAnsi="Calibri" w:cs="Calibri"/>
                <w:b/>
                <w:bCs/>
                <w:color w:val="FF0000"/>
                <w:sz w:val="16"/>
                <w:szCs w:val="16"/>
              </w:rPr>
              <w:t>High risk</w:t>
            </w:r>
          </w:p>
        </w:tc>
        <w:tc>
          <w:tcPr>
            <w:tcW w:w="1134" w:type="dxa"/>
            <w:tcBorders>
              <w:top w:val="single" w:sz="4" w:space="0" w:color="auto"/>
              <w:left w:val="nil"/>
              <w:bottom w:val="nil"/>
              <w:right w:val="nil"/>
            </w:tcBorders>
            <w:shd w:val="clear" w:color="auto" w:fill="auto"/>
            <w:hideMark/>
          </w:tcPr>
          <w:p w14:paraId="07F6568A" w14:textId="2E114D83" w:rsidR="00FE2BF3" w:rsidRPr="001B7B27" w:rsidRDefault="00FE2BF3" w:rsidP="00FE2BF3">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559" w:type="dxa"/>
            <w:tcBorders>
              <w:top w:val="single" w:sz="4" w:space="0" w:color="auto"/>
              <w:left w:val="nil"/>
              <w:bottom w:val="nil"/>
              <w:right w:val="nil"/>
            </w:tcBorders>
            <w:shd w:val="clear" w:color="auto" w:fill="auto"/>
            <w:hideMark/>
          </w:tcPr>
          <w:p w14:paraId="1062AA8D" w14:textId="2BDF9A0A" w:rsidR="00FE2BF3" w:rsidRPr="001B7B27" w:rsidRDefault="00FE2BF3" w:rsidP="00FE2BF3">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851" w:type="dxa"/>
            <w:tcBorders>
              <w:top w:val="single" w:sz="4" w:space="0" w:color="auto"/>
              <w:left w:val="nil"/>
              <w:bottom w:val="nil"/>
              <w:right w:val="nil"/>
            </w:tcBorders>
            <w:shd w:val="clear" w:color="auto" w:fill="auto"/>
            <w:hideMark/>
          </w:tcPr>
          <w:p w14:paraId="3435A277" w14:textId="7DA21491" w:rsidR="00FE2BF3" w:rsidRPr="001B7B27" w:rsidRDefault="00FE2BF3" w:rsidP="00FE2BF3">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134" w:type="dxa"/>
            <w:tcBorders>
              <w:top w:val="single" w:sz="4" w:space="0" w:color="auto"/>
              <w:left w:val="nil"/>
              <w:bottom w:val="nil"/>
              <w:right w:val="nil"/>
            </w:tcBorders>
            <w:shd w:val="clear" w:color="auto" w:fill="auto"/>
            <w:hideMark/>
          </w:tcPr>
          <w:p w14:paraId="08A66E66" w14:textId="55208A12" w:rsidR="00FE2BF3" w:rsidRPr="001B7B27" w:rsidRDefault="00FE2BF3" w:rsidP="00FE2BF3">
            <w:pPr>
              <w:jc w:val="center"/>
              <w:rPr>
                <w:rFonts w:ascii="Calibri" w:hAnsi="Calibri" w:cs="Calibri"/>
                <w:b/>
                <w:bCs/>
                <w:color w:val="000000"/>
                <w:sz w:val="16"/>
                <w:szCs w:val="16"/>
              </w:rPr>
            </w:pPr>
            <w:r>
              <w:rPr>
                <w:rFonts w:ascii="Calibri" w:hAnsi="Calibri" w:cs="Calibri"/>
                <w:b/>
                <w:bCs/>
                <w:color w:val="FF0000"/>
                <w:sz w:val="16"/>
                <w:szCs w:val="16"/>
              </w:rPr>
              <w:t>High risk</w:t>
            </w:r>
          </w:p>
        </w:tc>
        <w:tc>
          <w:tcPr>
            <w:tcW w:w="1276" w:type="dxa"/>
            <w:tcBorders>
              <w:top w:val="single" w:sz="4" w:space="0" w:color="auto"/>
              <w:left w:val="nil"/>
              <w:bottom w:val="nil"/>
              <w:right w:val="nil"/>
            </w:tcBorders>
            <w:shd w:val="clear" w:color="auto" w:fill="auto"/>
            <w:hideMark/>
          </w:tcPr>
          <w:p w14:paraId="73E5F740" w14:textId="131C9836"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c>
          <w:tcPr>
            <w:tcW w:w="1134" w:type="dxa"/>
            <w:tcBorders>
              <w:top w:val="single" w:sz="4" w:space="0" w:color="auto"/>
              <w:left w:val="nil"/>
              <w:bottom w:val="nil"/>
              <w:right w:val="nil"/>
            </w:tcBorders>
            <w:shd w:val="clear" w:color="auto" w:fill="auto"/>
            <w:hideMark/>
          </w:tcPr>
          <w:p w14:paraId="584B34EE" w14:textId="1020423A" w:rsidR="00FE2BF3" w:rsidRPr="002C77F7" w:rsidRDefault="00FE2BF3" w:rsidP="00FE2BF3">
            <w:pPr>
              <w:jc w:val="center"/>
              <w:rPr>
                <w:rFonts w:ascii="Calibri" w:hAnsi="Calibri" w:cs="Calibri"/>
                <w:b/>
                <w:bCs/>
                <w:color w:val="C00000"/>
                <w:sz w:val="16"/>
                <w:szCs w:val="16"/>
              </w:rPr>
            </w:pPr>
            <w:r>
              <w:rPr>
                <w:rFonts w:ascii="Calibri" w:hAnsi="Calibri" w:cs="Calibri"/>
                <w:b/>
                <w:bCs/>
                <w:color w:val="FF0000"/>
                <w:sz w:val="16"/>
                <w:szCs w:val="16"/>
              </w:rPr>
              <w:t>High risk</w:t>
            </w:r>
          </w:p>
        </w:tc>
        <w:tc>
          <w:tcPr>
            <w:tcW w:w="1280" w:type="dxa"/>
            <w:tcBorders>
              <w:top w:val="single" w:sz="4" w:space="0" w:color="auto"/>
              <w:left w:val="nil"/>
              <w:bottom w:val="nil"/>
              <w:right w:val="nil"/>
            </w:tcBorders>
            <w:shd w:val="clear" w:color="auto" w:fill="auto"/>
            <w:hideMark/>
          </w:tcPr>
          <w:p w14:paraId="583A70D7" w14:textId="575F8BEF" w:rsidR="00FE2BF3" w:rsidRPr="001B7B27" w:rsidRDefault="00FE2BF3" w:rsidP="00FE2BF3">
            <w:pPr>
              <w:jc w:val="center"/>
              <w:rPr>
                <w:rFonts w:ascii="Calibri" w:hAnsi="Calibri" w:cs="Calibri"/>
                <w:b/>
                <w:bCs/>
                <w:color w:val="000000"/>
                <w:sz w:val="16"/>
                <w:szCs w:val="16"/>
              </w:rPr>
            </w:pPr>
            <w:r>
              <w:rPr>
                <w:rFonts w:ascii="Calibri" w:hAnsi="Calibri" w:cs="Calibri"/>
                <w:b/>
                <w:bCs/>
                <w:color w:val="000000"/>
                <w:sz w:val="16"/>
                <w:szCs w:val="16"/>
              </w:rPr>
              <w:t>Low risk</w:t>
            </w:r>
          </w:p>
        </w:tc>
      </w:tr>
      <w:tr w:rsidR="00FE2BF3" w:rsidRPr="001B7B27" w14:paraId="3E5DFC99" w14:textId="77777777" w:rsidTr="00FE2BF3">
        <w:trPr>
          <w:trHeight w:val="3730"/>
        </w:trPr>
        <w:tc>
          <w:tcPr>
            <w:tcW w:w="707" w:type="dxa"/>
            <w:vMerge/>
            <w:tcBorders>
              <w:left w:val="nil"/>
              <w:bottom w:val="single" w:sz="4" w:space="0" w:color="auto"/>
              <w:right w:val="nil"/>
            </w:tcBorders>
            <w:shd w:val="clear" w:color="auto" w:fill="auto"/>
            <w:hideMark/>
          </w:tcPr>
          <w:p w14:paraId="287F71DE" w14:textId="77777777" w:rsidR="00FE2BF3" w:rsidRPr="001B7B27" w:rsidRDefault="00FE2BF3" w:rsidP="00FE2BF3">
            <w:pPr>
              <w:rPr>
                <w:rFonts w:ascii="Calibri" w:hAnsi="Calibri" w:cs="Calibri"/>
                <w:color w:val="000000"/>
                <w:sz w:val="16"/>
                <w:szCs w:val="16"/>
              </w:rPr>
            </w:pPr>
          </w:p>
        </w:tc>
        <w:tc>
          <w:tcPr>
            <w:tcW w:w="1274" w:type="dxa"/>
            <w:tcBorders>
              <w:top w:val="nil"/>
              <w:left w:val="nil"/>
              <w:bottom w:val="single" w:sz="4" w:space="0" w:color="auto"/>
              <w:right w:val="nil"/>
            </w:tcBorders>
            <w:shd w:val="clear" w:color="auto" w:fill="auto"/>
            <w:hideMark/>
          </w:tcPr>
          <w:p w14:paraId="3C402438" w14:textId="3E4922AA"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t xml:space="preserve">The study retrospectively evaluated the medium-term locoregional control, survival and toxicity outcomes with </w:t>
            </w:r>
            <w:r w:rsidR="00691248">
              <w:rPr>
                <w:rFonts w:ascii="Calibri" w:hAnsi="Calibri" w:cs="Calibri"/>
                <w:color w:val="000000"/>
                <w:sz w:val="16"/>
                <w:szCs w:val="16"/>
              </w:rPr>
              <w:t>POIRT</w:t>
            </w:r>
            <w:r>
              <w:rPr>
                <w:rFonts w:ascii="Calibri" w:hAnsi="Calibri" w:cs="Calibri"/>
                <w:color w:val="000000"/>
                <w:sz w:val="16"/>
                <w:szCs w:val="16"/>
              </w:rPr>
              <w:t xml:space="preserve"> with or without EBRT, in patients with nonmetastatic, recurrent HNC with or without prior irradiation.</w:t>
            </w:r>
          </w:p>
        </w:tc>
        <w:tc>
          <w:tcPr>
            <w:tcW w:w="1280" w:type="dxa"/>
            <w:tcBorders>
              <w:top w:val="nil"/>
              <w:left w:val="nil"/>
              <w:bottom w:val="single" w:sz="4" w:space="0" w:color="auto"/>
              <w:right w:val="nil"/>
            </w:tcBorders>
            <w:shd w:val="clear" w:color="auto" w:fill="auto"/>
            <w:hideMark/>
          </w:tcPr>
          <w:p w14:paraId="03BA58A1" w14:textId="638D2FA9"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t xml:space="preserve">Between January 2016 and June 2020, patients with recurrent HNC with or without prior irradiation were treated with </w:t>
            </w:r>
            <w:r w:rsidR="00691248">
              <w:rPr>
                <w:rFonts w:ascii="Calibri" w:hAnsi="Calibri" w:cs="Calibri"/>
                <w:color w:val="000000"/>
                <w:sz w:val="16"/>
                <w:szCs w:val="16"/>
              </w:rPr>
              <w:t>POIRT</w:t>
            </w:r>
            <w:r>
              <w:rPr>
                <w:rFonts w:ascii="Calibri" w:hAnsi="Calibri" w:cs="Calibri"/>
                <w:color w:val="000000"/>
                <w:sz w:val="16"/>
                <w:szCs w:val="16"/>
              </w:rPr>
              <w:t xml:space="preserve"> with or without EBRT. </w:t>
            </w:r>
            <w:r>
              <w:rPr>
                <w:rFonts w:ascii="Calibri" w:hAnsi="Calibri" w:cs="Calibri"/>
                <w:color w:val="000000"/>
                <w:sz w:val="16"/>
                <w:szCs w:val="16"/>
              </w:rPr>
              <w:br/>
            </w:r>
            <w:r>
              <w:rPr>
                <w:rFonts w:ascii="Calibri" w:hAnsi="Calibri" w:cs="Calibri"/>
                <w:color w:val="000000"/>
                <w:sz w:val="16"/>
                <w:szCs w:val="16"/>
              </w:rPr>
              <w:br/>
              <w:t xml:space="preserve">The </w:t>
            </w:r>
            <w:r w:rsidR="00691248">
              <w:rPr>
                <w:rFonts w:ascii="Calibri" w:hAnsi="Calibri" w:cs="Calibri"/>
                <w:color w:val="000000"/>
                <w:sz w:val="16"/>
                <w:szCs w:val="16"/>
              </w:rPr>
              <w:t>POIRT</w:t>
            </w:r>
            <w:r>
              <w:rPr>
                <w:rFonts w:ascii="Calibri" w:hAnsi="Calibri" w:cs="Calibri"/>
                <w:color w:val="000000"/>
                <w:sz w:val="16"/>
                <w:szCs w:val="16"/>
              </w:rPr>
              <w:t xml:space="preserve"> group included 60 patients, of which 70% had prior irradiation. Separate outcomes were not reported for those with prior irradiation.</w:t>
            </w:r>
          </w:p>
        </w:tc>
        <w:tc>
          <w:tcPr>
            <w:tcW w:w="1134" w:type="dxa"/>
            <w:tcBorders>
              <w:top w:val="nil"/>
              <w:left w:val="nil"/>
              <w:bottom w:val="single" w:sz="4" w:space="0" w:color="auto"/>
              <w:right w:val="nil"/>
            </w:tcBorders>
            <w:shd w:val="clear" w:color="auto" w:fill="auto"/>
            <w:hideMark/>
          </w:tcPr>
          <w:p w14:paraId="1EE6DBA0" w14:textId="20D195F9"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t>The surgery and BRT protocols were described adequately.</w:t>
            </w:r>
            <w:r>
              <w:rPr>
                <w:rFonts w:ascii="Calibri" w:hAnsi="Calibri" w:cs="Calibri"/>
                <w:color w:val="000000"/>
                <w:sz w:val="16"/>
                <w:szCs w:val="16"/>
              </w:rPr>
              <w:br/>
            </w:r>
            <w:r>
              <w:rPr>
                <w:rFonts w:ascii="Calibri" w:hAnsi="Calibri" w:cs="Calibri"/>
                <w:color w:val="000000"/>
                <w:sz w:val="16"/>
                <w:szCs w:val="16"/>
              </w:rPr>
              <w:br/>
              <w:t>The extent of surgery was highly individualized, with aims of radical resection or organ preservation, and pedicled or free flap reconstruction as necessary.</w:t>
            </w:r>
          </w:p>
        </w:tc>
        <w:tc>
          <w:tcPr>
            <w:tcW w:w="1275" w:type="dxa"/>
            <w:tcBorders>
              <w:top w:val="nil"/>
              <w:left w:val="nil"/>
              <w:bottom w:val="single" w:sz="4" w:space="0" w:color="auto"/>
              <w:right w:val="nil"/>
            </w:tcBorders>
            <w:shd w:val="clear" w:color="auto" w:fill="auto"/>
            <w:hideMark/>
          </w:tcPr>
          <w:p w14:paraId="19845960" w14:textId="12F25B49"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t xml:space="preserve">Survival events were per standard definitions. </w:t>
            </w:r>
            <w:r>
              <w:rPr>
                <w:rFonts w:ascii="Calibri" w:hAnsi="Calibri" w:cs="Calibri"/>
                <w:color w:val="000000"/>
                <w:sz w:val="16"/>
                <w:szCs w:val="16"/>
              </w:rPr>
              <w:br/>
            </w:r>
            <w:r>
              <w:rPr>
                <w:rFonts w:ascii="Calibri" w:hAnsi="Calibri" w:cs="Calibri"/>
                <w:color w:val="000000"/>
                <w:sz w:val="16"/>
                <w:szCs w:val="16"/>
              </w:rPr>
              <w:br/>
              <w:t>Toxicity was evaluated per standard criteria (CTCAE) v5.0.</w:t>
            </w:r>
            <w:r>
              <w:rPr>
                <w:rFonts w:ascii="Calibri" w:hAnsi="Calibri" w:cs="Calibri"/>
                <w:color w:val="000000"/>
                <w:sz w:val="16"/>
                <w:szCs w:val="16"/>
              </w:rPr>
              <w:br/>
            </w:r>
            <w:r>
              <w:rPr>
                <w:rFonts w:ascii="Calibri" w:hAnsi="Calibri" w:cs="Calibri"/>
                <w:color w:val="000000"/>
                <w:sz w:val="16"/>
                <w:szCs w:val="16"/>
              </w:rPr>
              <w:br/>
              <w:t xml:space="preserve">The Kaplan-Meier method was used in the survival analyses. </w:t>
            </w:r>
          </w:p>
        </w:tc>
        <w:tc>
          <w:tcPr>
            <w:tcW w:w="1276" w:type="dxa"/>
            <w:tcBorders>
              <w:top w:val="nil"/>
              <w:left w:val="nil"/>
              <w:bottom w:val="single" w:sz="4" w:space="0" w:color="auto"/>
              <w:right w:val="nil"/>
            </w:tcBorders>
            <w:shd w:val="clear" w:color="auto" w:fill="auto"/>
            <w:hideMark/>
          </w:tcPr>
          <w:p w14:paraId="05657FF6" w14:textId="273D14C5"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t>Time to recurrence and time to reirradiation, which are important factors to disease control and toxicity outcomes, were not discussed.</w:t>
            </w:r>
          </w:p>
        </w:tc>
        <w:tc>
          <w:tcPr>
            <w:tcW w:w="1134" w:type="dxa"/>
            <w:tcBorders>
              <w:top w:val="nil"/>
              <w:left w:val="nil"/>
              <w:bottom w:val="single" w:sz="4" w:space="0" w:color="auto"/>
              <w:right w:val="nil"/>
            </w:tcBorders>
            <w:shd w:val="clear" w:color="auto" w:fill="auto"/>
            <w:hideMark/>
          </w:tcPr>
          <w:p w14:paraId="21EAA9CE" w14:textId="10C1DE9A"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t>The FU schedule and modalities were described adequately. However, the median FU length (22.4 months) is short for the reported outcome measures. All patients were accounted for.</w:t>
            </w:r>
          </w:p>
        </w:tc>
        <w:tc>
          <w:tcPr>
            <w:tcW w:w="1559" w:type="dxa"/>
            <w:tcBorders>
              <w:top w:val="nil"/>
              <w:left w:val="nil"/>
              <w:bottom w:val="single" w:sz="4" w:space="0" w:color="auto"/>
              <w:right w:val="nil"/>
            </w:tcBorders>
            <w:shd w:val="clear" w:color="auto" w:fill="auto"/>
            <w:hideMark/>
          </w:tcPr>
          <w:p w14:paraId="42810878" w14:textId="335607CD"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t>The 3y recurrence-free survival is excellent, and toxicity rates are acceptable for a cohort of recurrent HNC patients, the majority with prior irradiation.</w:t>
            </w:r>
            <w:r>
              <w:rPr>
                <w:rFonts w:ascii="Calibri" w:hAnsi="Calibri" w:cs="Calibri"/>
                <w:color w:val="000000"/>
                <w:sz w:val="16"/>
                <w:szCs w:val="16"/>
              </w:rPr>
              <w:br/>
            </w:r>
            <w:r>
              <w:rPr>
                <w:rFonts w:ascii="Calibri" w:hAnsi="Calibri" w:cs="Calibri"/>
                <w:color w:val="000000"/>
                <w:sz w:val="16"/>
                <w:szCs w:val="16"/>
              </w:rPr>
              <w:br/>
              <w:t xml:space="preserve">The 3y and 5y RFS were 88.1% and 37.3%, respectively. The 3y and 5y OS were 39.2%, and 16.6%, respectively. </w:t>
            </w:r>
            <w:r>
              <w:rPr>
                <w:rFonts w:ascii="Calibri" w:hAnsi="Calibri" w:cs="Calibri"/>
                <w:color w:val="000000"/>
                <w:sz w:val="16"/>
                <w:szCs w:val="16"/>
              </w:rPr>
              <w:br/>
            </w:r>
            <w:r>
              <w:rPr>
                <w:rFonts w:ascii="Calibri" w:hAnsi="Calibri" w:cs="Calibri"/>
                <w:color w:val="000000"/>
                <w:sz w:val="16"/>
                <w:szCs w:val="16"/>
              </w:rPr>
              <w:br/>
              <w:t xml:space="preserve">The authors have not explained the discrepancy between the 3y RFS and 3y OS. No grade 5 toxicities were reported. </w:t>
            </w:r>
          </w:p>
        </w:tc>
        <w:tc>
          <w:tcPr>
            <w:tcW w:w="851" w:type="dxa"/>
            <w:tcBorders>
              <w:top w:val="nil"/>
              <w:left w:val="nil"/>
              <w:bottom w:val="single" w:sz="4" w:space="0" w:color="auto"/>
              <w:right w:val="nil"/>
            </w:tcBorders>
            <w:shd w:val="clear" w:color="auto" w:fill="auto"/>
            <w:hideMark/>
          </w:tcPr>
          <w:p w14:paraId="6B2ECC1E" w14:textId="7C0A5AD6" w:rsidR="00FE2BF3" w:rsidRPr="001B7B27" w:rsidRDefault="00FE2BF3" w:rsidP="00FE2BF3">
            <w:pPr>
              <w:rPr>
                <w:rFonts w:ascii="Calibri" w:hAnsi="Calibri" w:cs="Calibri"/>
                <w:color w:val="000000"/>
                <w:sz w:val="16"/>
                <w:szCs w:val="16"/>
              </w:rPr>
            </w:pPr>
            <w:r>
              <w:rPr>
                <w:rFonts w:ascii="Calibri" w:hAnsi="Calibri" w:cs="Calibri"/>
                <w:sz w:val="16"/>
                <w:szCs w:val="16"/>
              </w:rPr>
              <w:t xml:space="preserve">CIs were not reported. </w:t>
            </w:r>
            <w:r>
              <w:rPr>
                <w:rFonts w:ascii="Calibri" w:hAnsi="Calibri" w:cs="Calibri"/>
                <w:sz w:val="16"/>
                <w:szCs w:val="16"/>
              </w:rPr>
              <w:br/>
            </w:r>
            <w:r>
              <w:rPr>
                <w:rFonts w:ascii="Calibri" w:hAnsi="Calibri" w:cs="Calibri"/>
                <w:sz w:val="16"/>
                <w:szCs w:val="16"/>
              </w:rPr>
              <w:br/>
              <w:t>The sample size (n=60) allows for estimates with moderate precision. The toxicity estimates may be higher for the re-irradiation subset (70%).</w:t>
            </w:r>
          </w:p>
        </w:tc>
        <w:tc>
          <w:tcPr>
            <w:tcW w:w="1134" w:type="dxa"/>
            <w:tcBorders>
              <w:top w:val="nil"/>
              <w:left w:val="nil"/>
              <w:bottom w:val="single" w:sz="4" w:space="0" w:color="auto"/>
              <w:right w:val="nil"/>
            </w:tcBorders>
            <w:shd w:val="clear" w:color="auto" w:fill="auto"/>
            <w:hideMark/>
          </w:tcPr>
          <w:p w14:paraId="7D5983A5" w14:textId="572AC95F" w:rsidR="00FE2BF3" w:rsidRPr="001B7B27" w:rsidRDefault="00FE2BF3" w:rsidP="00FE2BF3">
            <w:pPr>
              <w:rPr>
                <w:rFonts w:ascii="Calibri" w:hAnsi="Calibri" w:cs="Calibri"/>
                <w:color w:val="000000"/>
                <w:sz w:val="16"/>
                <w:szCs w:val="16"/>
              </w:rPr>
            </w:pPr>
            <w:r>
              <w:rPr>
                <w:rFonts w:ascii="Calibri" w:hAnsi="Calibri" w:cs="Calibri"/>
                <w:color w:val="000000"/>
                <w:sz w:val="16"/>
                <w:szCs w:val="16"/>
              </w:rPr>
              <w:t>The 3y and 5y OS rates are lower than the 3y and 5y local RFS. By definition, local RFS rates should be lower than or equal to OS rates.</w:t>
            </w:r>
          </w:p>
        </w:tc>
        <w:tc>
          <w:tcPr>
            <w:tcW w:w="1276" w:type="dxa"/>
            <w:tcBorders>
              <w:top w:val="nil"/>
              <w:left w:val="nil"/>
              <w:bottom w:val="single" w:sz="4" w:space="0" w:color="auto"/>
              <w:right w:val="nil"/>
            </w:tcBorders>
            <w:shd w:val="clear" w:color="auto" w:fill="auto"/>
            <w:hideMark/>
          </w:tcPr>
          <w:p w14:paraId="4218404E" w14:textId="77777777" w:rsidR="00FE2BF3" w:rsidRDefault="00FE2BF3" w:rsidP="00FE2BF3">
            <w:pPr>
              <w:rPr>
                <w:rFonts w:ascii="Calibri" w:hAnsi="Calibri" w:cs="Calibri"/>
                <w:sz w:val="16"/>
                <w:szCs w:val="16"/>
              </w:rPr>
            </w:pPr>
            <w:r>
              <w:rPr>
                <w:rFonts w:ascii="Calibri" w:hAnsi="Calibri" w:cs="Calibri"/>
                <w:sz w:val="16"/>
                <w:szCs w:val="16"/>
              </w:rPr>
              <w:t>The results are compatible with the notion that adjuvant reirradiation limited to the tumor bed volume combined with individualized wide-field irradiation doses after wide resection for recurrent HNC after prior irradiation may be associated with excellent disease control and acceptable medium-term toxicity.</w:t>
            </w:r>
          </w:p>
          <w:p w14:paraId="6E1C4EBE" w14:textId="774BFC33" w:rsidR="00FE2BF3" w:rsidRPr="001B7B27" w:rsidRDefault="00FE2BF3" w:rsidP="00FE2BF3">
            <w:pPr>
              <w:rPr>
                <w:rFonts w:ascii="Calibri" w:hAnsi="Calibri" w:cs="Calibri"/>
                <w:color w:val="000000"/>
                <w:sz w:val="16"/>
                <w:szCs w:val="16"/>
              </w:rPr>
            </w:pPr>
          </w:p>
        </w:tc>
        <w:tc>
          <w:tcPr>
            <w:tcW w:w="1134" w:type="dxa"/>
            <w:tcBorders>
              <w:top w:val="nil"/>
              <w:left w:val="nil"/>
              <w:bottom w:val="single" w:sz="4" w:space="0" w:color="auto"/>
              <w:right w:val="nil"/>
            </w:tcBorders>
            <w:shd w:val="clear" w:color="auto" w:fill="auto"/>
            <w:hideMark/>
          </w:tcPr>
          <w:p w14:paraId="4F05CE53" w14:textId="49D4E655" w:rsidR="00FE2BF3" w:rsidRPr="001B7B27" w:rsidRDefault="00FE2BF3" w:rsidP="00FE2BF3">
            <w:pPr>
              <w:rPr>
                <w:rFonts w:ascii="Calibri" w:hAnsi="Calibri" w:cs="Calibri"/>
                <w:color w:val="000000"/>
                <w:sz w:val="16"/>
                <w:szCs w:val="16"/>
              </w:rPr>
            </w:pPr>
            <w:r>
              <w:rPr>
                <w:rFonts w:ascii="Calibri" w:hAnsi="Calibri" w:cs="Calibri"/>
                <w:sz w:val="16"/>
                <w:szCs w:val="16"/>
              </w:rPr>
              <w:t>The surgical technique was highly individualized, to achieve GTR or preserve organ, and to reconstruct as necessary. This may require a highly specialized team to replicate.</w:t>
            </w:r>
          </w:p>
        </w:tc>
        <w:tc>
          <w:tcPr>
            <w:tcW w:w="1280" w:type="dxa"/>
            <w:tcBorders>
              <w:top w:val="nil"/>
              <w:left w:val="nil"/>
              <w:bottom w:val="single" w:sz="4" w:space="0" w:color="auto"/>
              <w:right w:val="nil"/>
            </w:tcBorders>
            <w:shd w:val="clear" w:color="auto" w:fill="auto"/>
            <w:hideMark/>
          </w:tcPr>
          <w:p w14:paraId="2CC9375F" w14:textId="1BDB30B1" w:rsidR="00FE2BF3" w:rsidRPr="001B7B27" w:rsidRDefault="00FE2BF3" w:rsidP="00FE2BF3">
            <w:pPr>
              <w:rPr>
                <w:rFonts w:ascii="Calibri" w:hAnsi="Calibri" w:cs="Calibri"/>
                <w:color w:val="000000"/>
                <w:sz w:val="16"/>
                <w:szCs w:val="16"/>
              </w:rPr>
            </w:pPr>
            <w:r>
              <w:rPr>
                <w:rFonts w:ascii="Calibri" w:hAnsi="Calibri" w:cs="Calibri"/>
                <w:sz w:val="16"/>
                <w:szCs w:val="16"/>
              </w:rPr>
              <w:t xml:space="preserve">The study provides retrospective data on medium-term disease control, survival and toxicity rates with </w:t>
            </w:r>
            <w:r w:rsidR="00691248">
              <w:rPr>
                <w:rFonts w:ascii="Calibri" w:hAnsi="Calibri" w:cs="Calibri"/>
                <w:sz w:val="16"/>
                <w:szCs w:val="16"/>
              </w:rPr>
              <w:t>POIRT</w:t>
            </w:r>
            <w:r>
              <w:rPr>
                <w:rFonts w:ascii="Calibri" w:hAnsi="Calibri" w:cs="Calibri"/>
                <w:sz w:val="16"/>
                <w:szCs w:val="16"/>
              </w:rPr>
              <w:t xml:space="preserve"> for resected, nonmetastatic recurrent HNSCC with prior irradiation.</w:t>
            </w:r>
          </w:p>
        </w:tc>
      </w:tr>
      <w:tr w:rsidR="00FE2BF3" w:rsidRPr="001B7B27" w14:paraId="1D5FB327" w14:textId="77777777" w:rsidTr="00B034AE">
        <w:trPr>
          <w:trHeight w:val="79"/>
        </w:trPr>
        <w:tc>
          <w:tcPr>
            <w:tcW w:w="707" w:type="dxa"/>
            <w:vMerge w:val="restart"/>
            <w:tcBorders>
              <w:left w:val="nil"/>
              <w:right w:val="nil"/>
            </w:tcBorders>
            <w:shd w:val="clear" w:color="auto" w:fill="auto"/>
          </w:tcPr>
          <w:p w14:paraId="569B455F" w14:textId="1406676A" w:rsidR="00FE2BF3" w:rsidRPr="001B7B27" w:rsidRDefault="00FE2BF3" w:rsidP="00FE2BF3">
            <w:pPr>
              <w:rPr>
                <w:rFonts w:ascii="Calibri" w:hAnsi="Calibri" w:cs="Calibri"/>
                <w:color w:val="000000"/>
                <w:sz w:val="16"/>
                <w:szCs w:val="16"/>
              </w:rPr>
            </w:pPr>
            <w:r w:rsidRPr="00FE2BF3">
              <w:rPr>
                <w:rFonts w:ascii="Calibri" w:hAnsi="Calibri" w:cs="Calibri"/>
                <w:color w:val="000000"/>
                <w:sz w:val="16"/>
                <w:szCs w:val="16"/>
              </w:rPr>
              <w:t>Ritte</w:t>
            </w:r>
            <w:r>
              <w:rPr>
                <w:rFonts w:ascii="Calibri" w:hAnsi="Calibri" w:cs="Calibri"/>
                <w:color w:val="000000"/>
                <w:sz w:val="16"/>
                <w:szCs w:val="16"/>
              </w:rPr>
              <w:t>r</w:t>
            </w:r>
            <w:r w:rsidRPr="00FE2BF3">
              <w:rPr>
                <w:rFonts w:ascii="Calibri" w:hAnsi="Calibri" w:cs="Calibri"/>
                <w:color w:val="000000"/>
                <w:sz w:val="16"/>
                <w:szCs w:val="16"/>
              </w:rPr>
              <w:t xml:space="preserve"> 2016</w:t>
            </w:r>
          </w:p>
        </w:tc>
        <w:tc>
          <w:tcPr>
            <w:tcW w:w="1274" w:type="dxa"/>
            <w:tcBorders>
              <w:top w:val="nil"/>
              <w:left w:val="nil"/>
              <w:bottom w:val="single" w:sz="4" w:space="0" w:color="auto"/>
              <w:right w:val="nil"/>
            </w:tcBorders>
            <w:shd w:val="clear" w:color="auto" w:fill="auto"/>
          </w:tcPr>
          <w:p w14:paraId="1DC12987" w14:textId="268143BD" w:rsidR="00FE2BF3" w:rsidRDefault="00FE2BF3" w:rsidP="00043C52">
            <w:pPr>
              <w:jc w:val="center"/>
              <w:rPr>
                <w:rFonts w:ascii="Calibri" w:hAnsi="Calibri" w:cs="Calibri"/>
                <w:color w:val="000000"/>
                <w:sz w:val="16"/>
                <w:szCs w:val="16"/>
              </w:rPr>
            </w:pPr>
            <w:r>
              <w:rPr>
                <w:rFonts w:ascii="Calibri" w:hAnsi="Calibri" w:cs="Calibri"/>
                <w:b/>
                <w:bCs/>
                <w:sz w:val="16"/>
                <w:szCs w:val="16"/>
              </w:rPr>
              <w:t>Low risk</w:t>
            </w:r>
          </w:p>
        </w:tc>
        <w:tc>
          <w:tcPr>
            <w:tcW w:w="1280" w:type="dxa"/>
            <w:tcBorders>
              <w:top w:val="nil"/>
              <w:left w:val="nil"/>
              <w:bottom w:val="single" w:sz="4" w:space="0" w:color="auto"/>
              <w:right w:val="nil"/>
            </w:tcBorders>
            <w:shd w:val="clear" w:color="auto" w:fill="auto"/>
          </w:tcPr>
          <w:p w14:paraId="1662E115" w14:textId="48107E7B" w:rsidR="00FE2BF3" w:rsidRDefault="00FE2BF3" w:rsidP="00043C52">
            <w:pPr>
              <w:jc w:val="center"/>
              <w:rPr>
                <w:rFonts w:ascii="Calibri" w:hAnsi="Calibri" w:cs="Calibri"/>
                <w:color w:val="000000"/>
                <w:sz w:val="16"/>
                <w:szCs w:val="16"/>
              </w:rPr>
            </w:pPr>
            <w:r>
              <w:rPr>
                <w:rFonts w:ascii="Calibri" w:hAnsi="Calibri" w:cs="Calibri"/>
                <w:b/>
                <w:bCs/>
                <w:color w:val="FF0000"/>
                <w:sz w:val="16"/>
                <w:szCs w:val="16"/>
              </w:rPr>
              <w:t>High risk</w:t>
            </w:r>
          </w:p>
        </w:tc>
        <w:tc>
          <w:tcPr>
            <w:tcW w:w="1134" w:type="dxa"/>
            <w:tcBorders>
              <w:top w:val="nil"/>
              <w:left w:val="nil"/>
              <w:bottom w:val="single" w:sz="4" w:space="0" w:color="auto"/>
              <w:right w:val="nil"/>
            </w:tcBorders>
            <w:shd w:val="clear" w:color="auto" w:fill="auto"/>
          </w:tcPr>
          <w:p w14:paraId="6A61AF94" w14:textId="3BD0FFD6" w:rsidR="00FE2BF3" w:rsidRDefault="00FE2BF3" w:rsidP="00043C52">
            <w:pPr>
              <w:jc w:val="center"/>
              <w:rPr>
                <w:rFonts w:ascii="Calibri" w:hAnsi="Calibri" w:cs="Calibri"/>
                <w:color w:val="000000"/>
                <w:sz w:val="16"/>
                <w:szCs w:val="16"/>
              </w:rPr>
            </w:pPr>
            <w:r>
              <w:rPr>
                <w:rFonts w:ascii="Calibri" w:hAnsi="Calibri" w:cs="Calibri"/>
                <w:b/>
                <w:bCs/>
                <w:color w:val="FF0000"/>
                <w:sz w:val="16"/>
                <w:szCs w:val="16"/>
              </w:rPr>
              <w:t>High risk</w:t>
            </w:r>
          </w:p>
        </w:tc>
        <w:tc>
          <w:tcPr>
            <w:tcW w:w="1275" w:type="dxa"/>
            <w:tcBorders>
              <w:top w:val="nil"/>
              <w:left w:val="nil"/>
              <w:bottom w:val="single" w:sz="4" w:space="0" w:color="auto"/>
              <w:right w:val="nil"/>
            </w:tcBorders>
            <w:shd w:val="clear" w:color="auto" w:fill="auto"/>
          </w:tcPr>
          <w:p w14:paraId="4099AF83" w14:textId="5BF395B3"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76" w:type="dxa"/>
            <w:tcBorders>
              <w:top w:val="nil"/>
              <w:left w:val="nil"/>
              <w:bottom w:val="single" w:sz="4" w:space="0" w:color="auto"/>
              <w:right w:val="nil"/>
            </w:tcBorders>
            <w:shd w:val="clear" w:color="auto" w:fill="auto"/>
          </w:tcPr>
          <w:p w14:paraId="62EEF9E6" w14:textId="2AC2CF84"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134" w:type="dxa"/>
            <w:tcBorders>
              <w:top w:val="nil"/>
              <w:left w:val="nil"/>
              <w:bottom w:val="single" w:sz="4" w:space="0" w:color="auto"/>
              <w:right w:val="nil"/>
            </w:tcBorders>
            <w:shd w:val="clear" w:color="auto" w:fill="auto"/>
          </w:tcPr>
          <w:p w14:paraId="04F5C712" w14:textId="0E9FCC7A" w:rsidR="00FE2BF3" w:rsidRDefault="00FE2BF3" w:rsidP="00043C52">
            <w:pPr>
              <w:jc w:val="center"/>
              <w:rPr>
                <w:rFonts w:ascii="Calibri" w:hAnsi="Calibri" w:cs="Calibri"/>
                <w:color w:val="000000"/>
                <w:sz w:val="16"/>
                <w:szCs w:val="16"/>
              </w:rPr>
            </w:pPr>
            <w:r>
              <w:rPr>
                <w:rFonts w:ascii="Calibri" w:hAnsi="Calibri" w:cs="Calibri"/>
                <w:b/>
                <w:bCs/>
                <w:color w:val="FF0000"/>
                <w:sz w:val="16"/>
                <w:szCs w:val="16"/>
              </w:rPr>
              <w:t>High risk</w:t>
            </w:r>
          </w:p>
        </w:tc>
        <w:tc>
          <w:tcPr>
            <w:tcW w:w="1559" w:type="dxa"/>
            <w:tcBorders>
              <w:top w:val="nil"/>
              <w:left w:val="nil"/>
              <w:bottom w:val="single" w:sz="4" w:space="0" w:color="auto"/>
              <w:right w:val="nil"/>
            </w:tcBorders>
            <w:shd w:val="clear" w:color="auto" w:fill="auto"/>
          </w:tcPr>
          <w:p w14:paraId="63E2C133" w14:textId="23742FC6"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851" w:type="dxa"/>
            <w:tcBorders>
              <w:top w:val="nil"/>
              <w:left w:val="nil"/>
              <w:bottom w:val="single" w:sz="4" w:space="0" w:color="auto"/>
              <w:right w:val="nil"/>
            </w:tcBorders>
            <w:shd w:val="clear" w:color="auto" w:fill="auto"/>
          </w:tcPr>
          <w:p w14:paraId="0D1A9C32" w14:textId="3B599566" w:rsidR="00FE2BF3" w:rsidRDefault="00FE2BF3" w:rsidP="00043C52">
            <w:pPr>
              <w:jc w:val="center"/>
              <w:rPr>
                <w:rFonts w:ascii="Calibri" w:hAnsi="Calibri" w:cs="Calibri"/>
                <w:sz w:val="16"/>
                <w:szCs w:val="16"/>
              </w:rPr>
            </w:pPr>
            <w:r>
              <w:rPr>
                <w:rFonts w:ascii="Calibri" w:hAnsi="Calibri" w:cs="Calibri"/>
                <w:b/>
                <w:bCs/>
                <w:color w:val="000000"/>
                <w:sz w:val="16"/>
                <w:szCs w:val="16"/>
              </w:rPr>
              <w:t>Low risk</w:t>
            </w:r>
          </w:p>
        </w:tc>
        <w:tc>
          <w:tcPr>
            <w:tcW w:w="1134" w:type="dxa"/>
            <w:tcBorders>
              <w:top w:val="nil"/>
              <w:left w:val="nil"/>
              <w:bottom w:val="single" w:sz="4" w:space="0" w:color="auto"/>
              <w:right w:val="nil"/>
            </w:tcBorders>
            <w:shd w:val="clear" w:color="auto" w:fill="auto"/>
          </w:tcPr>
          <w:p w14:paraId="50E6D566" w14:textId="76C5350E" w:rsidR="00FE2BF3" w:rsidRDefault="00FE2BF3" w:rsidP="00043C52">
            <w:pPr>
              <w:jc w:val="center"/>
              <w:rPr>
                <w:rFonts w:ascii="Calibri" w:hAnsi="Calibri" w:cs="Calibri"/>
                <w:color w:val="000000"/>
                <w:sz w:val="16"/>
                <w:szCs w:val="16"/>
              </w:rPr>
            </w:pPr>
            <w:r>
              <w:rPr>
                <w:rFonts w:ascii="Calibri" w:hAnsi="Calibri" w:cs="Calibri"/>
                <w:b/>
                <w:bCs/>
                <w:color w:val="C65911"/>
                <w:sz w:val="16"/>
                <w:szCs w:val="16"/>
              </w:rPr>
              <w:t>Uncertain risk</w:t>
            </w:r>
          </w:p>
        </w:tc>
        <w:tc>
          <w:tcPr>
            <w:tcW w:w="1276" w:type="dxa"/>
            <w:tcBorders>
              <w:top w:val="nil"/>
              <w:left w:val="nil"/>
              <w:bottom w:val="single" w:sz="4" w:space="0" w:color="auto"/>
              <w:right w:val="nil"/>
            </w:tcBorders>
            <w:shd w:val="clear" w:color="auto" w:fill="auto"/>
          </w:tcPr>
          <w:p w14:paraId="42957C7A" w14:textId="06915379" w:rsidR="00FE2BF3" w:rsidRDefault="00FE2BF3" w:rsidP="00043C52">
            <w:pPr>
              <w:jc w:val="center"/>
              <w:rPr>
                <w:rFonts w:ascii="Calibri" w:hAnsi="Calibri" w:cs="Calibri"/>
                <w:sz w:val="16"/>
                <w:szCs w:val="16"/>
              </w:rPr>
            </w:pPr>
            <w:r>
              <w:rPr>
                <w:rFonts w:ascii="Calibri" w:hAnsi="Calibri" w:cs="Calibri"/>
                <w:b/>
                <w:bCs/>
                <w:color w:val="C65911"/>
                <w:sz w:val="16"/>
                <w:szCs w:val="16"/>
              </w:rPr>
              <w:t>Uncertain risk</w:t>
            </w:r>
          </w:p>
        </w:tc>
        <w:tc>
          <w:tcPr>
            <w:tcW w:w="1134" w:type="dxa"/>
            <w:tcBorders>
              <w:top w:val="nil"/>
              <w:left w:val="nil"/>
              <w:bottom w:val="single" w:sz="4" w:space="0" w:color="auto"/>
              <w:right w:val="nil"/>
            </w:tcBorders>
            <w:shd w:val="clear" w:color="auto" w:fill="auto"/>
          </w:tcPr>
          <w:p w14:paraId="7BD526AA" w14:textId="103C0654" w:rsidR="00FE2BF3" w:rsidRDefault="00FE2BF3" w:rsidP="00043C52">
            <w:pPr>
              <w:jc w:val="center"/>
              <w:rPr>
                <w:rFonts w:ascii="Calibri" w:hAnsi="Calibri" w:cs="Calibri"/>
                <w:sz w:val="16"/>
                <w:szCs w:val="16"/>
              </w:rPr>
            </w:pPr>
            <w:r>
              <w:rPr>
                <w:rFonts w:ascii="Calibri" w:hAnsi="Calibri" w:cs="Calibri"/>
                <w:b/>
                <w:bCs/>
                <w:color w:val="FF0000"/>
                <w:sz w:val="16"/>
                <w:szCs w:val="16"/>
              </w:rPr>
              <w:t>High risk</w:t>
            </w:r>
          </w:p>
        </w:tc>
        <w:tc>
          <w:tcPr>
            <w:tcW w:w="1280" w:type="dxa"/>
            <w:tcBorders>
              <w:top w:val="nil"/>
              <w:left w:val="nil"/>
              <w:bottom w:val="single" w:sz="4" w:space="0" w:color="auto"/>
              <w:right w:val="nil"/>
            </w:tcBorders>
            <w:shd w:val="clear" w:color="auto" w:fill="auto"/>
          </w:tcPr>
          <w:p w14:paraId="3B393980" w14:textId="69CB6EEC" w:rsidR="00FE2BF3" w:rsidRDefault="00FE2BF3" w:rsidP="00043C52">
            <w:pPr>
              <w:jc w:val="center"/>
              <w:rPr>
                <w:rFonts w:ascii="Calibri" w:hAnsi="Calibri" w:cs="Calibri"/>
                <w:sz w:val="16"/>
                <w:szCs w:val="16"/>
              </w:rPr>
            </w:pPr>
            <w:r>
              <w:rPr>
                <w:rFonts w:ascii="Calibri" w:hAnsi="Calibri" w:cs="Calibri"/>
                <w:b/>
                <w:bCs/>
                <w:sz w:val="16"/>
                <w:szCs w:val="16"/>
              </w:rPr>
              <w:t>Low risk</w:t>
            </w:r>
          </w:p>
        </w:tc>
      </w:tr>
      <w:tr w:rsidR="00FE2BF3" w:rsidRPr="001B7B27" w14:paraId="56D5A90B" w14:textId="77777777" w:rsidTr="00FE2BF3">
        <w:trPr>
          <w:trHeight w:val="79"/>
        </w:trPr>
        <w:tc>
          <w:tcPr>
            <w:tcW w:w="707" w:type="dxa"/>
            <w:vMerge/>
            <w:tcBorders>
              <w:left w:val="nil"/>
              <w:bottom w:val="single" w:sz="4" w:space="0" w:color="auto"/>
              <w:right w:val="nil"/>
            </w:tcBorders>
            <w:shd w:val="clear" w:color="auto" w:fill="auto"/>
          </w:tcPr>
          <w:p w14:paraId="4DE87773" w14:textId="77777777" w:rsidR="00FE2BF3" w:rsidRPr="001B7B27" w:rsidRDefault="00FE2BF3" w:rsidP="00FE2BF3">
            <w:pPr>
              <w:rPr>
                <w:rFonts w:ascii="Calibri" w:hAnsi="Calibri" w:cs="Calibri"/>
                <w:color w:val="000000"/>
                <w:sz w:val="16"/>
                <w:szCs w:val="16"/>
              </w:rPr>
            </w:pPr>
          </w:p>
        </w:tc>
        <w:tc>
          <w:tcPr>
            <w:tcW w:w="1274" w:type="dxa"/>
            <w:tcBorders>
              <w:top w:val="nil"/>
              <w:left w:val="nil"/>
              <w:bottom w:val="single" w:sz="4" w:space="0" w:color="auto"/>
              <w:right w:val="nil"/>
            </w:tcBorders>
            <w:shd w:val="clear" w:color="auto" w:fill="auto"/>
          </w:tcPr>
          <w:p w14:paraId="3F281091" w14:textId="2CBFB049" w:rsidR="00FE2BF3" w:rsidRDefault="00FE2BF3" w:rsidP="00FE2BF3">
            <w:pPr>
              <w:rPr>
                <w:rFonts w:ascii="Calibri" w:hAnsi="Calibri" w:cs="Calibri"/>
                <w:sz w:val="16"/>
                <w:szCs w:val="16"/>
              </w:rPr>
            </w:pPr>
            <w:r>
              <w:rPr>
                <w:rFonts w:ascii="Calibri" w:hAnsi="Calibri" w:cs="Calibri"/>
                <w:sz w:val="16"/>
                <w:szCs w:val="16"/>
              </w:rPr>
              <w:t xml:space="preserve">The study retrospectively compared the locoregional control, survival and toxicity outcomes of </w:t>
            </w:r>
            <w:r>
              <w:rPr>
                <w:rFonts w:ascii="Calibri" w:hAnsi="Calibri" w:cs="Calibri"/>
                <w:sz w:val="16"/>
                <w:szCs w:val="16"/>
              </w:rPr>
              <w:lastRenderedPageBreak/>
              <w:t xml:space="preserve">multi-modality treatment combining surgery and </w:t>
            </w:r>
            <w:r w:rsidR="00691248">
              <w:rPr>
                <w:rFonts w:ascii="Calibri" w:hAnsi="Calibri" w:cs="Calibri"/>
                <w:sz w:val="16"/>
                <w:szCs w:val="16"/>
              </w:rPr>
              <w:t>POIRT</w:t>
            </w:r>
            <w:r>
              <w:rPr>
                <w:rFonts w:ascii="Calibri" w:hAnsi="Calibri" w:cs="Calibri"/>
                <w:sz w:val="16"/>
                <w:szCs w:val="16"/>
              </w:rPr>
              <w:t xml:space="preserve"> ± EBRT in 18 patients with nonmetastatic, recurrent HNCs treated with cetuximab and </w:t>
            </w:r>
            <w:proofErr w:type="spellStart"/>
            <w:r>
              <w:rPr>
                <w:rFonts w:ascii="Calibri" w:hAnsi="Calibri" w:cs="Calibri"/>
                <w:sz w:val="16"/>
                <w:szCs w:val="16"/>
              </w:rPr>
              <w:t>taxane</w:t>
            </w:r>
            <w:proofErr w:type="spellEnd"/>
            <w:r>
              <w:rPr>
                <w:rFonts w:ascii="Calibri" w:hAnsi="Calibri" w:cs="Calibri"/>
                <w:sz w:val="16"/>
                <w:szCs w:val="16"/>
              </w:rPr>
              <w:t xml:space="preserve"> and 18 matched-pair controls.</w:t>
            </w:r>
            <w:r>
              <w:rPr>
                <w:rFonts w:ascii="Calibri" w:hAnsi="Calibri" w:cs="Calibri"/>
                <w:sz w:val="16"/>
                <w:szCs w:val="16"/>
              </w:rPr>
              <w:br/>
            </w:r>
            <w:r>
              <w:rPr>
                <w:rFonts w:ascii="Calibri" w:hAnsi="Calibri" w:cs="Calibri"/>
                <w:sz w:val="16"/>
                <w:szCs w:val="16"/>
              </w:rPr>
              <w:br/>
              <w:t xml:space="preserve">Secondarily, the study reported toxicity outcomes with </w:t>
            </w:r>
            <w:r w:rsidR="00691248">
              <w:rPr>
                <w:rFonts w:ascii="Calibri" w:hAnsi="Calibri" w:cs="Calibri"/>
                <w:sz w:val="16"/>
                <w:szCs w:val="16"/>
              </w:rPr>
              <w:t>POIRT</w:t>
            </w:r>
            <w:r>
              <w:rPr>
                <w:rFonts w:ascii="Calibri" w:hAnsi="Calibri" w:cs="Calibri"/>
                <w:sz w:val="16"/>
                <w:szCs w:val="16"/>
              </w:rPr>
              <w:t xml:space="preserve"> ± EBRT in a bigger population of patients with nonmetastatic, recurrent HNCs, from which the cetuximab-</w:t>
            </w:r>
            <w:proofErr w:type="spellStart"/>
            <w:r>
              <w:rPr>
                <w:rFonts w:ascii="Calibri" w:hAnsi="Calibri" w:cs="Calibri"/>
                <w:sz w:val="16"/>
                <w:szCs w:val="16"/>
              </w:rPr>
              <w:t>taxane</w:t>
            </w:r>
            <w:proofErr w:type="spellEnd"/>
            <w:r>
              <w:rPr>
                <w:rFonts w:ascii="Calibri" w:hAnsi="Calibri" w:cs="Calibri"/>
                <w:sz w:val="16"/>
                <w:szCs w:val="16"/>
              </w:rPr>
              <w:t xml:space="preserve"> group and the matched-pair controls were selected.</w:t>
            </w:r>
          </w:p>
          <w:p w14:paraId="6A3B5B67" w14:textId="3C6B4C98" w:rsidR="00FE2BF3" w:rsidRDefault="00FE2BF3" w:rsidP="00FE2BF3">
            <w:pPr>
              <w:rPr>
                <w:rFonts w:ascii="Calibri" w:hAnsi="Calibri" w:cs="Calibri"/>
                <w:color w:val="000000"/>
                <w:sz w:val="16"/>
                <w:szCs w:val="16"/>
              </w:rPr>
            </w:pPr>
          </w:p>
        </w:tc>
        <w:tc>
          <w:tcPr>
            <w:tcW w:w="1280" w:type="dxa"/>
            <w:tcBorders>
              <w:top w:val="nil"/>
              <w:left w:val="nil"/>
              <w:bottom w:val="single" w:sz="4" w:space="0" w:color="auto"/>
              <w:right w:val="nil"/>
            </w:tcBorders>
            <w:shd w:val="clear" w:color="auto" w:fill="auto"/>
          </w:tcPr>
          <w:p w14:paraId="022E7C74" w14:textId="6C0F6B31" w:rsidR="00FE2BF3" w:rsidRDefault="00FE2BF3" w:rsidP="00FE2BF3">
            <w:pPr>
              <w:rPr>
                <w:rFonts w:ascii="Calibri" w:hAnsi="Calibri" w:cs="Calibri"/>
                <w:color w:val="000000"/>
                <w:sz w:val="16"/>
                <w:szCs w:val="16"/>
              </w:rPr>
            </w:pPr>
            <w:r>
              <w:rPr>
                <w:rFonts w:ascii="Calibri" w:hAnsi="Calibri" w:cs="Calibri"/>
                <w:sz w:val="16"/>
                <w:szCs w:val="16"/>
              </w:rPr>
              <w:lastRenderedPageBreak/>
              <w:t xml:space="preserve">Between January 2006 and May 2013,  94 patients with recurrent HNCs were treated with surgery and </w:t>
            </w:r>
            <w:r w:rsidR="00691248">
              <w:rPr>
                <w:rFonts w:ascii="Calibri" w:hAnsi="Calibri" w:cs="Calibri"/>
                <w:sz w:val="16"/>
                <w:szCs w:val="16"/>
              </w:rPr>
              <w:lastRenderedPageBreak/>
              <w:t>POIRT</w:t>
            </w:r>
            <w:r>
              <w:rPr>
                <w:rFonts w:ascii="Calibri" w:hAnsi="Calibri" w:cs="Calibri"/>
                <w:sz w:val="16"/>
                <w:szCs w:val="16"/>
              </w:rPr>
              <w:t xml:space="preserve"> ± EBRT and ChT. </w:t>
            </w:r>
            <w:r>
              <w:rPr>
                <w:rFonts w:ascii="Calibri" w:hAnsi="Calibri" w:cs="Calibri"/>
                <w:sz w:val="16"/>
                <w:szCs w:val="16"/>
              </w:rPr>
              <w:br/>
            </w:r>
            <w:r>
              <w:rPr>
                <w:rFonts w:ascii="Calibri" w:hAnsi="Calibri" w:cs="Calibri"/>
                <w:sz w:val="16"/>
                <w:szCs w:val="16"/>
              </w:rPr>
              <w:br/>
              <w:t xml:space="preserve">93.6% had surgery and </w:t>
            </w:r>
            <w:r w:rsidR="00691248">
              <w:rPr>
                <w:rFonts w:ascii="Calibri" w:hAnsi="Calibri" w:cs="Calibri"/>
                <w:sz w:val="16"/>
                <w:szCs w:val="16"/>
              </w:rPr>
              <w:t>POIRT</w:t>
            </w:r>
            <w:r>
              <w:rPr>
                <w:rFonts w:ascii="Calibri" w:hAnsi="Calibri" w:cs="Calibri"/>
                <w:sz w:val="16"/>
                <w:szCs w:val="16"/>
              </w:rPr>
              <w:t xml:space="preserve">; 4.4% were unresectable and had HDR BRT as part of definitive irradiation. </w:t>
            </w:r>
            <w:r>
              <w:rPr>
                <w:rFonts w:ascii="Calibri" w:hAnsi="Calibri" w:cs="Calibri"/>
                <w:sz w:val="16"/>
                <w:szCs w:val="16"/>
              </w:rPr>
              <w:br/>
            </w:r>
            <w:r>
              <w:rPr>
                <w:rFonts w:ascii="Calibri" w:hAnsi="Calibri" w:cs="Calibri"/>
                <w:sz w:val="16"/>
                <w:szCs w:val="16"/>
              </w:rPr>
              <w:br/>
              <w:t>67% had prior irradiation. Separate outcomes were not reported for those with prior irradiation.</w:t>
            </w:r>
            <w:r>
              <w:rPr>
                <w:rFonts w:ascii="Calibri" w:hAnsi="Calibri" w:cs="Calibri"/>
                <w:sz w:val="16"/>
                <w:szCs w:val="16"/>
              </w:rPr>
              <w:br/>
            </w:r>
            <w:r>
              <w:rPr>
                <w:rFonts w:ascii="Calibri" w:hAnsi="Calibri" w:cs="Calibri"/>
                <w:sz w:val="16"/>
                <w:szCs w:val="16"/>
              </w:rPr>
              <w:br/>
              <w:t>47.9% had several recurrences and multiple courses of prior irradiation.</w:t>
            </w:r>
          </w:p>
        </w:tc>
        <w:tc>
          <w:tcPr>
            <w:tcW w:w="1134" w:type="dxa"/>
            <w:tcBorders>
              <w:top w:val="nil"/>
              <w:left w:val="nil"/>
              <w:bottom w:val="single" w:sz="4" w:space="0" w:color="auto"/>
              <w:right w:val="nil"/>
            </w:tcBorders>
            <w:shd w:val="clear" w:color="auto" w:fill="auto"/>
          </w:tcPr>
          <w:p w14:paraId="4C690F2F" w14:textId="1C2D1B07" w:rsidR="00FE2BF3" w:rsidRDefault="00FE2BF3" w:rsidP="00FE2BF3">
            <w:pPr>
              <w:rPr>
                <w:rFonts w:ascii="Calibri" w:hAnsi="Calibri" w:cs="Calibri"/>
                <w:color w:val="000000"/>
                <w:sz w:val="16"/>
                <w:szCs w:val="16"/>
              </w:rPr>
            </w:pPr>
            <w:r>
              <w:rPr>
                <w:rFonts w:ascii="Calibri" w:hAnsi="Calibri" w:cs="Calibri"/>
                <w:color w:val="000000"/>
                <w:sz w:val="16"/>
                <w:szCs w:val="16"/>
              </w:rPr>
              <w:lastRenderedPageBreak/>
              <w:t>The BRT protocols were described adequately.</w:t>
            </w:r>
            <w:r>
              <w:rPr>
                <w:rFonts w:ascii="Calibri" w:hAnsi="Calibri" w:cs="Calibri"/>
                <w:color w:val="000000"/>
                <w:sz w:val="16"/>
                <w:szCs w:val="16"/>
              </w:rPr>
              <w:br/>
            </w:r>
            <w:r>
              <w:rPr>
                <w:rFonts w:ascii="Calibri" w:hAnsi="Calibri" w:cs="Calibri"/>
                <w:color w:val="000000"/>
                <w:sz w:val="16"/>
                <w:szCs w:val="16"/>
              </w:rPr>
              <w:br/>
              <w:t xml:space="preserve">The intent of surgery (GTR, </w:t>
            </w:r>
            <w:r>
              <w:rPr>
                <w:rFonts w:ascii="Calibri" w:hAnsi="Calibri" w:cs="Calibri"/>
                <w:color w:val="000000"/>
                <w:sz w:val="16"/>
                <w:szCs w:val="16"/>
              </w:rPr>
              <w:lastRenderedPageBreak/>
              <w:t>maximal resection with organ preservation, or palliative debulking) was not stated. 8.5% did not undergo surgery.</w:t>
            </w:r>
            <w:r>
              <w:rPr>
                <w:rFonts w:ascii="Calibri" w:hAnsi="Calibri" w:cs="Calibri"/>
                <w:color w:val="000000"/>
                <w:sz w:val="16"/>
                <w:szCs w:val="16"/>
              </w:rPr>
              <w:br/>
            </w:r>
            <w:r>
              <w:rPr>
                <w:rFonts w:ascii="Calibri" w:hAnsi="Calibri" w:cs="Calibri"/>
                <w:color w:val="000000"/>
                <w:sz w:val="16"/>
                <w:szCs w:val="16"/>
              </w:rPr>
              <w:br/>
              <w:t xml:space="preserve">The extent of surgery was likely individualized, given the multiple HNC sites included. </w:t>
            </w:r>
          </w:p>
        </w:tc>
        <w:tc>
          <w:tcPr>
            <w:tcW w:w="1275" w:type="dxa"/>
            <w:tcBorders>
              <w:top w:val="nil"/>
              <w:left w:val="nil"/>
              <w:bottom w:val="single" w:sz="4" w:space="0" w:color="auto"/>
              <w:right w:val="nil"/>
            </w:tcBorders>
            <w:shd w:val="clear" w:color="auto" w:fill="auto"/>
          </w:tcPr>
          <w:p w14:paraId="75785BE2" w14:textId="0972AB7F" w:rsidR="00FE2BF3" w:rsidRDefault="00FE2BF3" w:rsidP="00FE2BF3">
            <w:pPr>
              <w:rPr>
                <w:rFonts w:ascii="Calibri" w:hAnsi="Calibri" w:cs="Calibri"/>
                <w:color w:val="000000"/>
                <w:sz w:val="16"/>
                <w:szCs w:val="16"/>
              </w:rPr>
            </w:pPr>
            <w:r>
              <w:rPr>
                <w:rFonts w:ascii="Calibri" w:hAnsi="Calibri" w:cs="Calibri"/>
                <w:sz w:val="16"/>
                <w:szCs w:val="16"/>
              </w:rPr>
              <w:lastRenderedPageBreak/>
              <w:t xml:space="preserve">Survival events were per standard definitions. </w:t>
            </w:r>
            <w:r>
              <w:rPr>
                <w:rFonts w:ascii="Calibri" w:hAnsi="Calibri" w:cs="Calibri"/>
                <w:sz w:val="16"/>
                <w:szCs w:val="16"/>
              </w:rPr>
              <w:br/>
            </w:r>
            <w:r>
              <w:rPr>
                <w:rFonts w:ascii="Calibri" w:hAnsi="Calibri" w:cs="Calibri"/>
                <w:sz w:val="16"/>
                <w:szCs w:val="16"/>
              </w:rPr>
              <w:br/>
              <w:t xml:space="preserve">Toxicity was evaluated per </w:t>
            </w:r>
            <w:r>
              <w:rPr>
                <w:rFonts w:ascii="Calibri" w:hAnsi="Calibri" w:cs="Calibri"/>
                <w:sz w:val="16"/>
                <w:szCs w:val="16"/>
              </w:rPr>
              <w:lastRenderedPageBreak/>
              <w:t>standard criteria (Common Terminology Criteria of the German Cancer Society; LENT SOMA).</w:t>
            </w:r>
            <w:r>
              <w:rPr>
                <w:rFonts w:ascii="Calibri" w:hAnsi="Calibri" w:cs="Calibri"/>
                <w:sz w:val="16"/>
                <w:szCs w:val="16"/>
              </w:rPr>
              <w:br/>
            </w:r>
            <w:r>
              <w:rPr>
                <w:rFonts w:ascii="Calibri" w:hAnsi="Calibri" w:cs="Calibri"/>
                <w:sz w:val="16"/>
                <w:szCs w:val="16"/>
              </w:rPr>
              <w:br/>
              <w:t xml:space="preserve">The Kaplan-Meier method was used in the survival analyses. </w:t>
            </w:r>
          </w:p>
        </w:tc>
        <w:tc>
          <w:tcPr>
            <w:tcW w:w="1276" w:type="dxa"/>
            <w:tcBorders>
              <w:top w:val="nil"/>
              <w:left w:val="nil"/>
              <w:bottom w:val="single" w:sz="4" w:space="0" w:color="auto"/>
              <w:right w:val="nil"/>
            </w:tcBorders>
            <w:shd w:val="clear" w:color="auto" w:fill="auto"/>
          </w:tcPr>
          <w:p w14:paraId="2569EDD5" w14:textId="0F29D359" w:rsidR="00FE2BF3" w:rsidRDefault="00FE2BF3" w:rsidP="00FE2BF3">
            <w:pPr>
              <w:rPr>
                <w:rFonts w:ascii="Calibri" w:hAnsi="Calibri" w:cs="Calibri"/>
                <w:color w:val="000000"/>
                <w:sz w:val="16"/>
                <w:szCs w:val="16"/>
              </w:rPr>
            </w:pPr>
            <w:r>
              <w:rPr>
                <w:rFonts w:ascii="Calibri" w:hAnsi="Calibri" w:cs="Calibri"/>
                <w:sz w:val="16"/>
                <w:szCs w:val="16"/>
              </w:rPr>
              <w:lastRenderedPageBreak/>
              <w:t xml:space="preserve">Pertinent patient and disease variables, including time to recurrence, were summarized and accounted for in </w:t>
            </w:r>
            <w:r>
              <w:rPr>
                <w:rFonts w:ascii="Calibri" w:hAnsi="Calibri" w:cs="Calibri"/>
                <w:sz w:val="16"/>
                <w:szCs w:val="16"/>
              </w:rPr>
              <w:lastRenderedPageBreak/>
              <w:t>the analyses and discussion.</w:t>
            </w:r>
          </w:p>
        </w:tc>
        <w:tc>
          <w:tcPr>
            <w:tcW w:w="1134" w:type="dxa"/>
            <w:tcBorders>
              <w:top w:val="nil"/>
              <w:left w:val="nil"/>
              <w:bottom w:val="single" w:sz="4" w:space="0" w:color="auto"/>
              <w:right w:val="nil"/>
            </w:tcBorders>
            <w:shd w:val="clear" w:color="auto" w:fill="auto"/>
          </w:tcPr>
          <w:p w14:paraId="6BD5BA40" w14:textId="529DB740" w:rsidR="00FE2BF3" w:rsidRDefault="00FE2BF3" w:rsidP="00FE2BF3">
            <w:pPr>
              <w:rPr>
                <w:rFonts w:ascii="Calibri" w:hAnsi="Calibri" w:cs="Calibri"/>
                <w:color w:val="000000"/>
                <w:sz w:val="16"/>
                <w:szCs w:val="16"/>
              </w:rPr>
            </w:pPr>
            <w:r>
              <w:rPr>
                <w:rFonts w:ascii="Calibri" w:hAnsi="Calibri" w:cs="Calibri"/>
                <w:sz w:val="16"/>
                <w:szCs w:val="16"/>
              </w:rPr>
              <w:lastRenderedPageBreak/>
              <w:t xml:space="preserve">The FU schedule and modalities were described adequately. the mean FU length (13.4 </w:t>
            </w:r>
            <w:r>
              <w:rPr>
                <w:rFonts w:ascii="Calibri" w:hAnsi="Calibri" w:cs="Calibri"/>
                <w:sz w:val="16"/>
                <w:szCs w:val="16"/>
              </w:rPr>
              <w:lastRenderedPageBreak/>
              <w:t>months) is short. All patients were accounted for.</w:t>
            </w:r>
          </w:p>
        </w:tc>
        <w:tc>
          <w:tcPr>
            <w:tcW w:w="1559" w:type="dxa"/>
            <w:tcBorders>
              <w:top w:val="nil"/>
              <w:left w:val="nil"/>
              <w:bottom w:val="single" w:sz="4" w:space="0" w:color="auto"/>
              <w:right w:val="nil"/>
            </w:tcBorders>
            <w:shd w:val="clear" w:color="auto" w:fill="auto"/>
          </w:tcPr>
          <w:p w14:paraId="01571A19" w14:textId="078BFBC1" w:rsidR="00FE2BF3" w:rsidRDefault="00FE2BF3" w:rsidP="00FE2BF3">
            <w:pPr>
              <w:rPr>
                <w:rFonts w:ascii="Calibri" w:hAnsi="Calibri" w:cs="Calibri"/>
                <w:color w:val="000000"/>
                <w:sz w:val="16"/>
                <w:szCs w:val="16"/>
              </w:rPr>
            </w:pPr>
            <w:r>
              <w:rPr>
                <w:rFonts w:ascii="Calibri" w:hAnsi="Calibri" w:cs="Calibri"/>
                <w:sz w:val="16"/>
                <w:szCs w:val="16"/>
              </w:rPr>
              <w:lastRenderedPageBreak/>
              <w:t>The survival outcomes were not reported for the population of interest and was reported only for the study group (</w:t>
            </w:r>
            <w:proofErr w:type="spellStart"/>
            <w:r>
              <w:rPr>
                <w:rFonts w:ascii="Calibri" w:hAnsi="Calibri" w:cs="Calibri"/>
                <w:sz w:val="16"/>
                <w:szCs w:val="16"/>
              </w:rPr>
              <w:t>cetuxilab-</w:t>
            </w:r>
            <w:r>
              <w:rPr>
                <w:rFonts w:ascii="Calibri" w:hAnsi="Calibri" w:cs="Calibri"/>
                <w:sz w:val="16"/>
                <w:szCs w:val="16"/>
              </w:rPr>
              <w:lastRenderedPageBreak/>
              <w:t>taxane</w:t>
            </w:r>
            <w:proofErr w:type="spellEnd"/>
            <w:r>
              <w:rPr>
                <w:rFonts w:ascii="Calibri" w:hAnsi="Calibri" w:cs="Calibri"/>
                <w:sz w:val="16"/>
                <w:szCs w:val="16"/>
              </w:rPr>
              <w:t>) and the matched-pair control.</w:t>
            </w:r>
            <w:r>
              <w:rPr>
                <w:rFonts w:ascii="Calibri" w:hAnsi="Calibri" w:cs="Calibri"/>
                <w:sz w:val="16"/>
                <w:szCs w:val="16"/>
              </w:rPr>
              <w:br/>
            </w:r>
            <w:r>
              <w:rPr>
                <w:rFonts w:ascii="Calibri" w:hAnsi="Calibri" w:cs="Calibri"/>
                <w:sz w:val="16"/>
                <w:szCs w:val="16"/>
              </w:rPr>
              <w:br/>
              <w:t>Toxicity rates are acceptable given a cohort of which 67% had prior irradiation.</w:t>
            </w:r>
          </w:p>
        </w:tc>
        <w:tc>
          <w:tcPr>
            <w:tcW w:w="851" w:type="dxa"/>
            <w:tcBorders>
              <w:top w:val="nil"/>
              <w:left w:val="nil"/>
              <w:bottom w:val="single" w:sz="4" w:space="0" w:color="auto"/>
              <w:right w:val="nil"/>
            </w:tcBorders>
            <w:shd w:val="clear" w:color="auto" w:fill="auto"/>
          </w:tcPr>
          <w:p w14:paraId="0590D37A" w14:textId="2045C500" w:rsidR="00FE2BF3" w:rsidRDefault="00FE2BF3" w:rsidP="00FE2BF3">
            <w:pPr>
              <w:rPr>
                <w:rFonts w:ascii="Calibri" w:hAnsi="Calibri" w:cs="Calibri"/>
                <w:sz w:val="16"/>
                <w:szCs w:val="16"/>
              </w:rPr>
            </w:pPr>
            <w:r>
              <w:rPr>
                <w:rFonts w:ascii="Calibri" w:hAnsi="Calibri" w:cs="Calibri"/>
                <w:sz w:val="16"/>
                <w:szCs w:val="16"/>
              </w:rPr>
              <w:lastRenderedPageBreak/>
              <w:t xml:space="preserve">CIs were not reported. </w:t>
            </w:r>
            <w:r>
              <w:rPr>
                <w:rFonts w:ascii="Calibri" w:hAnsi="Calibri" w:cs="Calibri"/>
                <w:sz w:val="16"/>
                <w:szCs w:val="16"/>
              </w:rPr>
              <w:br/>
            </w:r>
            <w:r>
              <w:rPr>
                <w:rFonts w:ascii="Calibri" w:hAnsi="Calibri" w:cs="Calibri"/>
                <w:sz w:val="16"/>
                <w:szCs w:val="16"/>
              </w:rPr>
              <w:br/>
              <w:t xml:space="preserve">The sample size (n=94) </w:t>
            </w:r>
            <w:r>
              <w:rPr>
                <w:rFonts w:ascii="Calibri" w:hAnsi="Calibri" w:cs="Calibri"/>
                <w:sz w:val="16"/>
                <w:szCs w:val="16"/>
              </w:rPr>
              <w:lastRenderedPageBreak/>
              <w:t>allows for estimates with moderate to high precision. Toxicity rates may be higher for a purely re-irradiation cohort.</w:t>
            </w:r>
          </w:p>
        </w:tc>
        <w:tc>
          <w:tcPr>
            <w:tcW w:w="1134" w:type="dxa"/>
            <w:tcBorders>
              <w:top w:val="nil"/>
              <w:left w:val="nil"/>
              <w:bottom w:val="single" w:sz="4" w:space="0" w:color="auto"/>
              <w:right w:val="nil"/>
            </w:tcBorders>
            <w:shd w:val="clear" w:color="auto" w:fill="auto"/>
          </w:tcPr>
          <w:p w14:paraId="200DB11C" w14:textId="2FA35915" w:rsidR="00FE2BF3" w:rsidRDefault="00FE2BF3" w:rsidP="00FE2BF3">
            <w:pPr>
              <w:rPr>
                <w:rFonts w:ascii="Calibri" w:hAnsi="Calibri" w:cs="Calibri"/>
                <w:color w:val="000000"/>
                <w:sz w:val="16"/>
                <w:szCs w:val="16"/>
              </w:rPr>
            </w:pPr>
            <w:r>
              <w:rPr>
                <w:rFonts w:ascii="Calibri" w:hAnsi="Calibri" w:cs="Calibri"/>
                <w:sz w:val="16"/>
                <w:szCs w:val="16"/>
              </w:rPr>
              <w:lastRenderedPageBreak/>
              <w:t xml:space="preserve">Overall toxicity incidence rates fall within the range reported by contemporary series. </w:t>
            </w:r>
            <w:r>
              <w:rPr>
                <w:rFonts w:ascii="Calibri" w:hAnsi="Calibri" w:cs="Calibri"/>
                <w:sz w:val="16"/>
                <w:szCs w:val="16"/>
              </w:rPr>
              <w:lastRenderedPageBreak/>
              <w:t>However, separate rates for acute and chronic toxicity were not reported.</w:t>
            </w:r>
          </w:p>
        </w:tc>
        <w:tc>
          <w:tcPr>
            <w:tcW w:w="1276" w:type="dxa"/>
            <w:tcBorders>
              <w:top w:val="nil"/>
              <w:left w:val="nil"/>
              <w:bottom w:val="single" w:sz="4" w:space="0" w:color="auto"/>
              <w:right w:val="nil"/>
            </w:tcBorders>
            <w:shd w:val="clear" w:color="auto" w:fill="auto"/>
          </w:tcPr>
          <w:p w14:paraId="48505094" w14:textId="289D4A6E" w:rsidR="00FE2BF3" w:rsidRDefault="00FE2BF3" w:rsidP="00FE2BF3">
            <w:pPr>
              <w:rPr>
                <w:rFonts w:ascii="Calibri" w:hAnsi="Calibri" w:cs="Calibri"/>
                <w:sz w:val="16"/>
                <w:szCs w:val="16"/>
              </w:rPr>
            </w:pPr>
            <w:r>
              <w:rPr>
                <w:rFonts w:ascii="Calibri" w:hAnsi="Calibri" w:cs="Calibri"/>
                <w:sz w:val="16"/>
                <w:szCs w:val="16"/>
              </w:rPr>
              <w:lastRenderedPageBreak/>
              <w:t xml:space="preserve">The survival outcomes were not reported for the population of interest. separate rates for acute and chronic </w:t>
            </w:r>
            <w:r>
              <w:rPr>
                <w:rFonts w:ascii="Calibri" w:hAnsi="Calibri" w:cs="Calibri"/>
                <w:sz w:val="16"/>
                <w:szCs w:val="16"/>
              </w:rPr>
              <w:lastRenderedPageBreak/>
              <w:t>toxicity were not reported.</w:t>
            </w:r>
          </w:p>
        </w:tc>
        <w:tc>
          <w:tcPr>
            <w:tcW w:w="1134" w:type="dxa"/>
            <w:tcBorders>
              <w:top w:val="nil"/>
              <w:left w:val="nil"/>
              <w:bottom w:val="single" w:sz="4" w:space="0" w:color="auto"/>
              <w:right w:val="nil"/>
            </w:tcBorders>
            <w:shd w:val="clear" w:color="auto" w:fill="auto"/>
          </w:tcPr>
          <w:p w14:paraId="4C300A4E" w14:textId="353D2299" w:rsidR="00FE2BF3" w:rsidRDefault="00FE2BF3" w:rsidP="00FE2BF3">
            <w:pPr>
              <w:rPr>
                <w:rFonts w:ascii="Calibri" w:hAnsi="Calibri" w:cs="Calibri"/>
                <w:sz w:val="16"/>
                <w:szCs w:val="16"/>
              </w:rPr>
            </w:pPr>
            <w:r>
              <w:rPr>
                <w:rFonts w:ascii="Calibri" w:hAnsi="Calibri" w:cs="Calibri"/>
                <w:sz w:val="16"/>
                <w:szCs w:val="16"/>
              </w:rPr>
              <w:lastRenderedPageBreak/>
              <w:t xml:space="preserve">The surgical technique was likely highly individualized and may require a highly specialized </w:t>
            </w:r>
            <w:r>
              <w:rPr>
                <w:rFonts w:ascii="Calibri" w:hAnsi="Calibri" w:cs="Calibri"/>
                <w:sz w:val="16"/>
                <w:szCs w:val="16"/>
              </w:rPr>
              <w:lastRenderedPageBreak/>
              <w:t>team to replicate.</w:t>
            </w:r>
          </w:p>
        </w:tc>
        <w:tc>
          <w:tcPr>
            <w:tcW w:w="1280" w:type="dxa"/>
            <w:tcBorders>
              <w:top w:val="nil"/>
              <w:left w:val="nil"/>
              <w:bottom w:val="single" w:sz="4" w:space="0" w:color="auto"/>
              <w:right w:val="nil"/>
            </w:tcBorders>
            <w:shd w:val="clear" w:color="auto" w:fill="auto"/>
          </w:tcPr>
          <w:p w14:paraId="6A082DE5" w14:textId="0592536D" w:rsidR="00FE2BF3" w:rsidRDefault="00FE2BF3" w:rsidP="00FE2BF3">
            <w:pPr>
              <w:rPr>
                <w:rFonts w:ascii="Calibri" w:hAnsi="Calibri" w:cs="Calibri"/>
                <w:sz w:val="16"/>
                <w:szCs w:val="16"/>
              </w:rPr>
            </w:pPr>
            <w:r>
              <w:rPr>
                <w:rFonts w:ascii="Calibri" w:hAnsi="Calibri" w:cs="Calibri"/>
                <w:sz w:val="16"/>
                <w:szCs w:val="16"/>
              </w:rPr>
              <w:lastRenderedPageBreak/>
              <w:t xml:space="preserve">The study provides retrospective data on short-term toxicity rates with </w:t>
            </w:r>
            <w:r w:rsidR="00691248">
              <w:rPr>
                <w:rFonts w:ascii="Calibri" w:hAnsi="Calibri" w:cs="Calibri"/>
                <w:sz w:val="16"/>
                <w:szCs w:val="16"/>
              </w:rPr>
              <w:t>POIRT</w:t>
            </w:r>
            <w:r>
              <w:rPr>
                <w:rFonts w:ascii="Calibri" w:hAnsi="Calibri" w:cs="Calibri"/>
                <w:sz w:val="16"/>
                <w:szCs w:val="16"/>
              </w:rPr>
              <w:t xml:space="preserve"> ± EBRT for </w:t>
            </w:r>
            <w:r>
              <w:rPr>
                <w:rFonts w:ascii="Calibri" w:hAnsi="Calibri" w:cs="Calibri"/>
                <w:sz w:val="16"/>
                <w:szCs w:val="16"/>
              </w:rPr>
              <w:lastRenderedPageBreak/>
              <w:t>resected, nonmetastatic recurrent HNCs with or without prior irradiation.</w:t>
            </w:r>
          </w:p>
        </w:tc>
      </w:tr>
      <w:tr w:rsidR="00FE2BF3" w:rsidRPr="001B7B27" w14:paraId="05AAB9B2" w14:textId="77777777" w:rsidTr="004D65B3">
        <w:trPr>
          <w:trHeight w:val="79"/>
        </w:trPr>
        <w:tc>
          <w:tcPr>
            <w:tcW w:w="707" w:type="dxa"/>
            <w:vMerge w:val="restart"/>
            <w:tcBorders>
              <w:left w:val="nil"/>
              <w:right w:val="nil"/>
            </w:tcBorders>
            <w:shd w:val="clear" w:color="auto" w:fill="auto"/>
          </w:tcPr>
          <w:p w14:paraId="399316BD" w14:textId="4A04916F" w:rsidR="00FE2BF3" w:rsidRPr="001B7B27" w:rsidRDefault="00FE2BF3" w:rsidP="00FE2BF3">
            <w:pPr>
              <w:rPr>
                <w:rFonts w:ascii="Calibri" w:hAnsi="Calibri" w:cs="Calibri"/>
                <w:color w:val="000000"/>
                <w:sz w:val="16"/>
                <w:szCs w:val="16"/>
              </w:rPr>
            </w:pPr>
            <w:proofErr w:type="spellStart"/>
            <w:r w:rsidRPr="00FE2BF3">
              <w:rPr>
                <w:rFonts w:ascii="Calibri" w:hAnsi="Calibri" w:cs="Calibri"/>
                <w:color w:val="000000"/>
                <w:sz w:val="16"/>
                <w:szCs w:val="16"/>
              </w:rPr>
              <w:lastRenderedPageBreak/>
              <w:t>Teudt</w:t>
            </w:r>
            <w:proofErr w:type="spellEnd"/>
            <w:r w:rsidRPr="00FE2BF3">
              <w:rPr>
                <w:rFonts w:ascii="Calibri" w:hAnsi="Calibri" w:cs="Calibri"/>
                <w:color w:val="000000"/>
                <w:sz w:val="16"/>
                <w:szCs w:val="16"/>
              </w:rPr>
              <w:t xml:space="preserve"> 2014</w:t>
            </w:r>
          </w:p>
        </w:tc>
        <w:tc>
          <w:tcPr>
            <w:tcW w:w="1274" w:type="dxa"/>
            <w:tcBorders>
              <w:top w:val="nil"/>
              <w:left w:val="nil"/>
              <w:bottom w:val="single" w:sz="4" w:space="0" w:color="auto"/>
              <w:right w:val="nil"/>
            </w:tcBorders>
            <w:shd w:val="clear" w:color="auto" w:fill="auto"/>
          </w:tcPr>
          <w:p w14:paraId="5ADC2C4C" w14:textId="7124D080"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80" w:type="dxa"/>
            <w:tcBorders>
              <w:top w:val="nil"/>
              <w:left w:val="nil"/>
              <w:bottom w:val="single" w:sz="4" w:space="0" w:color="auto"/>
              <w:right w:val="nil"/>
            </w:tcBorders>
            <w:shd w:val="clear" w:color="auto" w:fill="auto"/>
          </w:tcPr>
          <w:p w14:paraId="4B9C3F11" w14:textId="2C5FAB4C" w:rsidR="00FE2BF3" w:rsidRDefault="00FE2BF3" w:rsidP="00043C52">
            <w:pPr>
              <w:jc w:val="center"/>
              <w:rPr>
                <w:rFonts w:ascii="Calibri" w:hAnsi="Calibri" w:cs="Calibri"/>
                <w:color w:val="000000"/>
                <w:sz w:val="16"/>
                <w:szCs w:val="16"/>
              </w:rPr>
            </w:pPr>
            <w:r>
              <w:rPr>
                <w:rFonts w:ascii="Calibri" w:hAnsi="Calibri" w:cs="Calibri"/>
                <w:b/>
                <w:bCs/>
                <w:color w:val="C65911"/>
                <w:sz w:val="16"/>
                <w:szCs w:val="16"/>
              </w:rPr>
              <w:t>Uncertain risk</w:t>
            </w:r>
          </w:p>
        </w:tc>
        <w:tc>
          <w:tcPr>
            <w:tcW w:w="1134" w:type="dxa"/>
            <w:tcBorders>
              <w:top w:val="nil"/>
              <w:left w:val="nil"/>
              <w:bottom w:val="single" w:sz="4" w:space="0" w:color="auto"/>
              <w:right w:val="nil"/>
            </w:tcBorders>
            <w:shd w:val="clear" w:color="auto" w:fill="auto"/>
          </w:tcPr>
          <w:p w14:paraId="442C58C0" w14:textId="6D3B528E" w:rsidR="00FE2BF3" w:rsidRDefault="00FE2BF3" w:rsidP="00043C52">
            <w:pPr>
              <w:jc w:val="center"/>
              <w:rPr>
                <w:rFonts w:ascii="Calibri" w:hAnsi="Calibri" w:cs="Calibri"/>
                <w:color w:val="000000"/>
                <w:sz w:val="16"/>
                <w:szCs w:val="16"/>
              </w:rPr>
            </w:pPr>
            <w:r>
              <w:rPr>
                <w:rFonts w:ascii="Calibri" w:hAnsi="Calibri" w:cs="Calibri"/>
                <w:b/>
                <w:bCs/>
                <w:color w:val="FF0000"/>
                <w:sz w:val="16"/>
                <w:szCs w:val="16"/>
              </w:rPr>
              <w:t>High risk</w:t>
            </w:r>
          </w:p>
        </w:tc>
        <w:tc>
          <w:tcPr>
            <w:tcW w:w="1275" w:type="dxa"/>
            <w:tcBorders>
              <w:top w:val="nil"/>
              <w:left w:val="nil"/>
              <w:bottom w:val="single" w:sz="4" w:space="0" w:color="auto"/>
              <w:right w:val="nil"/>
            </w:tcBorders>
            <w:shd w:val="clear" w:color="auto" w:fill="auto"/>
          </w:tcPr>
          <w:p w14:paraId="745594F7" w14:textId="17DB0A86"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76" w:type="dxa"/>
            <w:tcBorders>
              <w:top w:val="nil"/>
              <w:left w:val="nil"/>
              <w:bottom w:val="single" w:sz="4" w:space="0" w:color="auto"/>
              <w:right w:val="nil"/>
            </w:tcBorders>
            <w:shd w:val="clear" w:color="auto" w:fill="auto"/>
          </w:tcPr>
          <w:p w14:paraId="1240B20F" w14:textId="492F70C0" w:rsidR="00FE2BF3" w:rsidRDefault="00FE2BF3" w:rsidP="00043C52">
            <w:pPr>
              <w:jc w:val="center"/>
              <w:rPr>
                <w:rFonts w:ascii="Calibri" w:hAnsi="Calibri" w:cs="Calibri"/>
                <w:color w:val="000000"/>
                <w:sz w:val="16"/>
                <w:szCs w:val="16"/>
              </w:rPr>
            </w:pPr>
            <w:r>
              <w:rPr>
                <w:rFonts w:ascii="Calibri" w:hAnsi="Calibri" w:cs="Calibri"/>
                <w:b/>
                <w:bCs/>
                <w:color w:val="FF0000"/>
                <w:sz w:val="16"/>
                <w:szCs w:val="16"/>
              </w:rPr>
              <w:t>High risk</w:t>
            </w:r>
          </w:p>
        </w:tc>
        <w:tc>
          <w:tcPr>
            <w:tcW w:w="1134" w:type="dxa"/>
            <w:tcBorders>
              <w:top w:val="nil"/>
              <w:left w:val="nil"/>
              <w:bottom w:val="single" w:sz="4" w:space="0" w:color="auto"/>
              <w:right w:val="nil"/>
            </w:tcBorders>
            <w:shd w:val="clear" w:color="auto" w:fill="auto"/>
          </w:tcPr>
          <w:p w14:paraId="56FB9355" w14:textId="3C0546D3"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559" w:type="dxa"/>
            <w:tcBorders>
              <w:top w:val="nil"/>
              <w:left w:val="nil"/>
              <w:bottom w:val="single" w:sz="4" w:space="0" w:color="auto"/>
              <w:right w:val="nil"/>
            </w:tcBorders>
            <w:shd w:val="clear" w:color="auto" w:fill="auto"/>
          </w:tcPr>
          <w:p w14:paraId="0C501254" w14:textId="317AD4A9" w:rsidR="00FE2BF3" w:rsidRDefault="00FE2BF3" w:rsidP="00043C52">
            <w:pPr>
              <w:jc w:val="center"/>
              <w:rPr>
                <w:rFonts w:ascii="Calibri" w:hAnsi="Calibri" w:cs="Calibri"/>
                <w:color w:val="000000"/>
                <w:sz w:val="16"/>
                <w:szCs w:val="16"/>
              </w:rPr>
            </w:pPr>
            <w:r>
              <w:rPr>
                <w:rFonts w:ascii="Calibri" w:hAnsi="Calibri" w:cs="Calibri"/>
                <w:b/>
                <w:bCs/>
                <w:color w:val="C65911"/>
                <w:sz w:val="16"/>
                <w:szCs w:val="16"/>
              </w:rPr>
              <w:t>Uncertain risk</w:t>
            </w:r>
          </w:p>
        </w:tc>
        <w:tc>
          <w:tcPr>
            <w:tcW w:w="851" w:type="dxa"/>
            <w:tcBorders>
              <w:top w:val="nil"/>
              <w:left w:val="nil"/>
              <w:bottom w:val="single" w:sz="4" w:space="0" w:color="auto"/>
              <w:right w:val="nil"/>
            </w:tcBorders>
            <w:shd w:val="clear" w:color="auto" w:fill="auto"/>
          </w:tcPr>
          <w:p w14:paraId="76DBC9F3" w14:textId="503D2039" w:rsidR="00FE2BF3" w:rsidRDefault="00FE2BF3" w:rsidP="00043C52">
            <w:pPr>
              <w:jc w:val="center"/>
              <w:rPr>
                <w:rFonts w:ascii="Calibri" w:hAnsi="Calibri" w:cs="Calibri"/>
                <w:sz w:val="16"/>
                <w:szCs w:val="16"/>
              </w:rPr>
            </w:pPr>
            <w:r>
              <w:rPr>
                <w:rFonts w:ascii="Calibri" w:hAnsi="Calibri" w:cs="Calibri"/>
                <w:b/>
                <w:bCs/>
                <w:color w:val="FF0000"/>
                <w:sz w:val="16"/>
                <w:szCs w:val="16"/>
              </w:rPr>
              <w:t>High risk</w:t>
            </w:r>
          </w:p>
        </w:tc>
        <w:tc>
          <w:tcPr>
            <w:tcW w:w="1134" w:type="dxa"/>
            <w:tcBorders>
              <w:top w:val="nil"/>
              <w:left w:val="nil"/>
              <w:bottom w:val="single" w:sz="4" w:space="0" w:color="auto"/>
              <w:right w:val="nil"/>
            </w:tcBorders>
            <w:shd w:val="clear" w:color="auto" w:fill="auto"/>
          </w:tcPr>
          <w:p w14:paraId="68DF5A46" w14:textId="540A19D3" w:rsidR="00FE2BF3" w:rsidRDefault="00FE2BF3" w:rsidP="00043C52">
            <w:pPr>
              <w:jc w:val="center"/>
              <w:rPr>
                <w:rFonts w:ascii="Calibri" w:hAnsi="Calibri" w:cs="Calibri"/>
                <w:color w:val="000000"/>
                <w:sz w:val="16"/>
                <w:szCs w:val="16"/>
              </w:rPr>
            </w:pPr>
            <w:r>
              <w:rPr>
                <w:rFonts w:ascii="Calibri" w:hAnsi="Calibri" w:cs="Calibri"/>
                <w:b/>
                <w:bCs/>
                <w:color w:val="C65911"/>
                <w:sz w:val="16"/>
                <w:szCs w:val="16"/>
              </w:rPr>
              <w:t>Uncertain risk</w:t>
            </w:r>
          </w:p>
        </w:tc>
        <w:tc>
          <w:tcPr>
            <w:tcW w:w="1276" w:type="dxa"/>
            <w:tcBorders>
              <w:top w:val="nil"/>
              <w:left w:val="nil"/>
              <w:bottom w:val="single" w:sz="4" w:space="0" w:color="auto"/>
              <w:right w:val="nil"/>
            </w:tcBorders>
            <w:shd w:val="clear" w:color="auto" w:fill="auto"/>
          </w:tcPr>
          <w:p w14:paraId="5B9717F4" w14:textId="228D9BCE" w:rsidR="00FE2BF3" w:rsidRDefault="00FE2BF3" w:rsidP="00043C52">
            <w:pPr>
              <w:jc w:val="center"/>
              <w:rPr>
                <w:rFonts w:ascii="Calibri" w:hAnsi="Calibri" w:cs="Calibri"/>
                <w:sz w:val="16"/>
                <w:szCs w:val="16"/>
              </w:rPr>
            </w:pPr>
            <w:r>
              <w:rPr>
                <w:rFonts w:ascii="Calibri" w:hAnsi="Calibri" w:cs="Calibri"/>
                <w:b/>
                <w:bCs/>
                <w:color w:val="C65911"/>
                <w:sz w:val="16"/>
                <w:szCs w:val="16"/>
              </w:rPr>
              <w:t>Uncertain risk</w:t>
            </w:r>
          </w:p>
        </w:tc>
        <w:tc>
          <w:tcPr>
            <w:tcW w:w="1134" w:type="dxa"/>
            <w:tcBorders>
              <w:top w:val="nil"/>
              <w:left w:val="nil"/>
              <w:bottom w:val="single" w:sz="4" w:space="0" w:color="auto"/>
              <w:right w:val="nil"/>
            </w:tcBorders>
            <w:shd w:val="clear" w:color="auto" w:fill="auto"/>
          </w:tcPr>
          <w:p w14:paraId="4E7ED464" w14:textId="2D9EF3BF" w:rsidR="00FE2BF3" w:rsidRDefault="00FE2BF3" w:rsidP="00043C52">
            <w:pPr>
              <w:jc w:val="center"/>
              <w:rPr>
                <w:rFonts w:ascii="Calibri" w:hAnsi="Calibri" w:cs="Calibri"/>
                <w:sz w:val="16"/>
                <w:szCs w:val="16"/>
              </w:rPr>
            </w:pPr>
            <w:r>
              <w:rPr>
                <w:rFonts w:ascii="Calibri" w:hAnsi="Calibri" w:cs="Calibri"/>
                <w:b/>
                <w:bCs/>
                <w:color w:val="FF0000"/>
                <w:sz w:val="16"/>
                <w:szCs w:val="16"/>
              </w:rPr>
              <w:t>High risk</w:t>
            </w:r>
          </w:p>
        </w:tc>
        <w:tc>
          <w:tcPr>
            <w:tcW w:w="1280" w:type="dxa"/>
            <w:tcBorders>
              <w:top w:val="nil"/>
              <w:left w:val="nil"/>
              <w:bottom w:val="single" w:sz="4" w:space="0" w:color="auto"/>
              <w:right w:val="nil"/>
            </w:tcBorders>
            <w:shd w:val="clear" w:color="auto" w:fill="auto"/>
          </w:tcPr>
          <w:p w14:paraId="72A6D79E" w14:textId="45F9ABEC" w:rsidR="00FE2BF3" w:rsidRDefault="00FE2BF3" w:rsidP="00043C52">
            <w:pPr>
              <w:jc w:val="center"/>
              <w:rPr>
                <w:rFonts w:ascii="Calibri" w:hAnsi="Calibri" w:cs="Calibri"/>
                <w:sz w:val="16"/>
                <w:szCs w:val="16"/>
              </w:rPr>
            </w:pPr>
            <w:r>
              <w:rPr>
                <w:rFonts w:ascii="Calibri" w:hAnsi="Calibri" w:cs="Calibri"/>
                <w:b/>
                <w:bCs/>
                <w:color w:val="000000"/>
                <w:sz w:val="16"/>
                <w:szCs w:val="16"/>
              </w:rPr>
              <w:t>Low risk</w:t>
            </w:r>
          </w:p>
        </w:tc>
      </w:tr>
      <w:tr w:rsidR="00FE2BF3" w:rsidRPr="001B7B27" w14:paraId="26E094FA" w14:textId="77777777" w:rsidTr="00FE2BF3">
        <w:trPr>
          <w:trHeight w:val="79"/>
        </w:trPr>
        <w:tc>
          <w:tcPr>
            <w:tcW w:w="707" w:type="dxa"/>
            <w:vMerge/>
            <w:tcBorders>
              <w:left w:val="nil"/>
              <w:bottom w:val="single" w:sz="4" w:space="0" w:color="auto"/>
              <w:right w:val="nil"/>
            </w:tcBorders>
            <w:shd w:val="clear" w:color="auto" w:fill="auto"/>
          </w:tcPr>
          <w:p w14:paraId="7E83093C" w14:textId="77777777" w:rsidR="00FE2BF3" w:rsidRPr="001B7B27" w:rsidRDefault="00FE2BF3" w:rsidP="00FE2BF3">
            <w:pPr>
              <w:rPr>
                <w:rFonts w:ascii="Calibri" w:hAnsi="Calibri" w:cs="Calibri"/>
                <w:color w:val="000000"/>
                <w:sz w:val="16"/>
                <w:szCs w:val="16"/>
              </w:rPr>
            </w:pPr>
          </w:p>
        </w:tc>
        <w:tc>
          <w:tcPr>
            <w:tcW w:w="1274" w:type="dxa"/>
            <w:tcBorders>
              <w:top w:val="nil"/>
              <w:left w:val="nil"/>
              <w:bottom w:val="single" w:sz="4" w:space="0" w:color="auto"/>
              <w:right w:val="nil"/>
            </w:tcBorders>
            <w:shd w:val="clear" w:color="auto" w:fill="auto"/>
          </w:tcPr>
          <w:p w14:paraId="04063E6F" w14:textId="19E52604" w:rsidR="00FE2BF3" w:rsidRDefault="00FE2BF3" w:rsidP="00FE2BF3">
            <w:pPr>
              <w:rPr>
                <w:rFonts w:ascii="Calibri" w:hAnsi="Calibri" w:cs="Calibri"/>
                <w:color w:val="000000"/>
                <w:sz w:val="16"/>
                <w:szCs w:val="16"/>
              </w:rPr>
            </w:pPr>
            <w:r>
              <w:rPr>
                <w:rFonts w:ascii="Calibri" w:hAnsi="Calibri" w:cs="Calibri"/>
                <w:sz w:val="16"/>
                <w:szCs w:val="16"/>
              </w:rPr>
              <w:t xml:space="preserve">The study retrospectively evaluated the locoregional control, survival and toxicity outcomes of multi-modality treatment combining less aggressive surgery and </w:t>
            </w:r>
            <w:r w:rsidR="00691248">
              <w:rPr>
                <w:rFonts w:ascii="Calibri" w:hAnsi="Calibri" w:cs="Calibri"/>
                <w:sz w:val="16"/>
                <w:szCs w:val="16"/>
              </w:rPr>
              <w:t>POIRT</w:t>
            </w:r>
            <w:r>
              <w:rPr>
                <w:rFonts w:ascii="Calibri" w:hAnsi="Calibri" w:cs="Calibri"/>
                <w:sz w:val="16"/>
                <w:szCs w:val="16"/>
              </w:rPr>
              <w:t xml:space="preserve"> ± EBRT and ChT for </w:t>
            </w:r>
            <w:r>
              <w:rPr>
                <w:rFonts w:ascii="Calibri" w:hAnsi="Calibri" w:cs="Calibri"/>
                <w:sz w:val="16"/>
                <w:szCs w:val="16"/>
              </w:rPr>
              <w:lastRenderedPageBreak/>
              <w:t>nonmetastatic SNCs.</w:t>
            </w:r>
          </w:p>
        </w:tc>
        <w:tc>
          <w:tcPr>
            <w:tcW w:w="1280" w:type="dxa"/>
            <w:tcBorders>
              <w:top w:val="nil"/>
              <w:left w:val="nil"/>
              <w:bottom w:val="single" w:sz="4" w:space="0" w:color="auto"/>
              <w:right w:val="nil"/>
            </w:tcBorders>
            <w:shd w:val="clear" w:color="auto" w:fill="auto"/>
          </w:tcPr>
          <w:p w14:paraId="7E95D0B5" w14:textId="43BED436" w:rsidR="00FE2BF3" w:rsidRDefault="00FE2BF3" w:rsidP="00FE2BF3">
            <w:pPr>
              <w:rPr>
                <w:rFonts w:ascii="Calibri" w:hAnsi="Calibri" w:cs="Calibri"/>
                <w:color w:val="000000"/>
                <w:sz w:val="16"/>
                <w:szCs w:val="16"/>
              </w:rPr>
            </w:pPr>
            <w:r>
              <w:rPr>
                <w:rFonts w:ascii="Calibri" w:hAnsi="Calibri" w:cs="Calibri"/>
                <w:color w:val="000000"/>
                <w:sz w:val="16"/>
                <w:szCs w:val="16"/>
              </w:rPr>
              <w:lastRenderedPageBreak/>
              <w:t xml:space="preserve">Between January 2006 and January 2013,  35 patients with SNCs were treated with less aggressive surgery and </w:t>
            </w:r>
            <w:r w:rsidR="00691248">
              <w:rPr>
                <w:rFonts w:ascii="Calibri" w:hAnsi="Calibri" w:cs="Calibri"/>
                <w:color w:val="000000"/>
                <w:sz w:val="16"/>
                <w:szCs w:val="16"/>
              </w:rPr>
              <w:t>POIRT</w:t>
            </w:r>
            <w:r>
              <w:rPr>
                <w:rFonts w:ascii="Calibri" w:hAnsi="Calibri" w:cs="Calibri"/>
                <w:color w:val="000000"/>
                <w:sz w:val="16"/>
                <w:szCs w:val="16"/>
              </w:rPr>
              <w:t xml:space="preserve"> ± EBRT and ChT. Thirteen had recurrent disease; it was not specified how many of these had prior irradiation.</w:t>
            </w:r>
          </w:p>
        </w:tc>
        <w:tc>
          <w:tcPr>
            <w:tcW w:w="1134" w:type="dxa"/>
            <w:tcBorders>
              <w:top w:val="nil"/>
              <w:left w:val="nil"/>
              <w:bottom w:val="single" w:sz="4" w:space="0" w:color="auto"/>
              <w:right w:val="nil"/>
            </w:tcBorders>
            <w:shd w:val="clear" w:color="auto" w:fill="auto"/>
          </w:tcPr>
          <w:p w14:paraId="5474AC49" w14:textId="4D0EF8B8" w:rsidR="00FE2BF3" w:rsidRDefault="00FE2BF3" w:rsidP="00FE2BF3">
            <w:pPr>
              <w:rPr>
                <w:rFonts w:ascii="Calibri" w:hAnsi="Calibri" w:cs="Calibri"/>
                <w:color w:val="000000"/>
                <w:sz w:val="16"/>
                <w:szCs w:val="16"/>
              </w:rPr>
            </w:pPr>
            <w:r>
              <w:rPr>
                <w:rFonts w:ascii="Calibri" w:hAnsi="Calibri" w:cs="Calibri"/>
                <w:color w:val="000000"/>
                <w:sz w:val="16"/>
                <w:szCs w:val="16"/>
              </w:rPr>
              <w:t>The surgery and BRT protocols were described adequately.</w:t>
            </w:r>
            <w:r>
              <w:rPr>
                <w:rFonts w:ascii="Calibri" w:hAnsi="Calibri" w:cs="Calibri"/>
                <w:color w:val="000000"/>
                <w:sz w:val="16"/>
                <w:szCs w:val="16"/>
              </w:rPr>
              <w:br/>
            </w:r>
            <w:r>
              <w:rPr>
                <w:rFonts w:ascii="Calibri" w:hAnsi="Calibri" w:cs="Calibri"/>
                <w:color w:val="000000"/>
                <w:sz w:val="16"/>
                <w:szCs w:val="16"/>
              </w:rPr>
              <w:br/>
              <w:t xml:space="preserve">The extent of surgery was highly individualized, with aims of maximal resection with function preservation, </w:t>
            </w:r>
            <w:r>
              <w:rPr>
                <w:rFonts w:ascii="Calibri" w:hAnsi="Calibri" w:cs="Calibri"/>
                <w:color w:val="000000"/>
                <w:sz w:val="16"/>
                <w:szCs w:val="16"/>
              </w:rPr>
              <w:lastRenderedPageBreak/>
              <w:t>and reconstruction as necessary.</w:t>
            </w:r>
            <w:r>
              <w:rPr>
                <w:rFonts w:ascii="Calibri" w:hAnsi="Calibri" w:cs="Calibri"/>
                <w:color w:val="000000"/>
                <w:sz w:val="16"/>
                <w:szCs w:val="16"/>
              </w:rPr>
              <w:br/>
            </w:r>
            <w:r>
              <w:rPr>
                <w:rFonts w:ascii="Calibri" w:hAnsi="Calibri" w:cs="Calibri"/>
                <w:color w:val="000000"/>
                <w:sz w:val="16"/>
                <w:szCs w:val="16"/>
              </w:rPr>
              <w:br/>
              <w:t xml:space="preserve">The EBRT, the use of ChT, and the sequence and combination of surgery + </w:t>
            </w:r>
            <w:r w:rsidR="00691248">
              <w:rPr>
                <w:rFonts w:ascii="Calibri" w:hAnsi="Calibri" w:cs="Calibri"/>
                <w:color w:val="000000"/>
                <w:sz w:val="16"/>
                <w:szCs w:val="16"/>
              </w:rPr>
              <w:t>POIRT</w:t>
            </w:r>
            <w:r>
              <w:rPr>
                <w:rFonts w:ascii="Calibri" w:hAnsi="Calibri" w:cs="Calibri"/>
                <w:color w:val="000000"/>
                <w:sz w:val="16"/>
                <w:szCs w:val="16"/>
              </w:rPr>
              <w:t>, EBRT, and ChT, were also highly individualized.</w:t>
            </w:r>
          </w:p>
        </w:tc>
        <w:tc>
          <w:tcPr>
            <w:tcW w:w="1275" w:type="dxa"/>
            <w:tcBorders>
              <w:top w:val="nil"/>
              <w:left w:val="nil"/>
              <w:bottom w:val="single" w:sz="4" w:space="0" w:color="auto"/>
              <w:right w:val="nil"/>
            </w:tcBorders>
            <w:shd w:val="clear" w:color="auto" w:fill="auto"/>
          </w:tcPr>
          <w:p w14:paraId="1B02422A" w14:textId="4D8D9720" w:rsidR="00FE2BF3" w:rsidRDefault="00FE2BF3" w:rsidP="00FE2BF3">
            <w:pPr>
              <w:rPr>
                <w:rFonts w:ascii="Calibri" w:hAnsi="Calibri" w:cs="Calibri"/>
                <w:color w:val="000000"/>
                <w:sz w:val="16"/>
                <w:szCs w:val="16"/>
              </w:rPr>
            </w:pPr>
            <w:r>
              <w:rPr>
                <w:rFonts w:ascii="Calibri" w:hAnsi="Calibri" w:cs="Calibri"/>
                <w:color w:val="000000"/>
                <w:sz w:val="16"/>
                <w:szCs w:val="16"/>
              </w:rPr>
              <w:lastRenderedPageBreak/>
              <w:t xml:space="preserve">Survival events were per standard definitions. </w:t>
            </w:r>
            <w:r>
              <w:rPr>
                <w:rFonts w:ascii="Calibri" w:hAnsi="Calibri" w:cs="Calibri"/>
                <w:color w:val="000000"/>
                <w:sz w:val="16"/>
                <w:szCs w:val="16"/>
              </w:rPr>
              <w:br/>
            </w:r>
            <w:r>
              <w:rPr>
                <w:rFonts w:ascii="Calibri" w:hAnsi="Calibri" w:cs="Calibri"/>
                <w:color w:val="000000"/>
                <w:sz w:val="16"/>
                <w:szCs w:val="16"/>
              </w:rPr>
              <w:br/>
              <w:t>Toxicity was evaluated per standard criteria (CTCAE).</w:t>
            </w:r>
            <w:r>
              <w:rPr>
                <w:rFonts w:ascii="Calibri" w:hAnsi="Calibri" w:cs="Calibri"/>
                <w:color w:val="000000"/>
                <w:sz w:val="16"/>
                <w:szCs w:val="16"/>
              </w:rPr>
              <w:br/>
            </w:r>
            <w:r>
              <w:rPr>
                <w:rFonts w:ascii="Calibri" w:hAnsi="Calibri" w:cs="Calibri"/>
                <w:color w:val="000000"/>
                <w:sz w:val="16"/>
                <w:szCs w:val="16"/>
              </w:rPr>
              <w:br/>
              <w:t xml:space="preserve">The Kaplan-Meier method was used in the survival analyses. </w:t>
            </w:r>
          </w:p>
        </w:tc>
        <w:tc>
          <w:tcPr>
            <w:tcW w:w="1276" w:type="dxa"/>
            <w:tcBorders>
              <w:top w:val="nil"/>
              <w:left w:val="nil"/>
              <w:bottom w:val="single" w:sz="4" w:space="0" w:color="auto"/>
              <w:right w:val="nil"/>
            </w:tcBorders>
            <w:shd w:val="clear" w:color="auto" w:fill="auto"/>
          </w:tcPr>
          <w:p w14:paraId="40B11056" w14:textId="4BEB8F00" w:rsidR="00FE2BF3" w:rsidRDefault="00FE2BF3" w:rsidP="00FE2BF3">
            <w:pPr>
              <w:rPr>
                <w:rFonts w:ascii="Calibri" w:hAnsi="Calibri" w:cs="Calibri"/>
                <w:color w:val="000000"/>
                <w:sz w:val="16"/>
                <w:szCs w:val="16"/>
              </w:rPr>
            </w:pPr>
            <w:r>
              <w:rPr>
                <w:rFonts w:ascii="Calibri" w:hAnsi="Calibri" w:cs="Calibri"/>
                <w:color w:val="000000"/>
                <w:sz w:val="16"/>
                <w:szCs w:val="16"/>
              </w:rPr>
              <w:t>Time to recurrence and time to reirradiation, which are important factors to disease control and toxicity outcomes, were not discussed.</w:t>
            </w:r>
            <w:r>
              <w:rPr>
                <w:rFonts w:ascii="Calibri" w:hAnsi="Calibri" w:cs="Calibri"/>
                <w:color w:val="000000"/>
                <w:sz w:val="16"/>
                <w:szCs w:val="16"/>
              </w:rPr>
              <w:br/>
            </w:r>
            <w:r>
              <w:rPr>
                <w:rFonts w:ascii="Calibri" w:hAnsi="Calibri" w:cs="Calibri"/>
                <w:color w:val="000000"/>
                <w:sz w:val="16"/>
                <w:szCs w:val="16"/>
              </w:rPr>
              <w:br/>
              <w:t xml:space="preserve">Different </w:t>
            </w:r>
            <w:proofErr w:type="spellStart"/>
            <w:r>
              <w:rPr>
                <w:rFonts w:ascii="Calibri" w:hAnsi="Calibri" w:cs="Calibri"/>
                <w:color w:val="000000"/>
                <w:sz w:val="16"/>
                <w:szCs w:val="16"/>
              </w:rPr>
              <w:t>histologes</w:t>
            </w:r>
            <w:proofErr w:type="spellEnd"/>
            <w:r>
              <w:rPr>
                <w:rFonts w:ascii="Calibri" w:hAnsi="Calibri" w:cs="Calibri"/>
                <w:color w:val="000000"/>
                <w:sz w:val="16"/>
                <w:szCs w:val="16"/>
              </w:rPr>
              <w:t xml:space="preserve"> were allowed, for which prognoses </w:t>
            </w:r>
            <w:r>
              <w:rPr>
                <w:rFonts w:ascii="Calibri" w:hAnsi="Calibri" w:cs="Calibri"/>
                <w:color w:val="000000"/>
                <w:sz w:val="16"/>
                <w:szCs w:val="16"/>
              </w:rPr>
              <w:lastRenderedPageBreak/>
              <w:t>in terms of disease control and survival differ.</w:t>
            </w:r>
            <w:r>
              <w:rPr>
                <w:rFonts w:ascii="Calibri" w:hAnsi="Calibri" w:cs="Calibri"/>
                <w:color w:val="000000"/>
                <w:sz w:val="16"/>
                <w:szCs w:val="16"/>
              </w:rPr>
              <w:br/>
            </w:r>
            <w:r>
              <w:rPr>
                <w:rFonts w:ascii="Calibri" w:hAnsi="Calibri" w:cs="Calibri"/>
                <w:color w:val="000000"/>
                <w:sz w:val="16"/>
                <w:szCs w:val="16"/>
              </w:rPr>
              <w:br/>
              <w:t>Co-interventions - ChT, EBRT - were allowed, on an individualized basis.</w:t>
            </w:r>
          </w:p>
        </w:tc>
        <w:tc>
          <w:tcPr>
            <w:tcW w:w="1134" w:type="dxa"/>
            <w:tcBorders>
              <w:top w:val="nil"/>
              <w:left w:val="nil"/>
              <w:bottom w:val="single" w:sz="4" w:space="0" w:color="auto"/>
              <w:right w:val="nil"/>
            </w:tcBorders>
            <w:shd w:val="clear" w:color="auto" w:fill="auto"/>
          </w:tcPr>
          <w:p w14:paraId="63CC8D3B" w14:textId="26D9CDD1" w:rsidR="00FE2BF3" w:rsidRDefault="00FE2BF3" w:rsidP="00FE2BF3">
            <w:pPr>
              <w:rPr>
                <w:rFonts w:ascii="Calibri" w:hAnsi="Calibri" w:cs="Calibri"/>
                <w:color w:val="000000"/>
                <w:sz w:val="16"/>
                <w:szCs w:val="16"/>
              </w:rPr>
            </w:pPr>
            <w:r>
              <w:rPr>
                <w:rFonts w:ascii="Calibri" w:hAnsi="Calibri" w:cs="Calibri"/>
                <w:color w:val="000000"/>
                <w:sz w:val="16"/>
                <w:szCs w:val="16"/>
              </w:rPr>
              <w:lastRenderedPageBreak/>
              <w:t>The FU schedule and modalities were described adequately. the median FU length (28 months) was adequate for the reported outcome measures. All patients were accounted for.</w:t>
            </w:r>
          </w:p>
        </w:tc>
        <w:tc>
          <w:tcPr>
            <w:tcW w:w="1559" w:type="dxa"/>
            <w:tcBorders>
              <w:top w:val="nil"/>
              <w:left w:val="nil"/>
              <w:bottom w:val="single" w:sz="4" w:space="0" w:color="auto"/>
              <w:right w:val="nil"/>
            </w:tcBorders>
            <w:shd w:val="clear" w:color="auto" w:fill="auto"/>
          </w:tcPr>
          <w:p w14:paraId="3952F00B" w14:textId="0CB98419" w:rsidR="00FE2BF3" w:rsidRDefault="00FE2BF3" w:rsidP="00FE2BF3">
            <w:pPr>
              <w:rPr>
                <w:rFonts w:ascii="Calibri" w:hAnsi="Calibri" w:cs="Calibri"/>
                <w:color w:val="000000"/>
                <w:sz w:val="16"/>
                <w:szCs w:val="16"/>
              </w:rPr>
            </w:pPr>
            <w:r>
              <w:rPr>
                <w:rFonts w:ascii="Calibri" w:hAnsi="Calibri" w:cs="Calibri"/>
                <w:color w:val="000000"/>
                <w:sz w:val="16"/>
                <w:szCs w:val="16"/>
              </w:rPr>
              <w:t>The 3y LC and DFS rates of 30% and 34%, respectively, are acceptable for a cohort of recurrent HNCs.</w:t>
            </w:r>
            <w:r>
              <w:rPr>
                <w:rFonts w:ascii="Calibri" w:hAnsi="Calibri" w:cs="Calibri"/>
                <w:color w:val="000000"/>
                <w:sz w:val="16"/>
                <w:szCs w:val="16"/>
              </w:rPr>
              <w:br/>
            </w:r>
            <w:r>
              <w:rPr>
                <w:rFonts w:ascii="Calibri" w:hAnsi="Calibri" w:cs="Calibri"/>
                <w:color w:val="000000"/>
                <w:sz w:val="16"/>
                <w:szCs w:val="16"/>
              </w:rPr>
              <w:br/>
              <w:t>Separate toxicity rates were not reported for the recurrent group.</w:t>
            </w:r>
          </w:p>
        </w:tc>
        <w:tc>
          <w:tcPr>
            <w:tcW w:w="851" w:type="dxa"/>
            <w:tcBorders>
              <w:top w:val="nil"/>
              <w:left w:val="nil"/>
              <w:bottom w:val="single" w:sz="4" w:space="0" w:color="auto"/>
              <w:right w:val="nil"/>
            </w:tcBorders>
            <w:shd w:val="clear" w:color="auto" w:fill="auto"/>
          </w:tcPr>
          <w:p w14:paraId="3DCFA725" w14:textId="440D7D43" w:rsidR="00FE2BF3" w:rsidRDefault="00FE2BF3" w:rsidP="00FE2BF3">
            <w:pPr>
              <w:rPr>
                <w:rFonts w:ascii="Calibri" w:hAnsi="Calibri" w:cs="Calibri"/>
                <w:sz w:val="16"/>
                <w:szCs w:val="16"/>
              </w:rPr>
            </w:pPr>
            <w:r>
              <w:rPr>
                <w:rFonts w:ascii="Calibri" w:hAnsi="Calibri" w:cs="Calibri"/>
                <w:sz w:val="16"/>
                <w:szCs w:val="16"/>
              </w:rPr>
              <w:t xml:space="preserve">CIs were not reported. </w:t>
            </w:r>
            <w:r>
              <w:rPr>
                <w:rFonts w:ascii="Calibri" w:hAnsi="Calibri" w:cs="Calibri"/>
                <w:sz w:val="16"/>
                <w:szCs w:val="16"/>
              </w:rPr>
              <w:br/>
            </w:r>
            <w:r>
              <w:rPr>
                <w:rFonts w:ascii="Calibri" w:hAnsi="Calibri" w:cs="Calibri"/>
                <w:sz w:val="16"/>
                <w:szCs w:val="16"/>
              </w:rPr>
              <w:br/>
              <w:t>The sample size (n=13) allows for estimates with low precision.</w:t>
            </w:r>
          </w:p>
        </w:tc>
        <w:tc>
          <w:tcPr>
            <w:tcW w:w="1134" w:type="dxa"/>
            <w:tcBorders>
              <w:top w:val="nil"/>
              <w:left w:val="nil"/>
              <w:bottom w:val="single" w:sz="4" w:space="0" w:color="auto"/>
              <w:right w:val="nil"/>
            </w:tcBorders>
            <w:shd w:val="clear" w:color="auto" w:fill="auto"/>
          </w:tcPr>
          <w:p w14:paraId="624C056A" w14:textId="548B466F" w:rsidR="00FE2BF3" w:rsidRDefault="00FE2BF3" w:rsidP="00FE2BF3">
            <w:pPr>
              <w:rPr>
                <w:rFonts w:ascii="Calibri" w:hAnsi="Calibri" w:cs="Calibri"/>
                <w:color w:val="000000"/>
                <w:sz w:val="16"/>
                <w:szCs w:val="16"/>
              </w:rPr>
            </w:pPr>
            <w:r>
              <w:rPr>
                <w:rFonts w:ascii="Calibri" w:hAnsi="Calibri" w:cs="Calibri"/>
                <w:sz w:val="16"/>
                <w:szCs w:val="16"/>
              </w:rPr>
              <w:t>The 3y LC and DFS rates are consistent with other series included in this review (</w:t>
            </w:r>
            <w:proofErr w:type="spellStart"/>
            <w:r>
              <w:rPr>
                <w:rFonts w:ascii="Calibri" w:hAnsi="Calibri" w:cs="Calibri"/>
                <w:sz w:val="16"/>
                <w:szCs w:val="16"/>
              </w:rPr>
              <w:t>Bussu</w:t>
            </w:r>
            <w:proofErr w:type="spellEnd"/>
            <w:r>
              <w:rPr>
                <w:rFonts w:ascii="Calibri" w:hAnsi="Calibri" w:cs="Calibri"/>
                <w:sz w:val="16"/>
                <w:szCs w:val="16"/>
              </w:rPr>
              <w:t xml:space="preserve">, 2024). </w:t>
            </w:r>
            <w:r>
              <w:rPr>
                <w:rFonts w:ascii="Calibri" w:hAnsi="Calibri" w:cs="Calibri"/>
                <w:sz w:val="16"/>
                <w:szCs w:val="16"/>
              </w:rPr>
              <w:br/>
            </w:r>
            <w:r>
              <w:rPr>
                <w:rFonts w:ascii="Calibri" w:hAnsi="Calibri" w:cs="Calibri"/>
                <w:sz w:val="16"/>
                <w:szCs w:val="16"/>
              </w:rPr>
              <w:br/>
              <w:t>Separate toxicity rates were not reported for the recurrent group.</w:t>
            </w:r>
          </w:p>
        </w:tc>
        <w:tc>
          <w:tcPr>
            <w:tcW w:w="1276" w:type="dxa"/>
            <w:tcBorders>
              <w:top w:val="nil"/>
              <w:left w:val="nil"/>
              <w:bottom w:val="single" w:sz="4" w:space="0" w:color="auto"/>
              <w:right w:val="nil"/>
            </w:tcBorders>
            <w:shd w:val="clear" w:color="auto" w:fill="auto"/>
          </w:tcPr>
          <w:p w14:paraId="19789E95" w14:textId="7E19FB05" w:rsidR="00FE2BF3" w:rsidRDefault="00FE2BF3" w:rsidP="00FE2BF3">
            <w:pPr>
              <w:rPr>
                <w:rFonts w:ascii="Calibri" w:hAnsi="Calibri" w:cs="Calibri"/>
                <w:sz w:val="16"/>
                <w:szCs w:val="16"/>
              </w:rPr>
            </w:pPr>
            <w:r>
              <w:rPr>
                <w:rFonts w:ascii="Calibri" w:hAnsi="Calibri" w:cs="Calibri"/>
                <w:sz w:val="16"/>
                <w:szCs w:val="16"/>
              </w:rPr>
              <w:t xml:space="preserve">The results are compatible with the notion that adjuvant reirradiation limited to the tumor bed volume after wide resection for recurrent HNC after prior irradiation may afford acceptable disease control and survival </w:t>
            </w:r>
            <w:r>
              <w:rPr>
                <w:rFonts w:ascii="Calibri" w:hAnsi="Calibri" w:cs="Calibri"/>
                <w:sz w:val="16"/>
                <w:szCs w:val="16"/>
              </w:rPr>
              <w:lastRenderedPageBreak/>
              <w:t>rates.</w:t>
            </w:r>
            <w:r>
              <w:rPr>
                <w:rFonts w:ascii="Calibri" w:hAnsi="Calibri" w:cs="Calibri"/>
                <w:sz w:val="16"/>
                <w:szCs w:val="16"/>
              </w:rPr>
              <w:br/>
            </w:r>
            <w:r>
              <w:rPr>
                <w:rFonts w:ascii="Calibri" w:hAnsi="Calibri" w:cs="Calibri"/>
                <w:sz w:val="16"/>
                <w:szCs w:val="16"/>
              </w:rPr>
              <w:br/>
              <w:t>Separate toxicity rates were not reported for the recurrent group.</w:t>
            </w:r>
          </w:p>
        </w:tc>
        <w:tc>
          <w:tcPr>
            <w:tcW w:w="1134" w:type="dxa"/>
            <w:tcBorders>
              <w:top w:val="nil"/>
              <w:left w:val="nil"/>
              <w:bottom w:val="single" w:sz="4" w:space="0" w:color="auto"/>
              <w:right w:val="nil"/>
            </w:tcBorders>
            <w:shd w:val="clear" w:color="auto" w:fill="auto"/>
          </w:tcPr>
          <w:p w14:paraId="2FD0B173" w14:textId="0E6962BE" w:rsidR="00FE2BF3" w:rsidRDefault="00FE2BF3" w:rsidP="00FE2BF3">
            <w:pPr>
              <w:rPr>
                <w:rFonts w:ascii="Calibri" w:hAnsi="Calibri" w:cs="Calibri"/>
                <w:color w:val="000000"/>
                <w:sz w:val="16"/>
                <w:szCs w:val="16"/>
              </w:rPr>
            </w:pPr>
            <w:r>
              <w:rPr>
                <w:rFonts w:ascii="Calibri" w:hAnsi="Calibri" w:cs="Calibri"/>
                <w:color w:val="000000"/>
                <w:sz w:val="16"/>
                <w:szCs w:val="16"/>
              </w:rPr>
              <w:lastRenderedPageBreak/>
              <w:t>The extent of surgery was highly individualized, with aims of maximal resection with function preservation, and reconstruction as necessary.</w:t>
            </w:r>
            <w:r>
              <w:rPr>
                <w:rFonts w:ascii="Calibri" w:hAnsi="Calibri" w:cs="Calibri"/>
                <w:color w:val="000000"/>
                <w:sz w:val="16"/>
                <w:szCs w:val="16"/>
              </w:rPr>
              <w:br/>
            </w:r>
            <w:r>
              <w:rPr>
                <w:rFonts w:ascii="Calibri" w:hAnsi="Calibri" w:cs="Calibri"/>
                <w:color w:val="000000"/>
                <w:sz w:val="16"/>
                <w:szCs w:val="16"/>
              </w:rPr>
              <w:br/>
              <w:t xml:space="preserve">The EBRT, the use of ChT, and </w:t>
            </w:r>
            <w:r>
              <w:rPr>
                <w:rFonts w:ascii="Calibri" w:hAnsi="Calibri" w:cs="Calibri"/>
                <w:color w:val="000000"/>
                <w:sz w:val="16"/>
                <w:szCs w:val="16"/>
              </w:rPr>
              <w:lastRenderedPageBreak/>
              <w:t xml:space="preserve">the sequence and combination of surgery + </w:t>
            </w:r>
            <w:r w:rsidR="00691248">
              <w:rPr>
                <w:rFonts w:ascii="Calibri" w:hAnsi="Calibri" w:cs="Calibri"/>
                <w:color w:val="000000"/>
                <w:sz w:val="16"/>
                <w:szCs w:val="16"/>
              </w:rPr>
              <w:t>POIRT</w:t>
            </w:r>
            <w:r>
              <w:rPr>
                <w:rFonts w:ascii="Calibri" w:hAnsi="Calibri" w:cs="Calibri"/>
                <w:color w:val="000000"/>
                <w:sz w:val="16"/>
                <w:szCs w:val="16"/>
              </w:rPr>
              <w:t>, EBRT, and ChT, were also highly individualized.</w:t>
            </w:r>
            <w:r>
              <w:rPr>
                <w:rFonts w:ascii="Calibri" w:hAnsi="Calibri" w:cs="Calibri"/>
                <w:color w:val="000000"/>
                <w:sz w:val="16"/>
                <w:szCs w:val="16"/>
              </w:rPr>
              <w:br/>
            </w:r>
            <w:r>
              <w:rPr>
                <w:rFonts w:ascii="Calibri" w:hAnsi="Calibri" w:cs="Calibri"/>
                <w:color w:val="000000"/>
                <w:sz w:val="16"/>
                <w:szCs w:val="16"/>
              </w:rPr>
              <w:br/>
              <w:t>All the above may require a highly specialized team to replicate.</w:t>
            </w:r>
          </w:p>
          <w:p w14:paraId="43688342" w14:textId="45BFE1D5" w:rsidR="00FE2BF3" w:rsidRDefault="00FE2BF3" w:rsidP="00FE2BF3">
            <w:pPr>
              <w:rPr>
                <w:rFonts w:ascii="Calibri" w:hAnsi="Calibri" w:cs="Calibri"/>
                <w:sz w:val="16"/>
                <w:szCs w:val="16"/>
              </w:rPr>
            </w:pPr>
          </w:p>
        </w:tc>
        <w:tc>
          <w:tcPr>
            <w:tcW w:w="1280" w:type="dxa"/>
            <w:tcBorders>
              <w:top w:val="nil"/>
              <w:left w:val="nil"/>
              <w:bottom w:val="single" w:sz="4" w:space="0" w:color="auto"/>
              <w:right w:val="nil"/>
            </w:tcBorders>
            <w:shd w:val="clear" w:color="auto" w:fill="auto"/>
          </w:tcPr>
          <w:p w14:paraId="1B805F9C" w14:textId="5111158B" w:rsidR="00FE2BF3" w:rsidRDefault="00FE2BF3" w:rsidP="00FE2BF3">
            <w:pPr>
              <w:rPr>
                <w:rFonts w:ascii="Calibri" w:hAnsi="Calibri" w:cs="Calibri"/>
                <w:sz w:val="16"/>
                <w:szCs w:val="16"/>
              </w:rPr>
            </w:pPr>
            <w:r>
              <w:rPr>
                <w:rFonts w:ascii="Calibri" w:hAnsi="Calibri" w:cs="Calibri"/>
                <w:color w:val="000000"/>
                <w:sz w:val="16"/>
                <w:szCs w:val="16"/>
              </w:rPr>
              <w:lastRenderedPageBreak/>
              <w:t xml:space="preserve">The study provides retrospective data on medium-term disease control, survival and toxicity rates with </w:t>
            </w:r>
            <w:r w:rsidR="00691248">
              <w:rPr>
                <w:rFonts w:ascii="Calibri" w:hAnsi="Calibri" w:cs="Calibri"/>
                <w:color w:val="000000"/>
                <w:sz w:val="16"/>
                <w:szCs w:val="16"/>
              </w:rPr>
              <w:t>POIRT</w:t>
            </w:r>
            <w:r>
              <w:rPr>
                <w:rFonts w:ascii="Calibri" w:hAnsi="Calibri" w:cs="Calibri"/>
                <w:color w:val="000000"/>
                <w:sz w:val="16"/>
                <w:szCs w:val="16"/>
              </w:rPr>
              <w:t xml:space="preserve"> ± EBRT ± ChT for resected, nonmetastatic recurrent SNCs with or without prior irradiation.</w:t>
            </w:r>
          </w:p>
        </w:tc>
      </w:tr>
      <w:tr w:rsidR="00FE2BF3" w:rsidRPr="001B7B27" w14:paraId="2AA5228C" w14:textId="77777777" w:rsidTr="00541245">
        <w:trPr>
          <w:trHeight w:val="79"/>
        </w:trPr>
        <w:tc>
          <w:tcPr>
            <w:tcW w:w="707" w:type="dxa"/>
            <w:vMerge w:val="restart"/>
            <w:tcBorders>
              <w:left w:val="nil"/>
              <w:right w:val="nil"/>
            </w:tcBorders>
            <w:shd w:val="clear" w:color="auto" w:fill="auto"/>
          </w:tcPr>
          <w:p w14:paraId="51C83560" w14:textId="476FF0C4" w:rsidR="00FE2BF3" w:rsidRPr="001B7B27" w:rsidRDefault="00FE2BF3" w:rsidP="00FE2BF3">
            <w:pPr>
              <w:rPr>
                <w:rFonts w:ascii="Calibri" w:hAnsi="Calibri" w:cs="Calibri"/>
                <w:color w:val="000000"/>
                <w:sz w:val="16"/>
                <w:szCs w:val="16"/>
              </w:rPr>
            </w:pPr>
            <w:proofErr w:type="spellStart"/>
            <w:r w:rsidRPr="00FE2BF3">
              <w:rPr>
                <w:rFonts w:ascii="Calibri" w:hAnsi="Calibri" w:cs="Calibri"/>
                <w:color w:val="000000"/>
                <w:sz w:val="16"/>
                <w:szCs w:val="16"/>
              </w:rPr>
              <w:t>Rudzianskas</w:t>
            </w:r>
            <w:proofErr w:type="spellEnd"/>
            <w:r w:rsidRPr="00FE2BF3">
              <w:rPr>
                <w:rFonts w:ascii="Calibri" w:hAnsi="Calibri" w:cs="Calibri"/>
                <w:color w:val="000000"/>
                <w:sz w:val="16"/>
                <w:szCs w:val="16"/>
              </w:rPr>
              <w:t xml:space="preserve"> 2012</w:t>
            </w:r>
          </w:p>
        </w:tc>
        <w:tc>
          <w:tcPr>
            <w:tcW w:w="1274" w:type="dxa"/>
            <w:tcBorders>
              <w:top w:val="nil"/>
              <w:left w:val="nil"/>
              <w:bottom w:val="single" w:sz="4" w:space="0" w:color="auto"/>
              <w:right w:val="nil"/>
            </w:tcBorders>
            <w:shd w:val="clear" w:color="auto" w:fill="auto"/>
          </w:tcPr>
          <w:p w14:paraId="08B484E9" w14:textId="6A52FBE9"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80" w:type="dxa"/>
            <w:tcBorders>
              <w:top w:val="nil"/>
              <w:left w:val="nil"/>
              <w:bottom w:val="single" w:sz="4" w:space="0" w:color="auto"/>
              <w:right w:val="nil"/>
            </w:tcBorders>
            <w:shd w:val="clear" w:color="auto" w:fill="auto"/>
          </w:tcPr>
          <w:p w14:paraId="105B9ABE" w14:textId="0C97150E"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134" w:type="dxa"/>
            <w:tcBorders>
              <w:top w:val="nil"/>
              <w:left w:val="nil"/>
              <w:bottom w:val="single" w:sz="4" w:space="0" w:color="auto"/>
              <w:right w:val="nil"/>
            </w:tcBorders>
            <w:shd w:val="clear" w:color="auto" w:fill="auto"/>
          </w:tcPr>
          <w:p w14:paraId="254C1210" w14:textId="1B0F73C9"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75" w:type="dxa"/>
            <w:tcBorders>
              <w:top w:val="nil"/>
              <w:left w:val="nil"/>
              <w:bottom w:val="single" w:sz="4" w:space="0" w:color="auto"/>
              <w:right w:val="nil"/>
            </w:tcBorders>
            <w:shd w:val="clear" w:color="auto" w:fill="auto"/>
          </w:tcPr>
          <w:p w14:paraId="725DBBA3" w14:textId="3AD99440"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76" w:type="dxa"/>
            <w:tcBorders>
              <w:top w:val="nil"/>
              <w:left w:val="nil"/>
              <w:bottom w:val="single" w:sz="4" w:space="0" w:color="auto"/>
              <w:right w:val="nil"/>
            </w:tcBorders>
            <w:shd w:val="clear" w:color="auto" w:fill="auto"/>
          </w:tcPr>
          <w:p w14:paraId="10F45587" w14:textId="481937DC"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134" w:type="dxa"/>
            <w:tcBorders>
              <w:top w:val="nil"/>
              <w:left w:val="nil"/>
              <w:bottom w:val="single" w:sz="4" w:space="0" w:color="auto"/>
              <w:right w:val="nil"/>
            </w:tcBorders>
            <w:shd w:val="clear" w:color="auto" w:fill="auto"/>
          </w:tcPr>
          <w:p w14:paraId="0881D285" w14:textId="0A80E03F"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559" w:type="dxa"/>
            <w:tcBorders>
              <w:top w:val="nil"/>
              <w:left w:val="nil"/>
              <w:bottom w:val="single" w:sz="4" w:space="0" w:color="auto"/>
              <w:right w:val="nil"/>
            </w:tcBorders>
            <w:shd w:val="clear" w:color="auto" w:fill="auto"/>
          </w:tcPr>
          <w:p w14:paraId="7775EDD0" w14:textId="0D2784E4"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851" w:type="dxa"/>
            <w:tcBorders>
              <w:top w:val="nil"/>
              <w:left w:val="nil"/>
              <w:bottom w:val="single" w:sz="4" w:space="0" w:color="auto"/>
              <w:right w:val="nil"/>
            </w:tcBorders>
            <w:shd w:val="clear" w:color="auto" w:fill="auto"/>
          </w:tcPr>
          <w:p w14:paraId="023138EE" w14:textId="4021D48D" w:rsidR="00FE2BF3" w:rsidRDefault="00FE2BF3" w:rsidP="00043C52">
            <w:pPr>
              <w:jc w:val="center"/>
              <w:rPr>
                <w:rFonts w:ascii="Calibri" w:hAnsi="Calibri" w:cs="Calibri"/>
                <w:sz w:val="16"/>
                <w:szCs w:val="16"/>
              </w:rPr>
            </w:pPr>
            <w:r>
              <w:rPr>
                <w:rFonts w:ascii="Calibri" w:hAnsi="Calibri" w:cs="Calibri"/>
                <w:b/>
                <w:bCs/>
                <w:color w:val="FF0000"/>
                <w:sz w:val="16"/>
                <w:szCs w:val="16"/>
              </w:rPr>
              <w:t>High risk</w:t>
            </w:r>
          </w:p>
        </w:tc>
        <w:tc>
          <w:tcPr>
            <w:tcW w:w="1134" w:type="dxa"/>
            <w:tcBorders>
              <w:top w:val="nil"/>
              <w:left w:val="nil"/>
              <w:bottom w:val="single" w:sz="4" w:space="0" w:color="auto"/>
              <w:right w:val="nil"/>
            </w:tcBorders>
            <w:shd w:val="clear" w:color="auto" w:fill="auto"/>
          </w:tcPr>
          <w:p w14:paraId="3561B962" w14:textId="6CE40820"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76" w:type="dxa"/>
            <w:tcBorders>
              <w:top w:val="nil"/>
              <w:left w:val="nil"/>
              <w:bottom w:val="single" w:sz="4" w:space="0" w:color="auto"/>
              <w:right w:val="nil"/>
            </w:tcBorders>
            <w:shd w:val="clear" w:color="auto" w:fill="auto"/>
          </w:tcPr>
          <w:p w14:paraId="0111C3EB" w14:textId="0318AAD7" w:rsidR="00FE2BF3" w:rsidRDefault="00FE2BF3" w:rsidP="00043C52">
            <w:pPr>
              <w:jc w:val="center"/>
              <w:rPr>
                <w:rFonts w:ascii="Calibri" w:hAnsi="Calibri" w:cs="Calibri"/>
                <w:sz w:val="16"/>
                <w:szCs w:val="16"/>
              </w:rPr>
            </w:pPr>
            <w:r>
              <w:rPr>
                <w:rFonts w:ascii="Calibri" w:hAnsi="Calibri" w:cs="Calibri"/>
                <w:b/>
                <w:bCs/>
                <w:color w:val="C65911"/>
                <w:sz w:val="16"/>
                <w:szCs w:val="16"/>
              </w:rPr>
              <w:t>Uncertain risk</w:t>
            </w:r>
          </w:p>
        </w:tc>
        <w:tc>
          <w:tcPr>
            <w:tcW w:w="1134" w:type="dxa"/>
            <w:tcBorders>
              <w:top w:val="nil"/>
              <w:left w:val="nil"/>
              <w:bottom w:val="single" w:sz="4" w:space="0" w:color="auto"/>
              <w:right w:val="nil"/>
            </w:tcBorders>
            <w:shd w:val="clear" w:color="auto" w:fill="auto"/>
          </w:tcPr>
          <w:p w14:paraId="2195B449" w14:textId="645EAD48" w:rsidR="00FE2BF3" w:rsidRDefault="00FE2BF3" w:rsidP="00043C52">
            <w:pPr>
              <w:jc w:val="center"/>
              <w:rPr>
                <w:rFonts w:ascii="Calibri" w:hAnsi="Calibri" w:cs="Calibri"/>
                <w:sz w:val="16"/>
                <w:szCs w:val="16"/>
              </w:rPr>
            </w:pPr>
            <w:r>
              <w:rPr>
                <w:rFonts w:ascii="Calibri" w:hAnsi="Calibri" w:cs="Calibri"/>
                <w:b/>
                <w:bCs/>
                <w:color w:val="000000"/>
                <w:sz w:val="16"/>
                <w:szCs w:val="16"/>
              </w:rPr>
              <w:t>Low risk</w:t>
            </w:r>
          </w:p>
        </w:tc>
        <w:tc>
          <w:tcPr>
            <w:tcW w:w="1280" w:type="dxa"/>
            <w:tcBorders>
              <w:top w:val="nil"/>
              <w:left w:val="nil"/>
              <w:bottom w:val="single" w:sz="4" w:space="0" w:color="auto"/>
              <w:right w:val="nil"/>
            </w:tcBorders>
            <w:shd w:val="clear" w:color="auto" w:fill="auto"/>
          </w:tcPr>
          <w:p w14:paraId="07322AEB" w14:textId="1F2A7F53" w:rsidR="00FE2BF3" w:rsidRDefault="00FE2BF3" w:rsidP="00043C52">
            <w:pPr>
              <w:jc w:val="center"/>
              <w:rPr>
                <w:rFonts w:ascii="Calibri" w:hAnsi="Calibri" w:cs="Calibri"/>
                <w:sz w:val="16"/>
                <w:szCs w:val="16"/>
              </w:rPr>
            </w:pPr>
            <w:r>
              <w:rPr>
                <w:rFonts w:ascii="Calibri" w:hAnsi="Calibri" w:cs="Calibri"/>
                <w:b/>
                <w:bCs/>
                <w:color w:val="000000"/>
                <w:sz w:val="16"/>
                <w:szCs w:val="16"/>
              </w:rPr>
              <w:t>Low risk</w:t>
            </w:r>
          </w:p>
        </w:tc>
      </w:tr>
      <w:tr w:rsidR="00FE2BF3" w:rsidRPr="001B7B27" w14:paraId="1D118780" w14:textId="77777777" w:rsidTr="00FE2BF3">
        <w:trPr>
          <w:trHeight w:val="79"/>
        </w:trPr>
        <w:tc>
          <w:tcPr>
            <w:tcW w:w="707" w:type="dxa"/>
            <w:vMerge/>
            <w:tcBorders>
              <w:left w:val="nil"/>
              <w:bottom w:val="single" w:sz="4" w:space="0" w:color="auto"/>
              <w:right w:val="nil"/>
            </w:tcBorders>
            <w:shd w:val="clear" w:color="auto" w:fill="auto"/>
          </w:tcPr>
          <w:p w14:paraId="03ADD7AE" w14:textId="77777777" w:rsidR="00FE2BF3" w:rsidRPr="001B7B27" w:rsidRDefault="00FE2BF3" w:rsidP="00FE2BF3">
            <w:pPr>
              <w:rPr>
                <w:rFonts w:ascii="Calibri" w:hAnsi="Calibri" w:cs="Calibri"/>
                <w:color w:val="000000"/>
                <w:sz w:val="16"/>
                <w:szCs w:val="16"/>
              </w:rPr>
            </w:pPr>
          </w:p>
        </w:tc>
        <w:tc>
          <w:tcPr>
            <w:tcW w:w="1274" w:type="dxa"/>
            <w:tcBorders>
              <w:top w:val="nil"/>
              <w:left w:val="nil"/>
              <w:bottom w:val="single" w:sz="4" w:space="0" w:color="auto"/>
              <w:right w:val="nil"/>
            </w:tcBorders>
            <w:shd w:val="clear" w:color="auto" w:fill="auto"/>
          </w:tcPr>
          <w:p w14:paraId="3F37E4C2" w14:textId="64BB2069" w:rsidR="00FE2BF3" w:rsidRDefault="00FE2BF3" w:rsidP="00FE2BF3">
            <w:pPr>
              <w:rPr>
                <w:rFonts w:ascii="Calibri" w:hAnsi="Calibri" w:cs="Calibri"/>
                <w:color w:val="000000"/>
                <w:sz w:val="16"/>
                <w:szCs w:val="16"/>
              </w:rPr>
            </w:pPr>
            <w:r>
              <w:rPr>
                <w:rFonts w:ascii="Calibri" w:hAnsi="Calibri" w:cs="Calibri"/>
                <w:sz w:val="16"/>
                <w:szCs w:val="16"/>
              </w:rPr>
              <w:t xml:space="preserve">The study retrospectively evaluated the disease control, survival and toxicity outcomes with </w:t>
            </w:r>
            <w:r w:rsidR="00691248">
              <w:rPr>
                <w:rFonts w:ascii="Calibri" w:hAnsi="Calibri" w:cs="Calibri"/>
                <w:sz w:val="16"/>
                <w:szCs w:val="16"/>
              </w:rPr>
              <w:t>POIRT</w:t>
            </w:r>
            <w:r>
              <w:rPr>
                <w:rFonts w:ascii="Calibri" w:hAnsi="Calibri" w:cs="Calibri"/>
                <w:sz w:val="16"/>
                <w:szCs w:val="16"/>
              </w:rPr>
              <w:t xml:space="preserve"> and with exclusive HDR BRT in patients with nonmetastatic recurrent HNSCC with prior irradiation.</w:t>
            </w:r>
          </w:p>
        </w:tc>
        <w:tc>
          <w:tcPr>
            <w:tcW w:w="1280" w:type="dxa"/>
            <w:tcBorders>
              <w:top w:val="nil"/>
              <w:left w:val="nil"/>
              <w:bottom w:val="single" w:sz="4" w:space="0" w:color="auto"/>
              <w:right w:val="nil"/>
            </w:tcBorders>
            <w:shd w:val="clear" w:color="auto" w:fill="auto"/>
          </w:tcPr>
          <w:p w14:paraId="5E4FC94E" w14:textId="1D836701" w:rsidR="00FE2BF3" w:rsidRDefault="00FE2BF3" w:rsidP="00FE2BF3">
            <w:pPr>
              <w:rPr>
                <w:rFonts w:ascii="Calibri" w:hAnsi="Calibri" w:cs="Calibri"/>
                <w:color w:val="000000"/>
                <w:sz w:val="16"/>
                <w:szCs w:val="16"/>
              </w:rPr>
            </w:pPr>
            <w:r>
              <w:rPr>
                <w:rFonts w:ascii="Calibri" w:hAnsi="Calibri" w:cs="Calibri"/>
                <w:sz w:val="16"/>
                <w:szCs w:val="16"/>
              </w:rPr>
              <w:t xml:space="preserve">From December 2008 to March 2010,  30 patients with recurrent HNSCCs with prior irradiation were </w:t>
            </w:r>
            <w:proofErr w:type="spellStart"/>
            <w:r>
              <w:rPr>
                <w:rFonts w:ascii="Calibri" w:hAnsi="Calibri" w:cs="Calibri"/>
                <w:sz w:val="16"/>
                <w:szCs w:val="16"/>
              </w:rPr>
              <w:t>treatec</w:t>
            </w:r>
            <w:proofErr w:type="spellEnd"/>
            <w:r>
              <w:rPr>
                <w:rFonts w:ascii="Calibri" w:hAnsi="Calibri" w:cs="Calibri"/>
                <w:sz w:val="16"/>
                <w:szCs w:val="16"/>
              </w:rPr>
              <w:t xml:space="preserve"> with </w:t>
            </w:r>
            <w:r w:rsidR="00691248">
              <w:rPr>
                <w:rFonts w:ascii="Calibri" w:hAnsi="Calibri" w:cs="Calibri"/>
                <w:sz w:val="16"/>
                <w:szCs w:val="16"/>
              </w:rPr>
              <w:t>POIRT</w:t>
            </w:r>
            <w:r>
              <w:rPr>
                <w:rFonts w:ascii="Calibri" w:hAnsi="Calibri" w:cs="Calibri"/>
                <w:sz w:val="16"/>
                <w:szCs w:val="16"/>
              </w:rPr>
              <w:t xml:space="preserve"> or exclusive HDR BRT. Thirteen had </w:t>
            </w:r>
            <w:r w:rsidR="00691248">
              <w:rPr>
                <w:rFonts w:ascii="Calibri" w:hAnsi="Calibri" w:cs="Calibri"/>
                <w:sz w:val="16"/>
                <w:szCs w:val="16"/>
              </w:rPr>
              <w:t>POIRT</w:t>
            </w:r>
            <w:r>
              <w:rPr>
                <w:rFonts w:ascii="Calibri" w:hAnsi="Calibri" w:cs="Calibri"/>
                <w:sz w:val="16"/>
                <w:szCs w:val="16"/>
              </w:rPr>
              <w:t xml:space="preserve">. Separate outcomes were reported for the </w:t>
            </w:r>
            <w:r w:rsidR="00691248">
              <w:rPr>
                <w:rFonts w:ascii="Calibri" w:hAnsi="Calibri" w:cs="Calibri"/>
                <w:sz w:val="16"/>
                <w:szCs w:val="16"/>
              </w:rPr>
              <w:t>POIRT</w:t>
            </w:r>
            <w:r>
              <w:rPr>
                <w:rFonts w:ascii="Calibri" w:hAnsi="Calibri" w:cs="Calibri"/>
                <w:sz w:val="16"/>
                <w:szCs w:val="16"/>
              </w:rPr>
              <w:t xml:space="preserve"> group.</w:t>
            </w:r>
          </w:p>
        </w:tc>
        <w:tc>
          <w:tcPr>
            <w:tcW w:w="1134" w:type="dxa"/>
            <w:tcBorders>
              <w:top w:val="nil"/>
              <w:left w:val="nil"/>
              <w:bottom w:val="single" w:sz="4" w:space="0" w:color="auto"/>
              <w:right w:val="nil"/>
            </w:tcBorders>
            <w:shd w:val="clear" w:color="auto" w:fill="auto"/>
          </w:tcPr>
          <w:p w14:paraId="35EAA594" w14:textId="4284974D" w:rsidR="00FE2BF3" w:rsidRDefault="00FE2BF3" w:rsidP="00FE2BF3">
            <w:pPr>
              <w:rPr>
                <w:rFonts w:ascii="Calibri" w:hAnsi="Calibri" w:cs="Calibri"/>
                <w:color w:val="000000"/>
                <w:sz w:val="16"/>
                <w:szCs w:val="16"/>
              </w:rPr>
            </w:pPr>
            <w:r>
              <w:rPr>
                <w:rFonts w:ascii="Calibri" w:hAnsi="Calibri" w:cs="Calibri"/>
                <w:sz w:val="16"/>
                <w:szCs w:val="16"/>
              </w:rPr>
              <w:t>The surgery and BRT protocols were described adequately.</w:t>
            </w:r>
          </w:p>
        </w:tc>
        <w:tc>
          <w:tcPr>
            <w:tcW w:w="1275" w:type="dxa"/>
            <w:tcBorders>
              <w:top w:val="nil"/>
              <w:left w:val="nil"/>
              <w:bottom w:val="single" w:sz="4" w:space="0" w:color="auto"/>
              <w:right w:val="nil"/>
            </w:tcBorders>
            <w:shd w:val="clear" w:color="auto" w:fill="auto"/>
          </w:tcPr>
          <w:p w14:paraId="05DEFC5B" w14:textId="73AD3691" w:rsidR="00FE2BF3" w:rsidRDefault="00FE2BF3" w:rsidP="00FE2BF3">
            <w:pPr>
              <w:rPr>
                <w:rFonts w:ascii="Calibri" w:hAnsi="Calibri" w:cs="Calibri"/>
                <w:color w:val="000000"/>
                <w:sz w:val="16"/>
                <w:szCs w:val="16"/>
              </w:rPr>
            </w:pPr>
            <w:r>
              <w:rPr>
                <w:rFonts w:ascii="Calibri" w:hAnsi="Calibri" w:cs="Calibri"/>
                <w:color w:val="000000"/>
                <w:sz w:val="16"/>
                <w:szCs w:val="16"/>
              </w:rPr>
              <w:t xml:space="preserve">Survival events were per standard definitions. </w:t>
            </w:r>
            <w:r>
              <w:rPr>
                <w:rFonts w:ascii="Calibri" w:hAnsi="Calibri" w:cs="Calibri"/>
                <w:color w:val="000000"/>
                <w:sz w:val="16"/>
                <w:szCs w:val="16"/>
              </w:rPr>
              <w:br/>
            </w:r>
            <w:r>
              <w:rPr>
                <w:rFonts w:ascii="Calibri" w:hAnsi="Calibri" w:cs="Calibri"/>
                <w:color w:val="000000"/>
                <w:sz w:val="16"/>
                <w:szCs w:val="16"/>
              </w:rPr>
              <w:br/>
              <w:t>Toxicity criteria was evaluated per standard criteria (RTOG acute/late radiation morbidity scoring schema).</w:t>
            </w:r>
            <w:r>
              <w:rPr>
                <w:rFonts w:ascii="Calibri" w:hAnsi="Calibri" w:cs="Calibri"/>
                <w:color w:val="000000"/>
                <w:sz w:val="16"/>
                <w:szCs w:val="16"/>
              </w:rPr>
              <w:br/>
            </w:r>
            <w:r>
              <w:rPr>
                <w:rFonts w:ascii="Calibri" w:hAnsi="Calibri" w:cs="Calibri"/>
                <w:color w:val="000000"/>
                <w:sz w:val="16"/>
                <w:szCs w:val="16"/>
              </w:rPr>
              <w:br/>
              <w:t xml:space="preserve">The Kaplan-Meier method was used in the survival analyses. </w:t>
            </w:r>
          </w:p>
        </w:tc>
        <w:tc>
          <w:tcPr>
            <w:tcW w:w="1276" w:type="dxa"/>
            <w:tcBorders>
              <w:top w:val="nil"/>
              <w:left w:val="nil"/>
              <w:bottom w:val="single" w:sz="4" w:space="0" w:color="auto"/>
              <w:right w:val="nil"/>
            </w:tcBorders>
            <w:shd w:val="clear" w:color="auto" w:fill="auto"/>
          </w:tcPr>
          <w:p w14:paraId="5683DD83" w14:textId="57135176" w:rsidR="00FE2BF3" w:rsidRDefault="00FE2BF3" w:rsidP="00FE2BF3">
            <w:pPr>
              <w:rPr>
                <w:rFonts w:ascii="Calibri" w:hAnsi="Calibri" w:cs="Calibri"/>
                <w:color w:val="000000"/>
                <w:sz w:val="16"/>
                <w:szCs w:val="16"/>
              </w:rPr>
            </w:pPr>
            <w:r>
              <w:rPr>
                <w:rFonts w:ascii="Calibri" w:hAnsi="Calibri" w:cs="Calibri"/>
                <w:sz w:val="16"/>
                <w:szCs w:val="16"/>
              </w:rPr>
              <w:t>Pertinent patient and disease variables, including time to recurrence, were summarized and accounted for in the analyses and discussion.</w:t>
            </w:r>
          </w:p>
        </w:tc>
        <w:tc>
          <w:tcPr>
            <w:tcW w:w="1134" w:type="dxa"/>
            <w:tcBorders>
              <w:top w:val="nil"/>
              <w:left w:val="nil"/>
              <w:bottom w:val="single" w:sz="4" w:space="0" w:color="auto"/>
              <w:right w:val="nil"/>
            </w:tcBorders>
            <w:shd w:val="clear" w:color="auto" w:fill="auto"/>
          </w:tcPr>
          <w:p w14:paraId="1BD5DC1C" w14:textId="1B28EE37" w:rsidR="00FE2BF3" w:rsidRDefault="00FE2BF3" w:rsidP="00FE2BF3">
            <w:pPr>
              <w:rPr>
                <w:rFonts w:ascii="Calibri" w:hAnsi="Calibri" w:cs="Calibri"/>
                <w:color w:val="000000"/>
                <w:sz w:val="16"/>
                <w:szCs w:val="16"/>
              </w:rPr>
            </w:pPr>
            <w:r>
              <w:rPr>
                <w:rFonts w:ascii="Calibri" w:hAnsi="Calibri" w:cs="Calibri"/>
                <w:sz w:val="16"/>
                <w:szCs w:val="16"/>
              </w:rPr>
              <w:t>The FU schedule and modalities were described adequately. the median FU length (28 months) was adequate for the reported outcome measures. All patients were accounted for.</w:t>
            </w:r>
          </w:p>
        </w:tc>
        <w:tc>
          <w:tcPr>
            <w:tcW w:w="1559" w:type="dxa"/>
            <w:tcBorders>
              <w:top w:val="nil"/>
              <w:left w:val="nil"/>
              <w:bottom w:val="single" w:sz="4" w:space="0" w:color="auto"/>
              <w:right w:val="nil"/>
            </w:tcBorders>
            <w:shd w:val="clear" w:color="auto" w:fill="auto"/>
          </w:tcPr>
          <w:p w14:paraId="7669D8C3" w14:textId="6002753D" w:rsidR="00FE2BF3" w:rsidRDefault="00FE2BF3" w:rsidP="00FE2BF3">
            <w:pPr>
              <w:rPr>
                <w:rFonts w:ascii="Calibri" w:hAnsi="Calibri" w:cs="Calibri"/>
                <w:color w:val="000000"/>
                <w:sz w:val="16"/>
                <w:szCs w:val="16"/>
              </w:rPr>
            </w:pPr>
            <w:r>
              <w:rPr>
                <w:rFonts w:ascii="Calibri" w:hAnsi="Calibri" w:cs="Calibri"/>
                <w:sz w:val="16"/>
                <w:szCs w:val="16"/>
              </w:rPr>
              <w:t>The 2y LC and OS rates of 77% and 62%, are excellent for a cohort of recurrent HNSCCs.</w:t>
            </w:r>
            <w:r>
              <w:rPr>
                <w:rFonts w:ascii="Calibri" w:hAnsi="Calibri" w:cs="Calibri"/>
                <w:sz w:val="16"/>
                <w:szCs w:val="16"/>
              </w:rPr>
              <w:br/>
            </w:r>
            <w:r>
              <w:rPr>
                <w:rFonts w:ascii="Calibri" w:hAnsi="Calibri" w:cs="Calibri"/>
                <w:sz w:val="16"/>
                <w:szCs w:val="16"/>
              </w:rPr>
              <w:br/>
              <w:t xml:space="preserve">Toxicity rates are low, but not reported separately for the </w:t>
            </w:r>
            <w:r w:rsidR="00691248">
              <w:rPr>
                <w:rFonts w:ascii="Calibri" w:hAnsi="Calibri" w:cs="Calibri"/>
                <w:sz w:val="16"/>
                <w:szCs w:val="16"/>
              </w:rPr>
              <w:t>POIRT</w:t>
            </w:r>
            <w:r>
              <w:rPr>
                <w:rFonts w:ascii="Calibri" w:hAnsi="Calibri" w:cs="Calibri"/>
                <w:sz w:val="16"/>
                <w:szCs w:val="16"/>
              </w:rPr>
              <w:t xml:space="preserve"> group.</w:t>
            </w:r>
          </w:p>
        </w:tc>
        <w:tc>
          <w:tcPr>
            <w:tcW w:w="851" w:type="dxa"/>
            <w:tcBorders>
              <w:top w:val="nil"/>
              <w:left w:val="nil"/>
              <w:bottom w:val="single" w:sz="4" w:space="0" w:color="auto"/>
              <w:right w:val="nil"/>
            </w:tcBorders>
            <w:shd w:val="clear" w:color="auto" w:fill="auto"/>
          </w:tcPr>
          <w:p w14:paraId="55ADB2B1" w14:textId="2DEDBBEC" w:rsidR="00FE2BF3" w:rsidRDefault="00FE2BF3" w:rsidP="00FE2BF3">
            <w:pPr>
              <w:rPr>
                <w:rFonts w:ascii="Calibri" w:hAnsi="Calibri" w:cs="Calibri"/>
                <w:sz w:val="16"/>
                <w:szCs w:val="16"/>
              </w:rPr>
            </w:pPr>
            <w:r>
              <w:rPr>
                <w:rFonts w:ascii="Calibri" w:hAnsi="Calibri" w:cs="Calibri"/>
                <w:sz w:val="16"/>
                <w:szCs w:val="16"/>
              </w:rPr>
              <w:t xml:space="preserve">CIs were not reported. </w:t>
            </w:r>
            <w:r>
              <w:rPr>
                <w:rFonts w:ascii="Calibri" w:hAnsi="Calibri" w:cs="Calibri"/>
                <w:sz w:val="16"/>
                <w:szCs w:val="16"/>
              </w:rPr>
              <w:br/>
            </w:r>
            <w:r>
              <w:rPr>
                <w:rFonts w:ascii="Calibri" w:hAnsi="Calibri" w:cs="Calibri"/>
                <w:sz w:val="16"/>
                <w:szCs w:val="16"/>
              </w:rPr>
              <w:br/>
              <w:t>The sample size (n=13) allows for estimates with low precision.</w:t>
            </w:r>
          </w:p>
        </w:tc>
        <w:tc>
          <w:tcPr>
            <w:tcW w:w="1134" w:type="dxa"/>
            <w:tcBorders>
              <w:top w:val="nil"/>
              <w:left w:val="nil"/>
              <w:bottom w:val="single" w:sz="4" w:space="0" w:color="auto"/>
              <w:right w:val="nil"/>
            </w:tcBorders>
            <w:shd w:val="clear" w:color="auto" w:fill="auto"/>
          </w:tcPr>
          <w:p w14:paraId="174269E3" w14:textId="3837392F" w:rsidR="00FE2BF3" w:rsidRDefault="00FE2BF3" w:rsidP="00FE2BF3">
            <w:pPr>
              <w:rPr>
                <w:rFonts w:ascii="Calibri" w:hAnsi="Calibri" w:cs="Calibri"/>
                <w:sz w:val="16"/>
                <w:szCs w:val="16"/>
              </w:rPr>
            </w:pPr>
            <w:r>
              <w:rPr>
                <w:rFonts w:ascii="Calibri" w:hAnsi="Calibri" w:cs="Calibri"/>
                <w:sz w:val="16"/>
                <w:szCs w:val="16"/>
              </w:rPr>
              <w:t>The 2y LC and OS rates are consistent with, if not better than, that reported by other series included in this review (</w:t>
            </w:r>
            <w:proofErr w:type="spellStart"/>
            <w:r>
              <w:rPr>
                <w:rFonts w:ascii="Calibri" w:hAnsi="Calibri" w:cs="Calibri"/>
                <w:sz w:val="16"/>
                <w:szCs w:val="16"/>
              </w:rPr>
              <w:t>Bussu</w:t>
            </w:r>
            <w:proofErr w:type="spellEnd"/>
            <w:r>
              <w:rPr>
                <w:rFonts w:ascii="Calibri" w:hAnsi="Calibri" w:cs="Calibri"/>
                <w:sz w:val="16"/>
                <w:szCs w:val="16"/>
              </w:rPr>
              <w:t xml:space="preserve">, 2024; </w:t>
            </w:r>
            <w:proofErr w:type="spellStart"/>
            <w:r>
              <w:rPr>
                <w:rFonts w:ascii="Calibri" w:hAnsi="Calibri" w:cs="Calibri"/>
                <w:sz w:val="16"/>
                <w:szCs w:val="16"/>
              </w:rPr>
              <w:t>Teudt</w:t>
            </w:r>
            <w:proofErr w:type="spellEnd"/>
            <w:r>
              <w:rPr>
                <w:rFonts w:ascii="Calibri" w:hAnsi="Calibri" w:cs="Calibri"/>
                <w:sz w:val="16"/>
                <w:szCs w:val="16"/>
              </w:rPr>
              <w:t xml:space="preserve"> 2014). </w:t>
            </w:r>
            <w:r>
              <w:rPr>
                <w:rFonts w:ascii="Calibri" w:hAnsi="Calibri" w:cs="Calibri"/>
                <w:sz w:val="16"/>
                <w:szCs w:val="16"/>
              </w:rPr>
              <w:br/>
            </w:r>
            <w:r>
              <w:rPr>
                <w:rFonts w:ascii="Calibri" w:hAnsi="Calibri" w:cs="Calibri"/>
                <w:sz w:val="16"/>
                <w:szCs w:val="16"/>
              </w:rPr>
              <w:br/>
              <w:t xml:space="preserve">Toxicity rates are low, but not reported separately for the </w:t>
            </w:r>
            <w:r w:rsidR="00691248">
              <w:rPr>
                <w:rFonts w:ascii="Calibri" w:hAnsi="Calibri" w:cs="Calibri"/>
                <w:sz w:val="16"/>
                <w:szCs w:val="16"/>
              </w:rPr>
              <w:t>POIRT</w:t>
            </w:r>
            <w:r>
              <w:rPr>
                <w:rFonts w:ascii="Calibri" w:hAnsi="Calibri" w:cs="Calibri"/>
                <w:sz w:val="16"/>
                <w:szCs w:val="16"/>
              </w:rPr>
              <w:t xml:space="preserve"> group.</w:t>
            </w:r>
          </w:p>
          <w:p w14:paraId="03AD01E7" w14:textId="144F1BDD" w:rsidR="00FE2BF3" w:rsidRDefault="00FE2BF3" w:rsidP="00FE2BF3">
            <w:pPr>
              <w:rPr>
                <w:rFonts w:ascii="Calibri" w:hAnsi="Calibri" w:cs="Calibri"/>
                <w:color w:val="000000"/>
                <w:sz w:val="16"/>
                <w:szCs w:val="16"/>
              </w:rPr>
            </w:pPr>
          </w:p>
        </w:tc>
        <w:tc>
          <w:tcPr>
            <w:tcW w:w="1276" w:type="dxa"/>
            <w:tcBorders>
              <w:top w:val="nil"/>
              <w:left w:val="nil"/>
              <w:bottom w:val="single" w:sz="4" w:space="0" w:color="auto"/>
              <w:right w:val="nil"/>
            </w:tcBorders>
            <w:shd w:val="clear" w:color="auto" w:fill="auto"/>
          </w:tcPr>
          <w:p w14:paraId="1F2EA6FA" w14:textId="7B4DC0F7" w:rsidR="00FE2BF3" w:rsidRDefault="00FE2BF3" w:rsidP="00FE2BF3">
            <w:pPr>
              <w:rPr>
                <w:rFonts w:ascii="Calibri" w:hAnsi="Calibri" w:cs="Calibri"/>
                <w:sz w:val="16"/>
                <w:szCs w:val="16"/>
              </w:rPr>
            </w:pPr>
            <w:r>
              <w:rPr>
                <w:rFonts w:ascii="Calibri" w:hAnsi="Calibri" w:cs="Calibri"/>
                <w:sz w:val="16"/>
                <w:szCs w:val="16"/>
              </w:rPr>
              <w:t xml:space="preserve">The results are compatible with other studies showing that </w:t>
            </w:r>
            <w:r w:rsidR="00691248">
              <w:rPr>
                <w:rFonts w:ascii="Calibri" w:hAnsi="Calibri" w:cs="Calibri"/>
                <w:sz w:val="16"/>
                <w:szCs w:val="16"/>
              </w:rPr>
              <w:t>POIRT</w:t>
            </w:r>
            <w:r>
              <w:rPr>
                <w:rFonts w:ascii="Calibri" w:hAnsi="Calibri" w:cs="Calibri"/>
                <w:sz w:val="16"/>
                <w:szCs w:val="16"/>
              </w:rPr>
              <w:t xml:space="preserve"> for HNSCC may afford better disease control and survival rates, compared to HDR BRT alone (</w:t>
            </w:r>
            <w:proofErr w:type="spellStart"/>
            <w:r>
              <w:rPr>
                <w:rFonts w:ascii="Calibri" w:hAnsi="Calibri" w:cs="Calibri"/>
                <w:sz w:val="16"/>
                <w:szCs w:val="16"/>
              </w:rPr>
              <w:t>Potharaju</w:t>
            </w:r>
            <w:proofErr w:type="spellEnd"/>
            <w:r>
              <w:rPr>
                <w:rFonts w:ascii="Calibri" w:hAnsi="Calibri" w:cs="Calibri"/>
                <w:sz w:val="16"/>
                <w:szCs w:val="16"/>
              </w:rPr>
              <w:t>, 2018).</w:t>
            </w:r>
            <w:r>
              <w:rPr>
                <w:rFonts w:ascii="Calibri" w:hAnsi="Calibri" w:cs="Calibri"/>
                <w:sz w:val="16"/>
                <w:szCs w:val="16"/>
              </w:rPr>
              <w:br/>
            </w:r>
            <w:r>
              <w:rPr>
                <w:rFonts w:ascii="Calibri" w:hAnsi="Calibri" w:cs="Calibri"/>
                <w:sz w:val="16"/>
                <w:szCs w:val="16"/>
              </w:rPr>
              <w:br/>
              <w:t xml:space="preserve">Separate toxicity rates were not reported for the </w:t>
            </w:r>
            <w:r w:rsidR="00691248">
              <w:rPr>
                <w:rFonts w:ascii="Calibri" w:hAnsi="Calibri" w:cs="Calibri"/>
                <w:sz w:val="16"/>
                <w:szCs w:val="16"/>
              </w:rPr>
              <w:t>POIRT</w:t>
            </w:r>
            <w:r>
              <w:rPr>
                <w:rFonts w:ascii="Calibri" w:hAnsi="Calibri" w:cs="Calibri"/>
                <w:sz w:val="16"/>
                <w:szCs w:val="16"/>
              </w:rPr>
              <w:t xml:space="preserve"> group.</w:t>
            </w:r>
          </w:p>
        </w:tc>
        <w:tc>
          <w:tcPr>
            <w:tcW w:w="1134" w:type="dxa"/>
            <w:tcBorders>
              <w:top w:val="nil"/>
              <w:left w:val="nil"/>
              <w:bottom w:val="single" w:sz="4" w:space="0" w:color="auto"/>
              <w:right w:val="nil"/>
            </w:tcBorders>
            <w:shd w:val="clear" w:color="auto" w:fill="auto"/>
          </w:tcPr>
          <w:p w14:paraId="5BC8972A" w14:textId="44CC36ED" w:rsidR="00FE2BF3" w:rsidRDefault="00FE2BF3" w:rsidP="00FE2BF3">
            <w:pPr>
              <w:rPr>
                <w:rFonts w:ascii="Calibri" w:hAnsi="Calibri" w:cs="Calibri"/>
                <w:sz w:val="16"/>
                <w:szCs w:val="16"/>
              </w:rPr>
            </w:pPr>
            <w:r>
              <w:rPr>
                <w:rFonts w:ascii="Calibri" w:hAnsi="Calibri" w:cs="Calibri"/>
                <w:sz w:val="16"/>
                <w:szCs w:val="16"/>
              </w:rPr>
              <w:t xml:space="preserve">The surgical, BRT and EBRT techniques are current. </w:t>
            </w:r>
            <w:r>
              <w:rPr>
                <w:rFonts w:ascii="Calibri" w:hAnsi="Calibri" w:cs="Calibri"/>
                <w:sz w:val="16"/>
                <w:szCs w:val="16"/>
              </w:rPr>
              <w:br/>
            </w:r>
            <w:r>
              <w:rPr>
                <w:rFonts w:ascii="Calibri" w:hAnsi="Calibri" w:cs="Calibri"/>
                <w:sz w:val="16"/>
                <w:szCs w:val="16"/>
              </w:rPr>
              <w:br/>
              <w:t xml:space="preserve">Oral cavity and oropharyngeal tumors were not resected and treated with exclusive HDR BRT. </w:t>
            </w:r>
          </w:p>
        </w:tc>
        <w:tc>
          <w:tcPr>
            <w:tcW w:w="1280" w:type="dxa"/>
            <w:tcBorders>
              <w:top w:val="nil"/>
              <w:left w:val="nil"/>
              <w:bottom w:val="single" w:sz="4" w:space="0" w:color="auto"/>
              <w:right w:val="nil"/>
            </w:tcBorders>
            <w:shd w:val="clear" w:color="auto" w:fill="auto"/>
          </w:tcPr>
          <w:p w14:paraId="395C1800" w14:textId="5D8E511B" w:rsidR="00FE2BF3" w:rsidRDefault="00FE2BF3" w:rsidP="00FE2BF3">
            <w:pPr>
              <w:rPr>
                <w:rFonts w:ascii="Calibri" w:hAnsi="Calibri" w:cs="Calibri"/>
                <w:sz w:val="16"/>
                <w:szCs w:val="16"/>
              </w:rPr>
            </w:pPr>
            <w:r>
              <w:rPr>
                <w:rFonts w:ascii="Calibri" w:hAnsi="Calibri" w:cs="Calibri"/>
                <w:sz w:val="16"/>
                <w:szCs w:val="16"/>
              </w:rPr>
              <w:t xml:space="preserve">The study provides retrospective data on medium-term disease control and survival rates with </w:t>
            </w:r>
            <w:r w:rsidR="00691248">
              <w:rPr>
                <w:rFonts w:ascii="Calibri" w:hAnsi="Calibri" w:cs="Calibri"/>
                <w:sz w:val="16"/>
                <w:szCs w:val="16"/>
              </w:rPr>
              <w:t>POIRT</w:t>
            </w:r>
            <w:r>
              <w:rPr>
                <w:rFonts w:ascii="Calibri" w:hAnsi="Calibri" w:cs="Calibri"/>
                <w:sz w:val="16"/>
                <w:szCs w:val="16"/>
              </w:rPr>
              <w:t xml:space="preserve"> for resected, nonmetastatic recurrent HNSCCs with prior irradiation.</w:t>
            </w:r>
          </w:p>
        </w:tc>
      </w:tr>
      <w:tr w:rsidR="00FE2BF3" w:rsidRPr="001B7B27" w14:paraId="7FB56736" w14:textId="77777777" w:rsidTr="00440101">
        <w:trPr>
          <w:trHeight w:val="79"/>
        </w:trPr>
        <w:tc>
          <w:tcPr>
            <w:tcW w:w="707" w:type="dxa"/>
            <w:vMerge w:val="restart"/>
            <w:tcBorders>
              <w:left w:val="nil"/>
              <w:right w:val="nil"/>
            </w:tcBorders>
            <w:shd w:val="clear" w:color="auto" w:fill="auto"/>
          </w:tcPr>
          <w:p w14:paraId="2EC73C53" w14:textId="0044774A" w:rsidR="00FE2BF3" w:rsidRPr="001B7B27" w:rsidRDefault="00FE2BF3" w:rsidP="00FE2BF3">
            <w:pPr>
              <w:rPr>
                <w:rFonts w:ascii="Calibri" w:hAnsi="Calibri" w:cs="Calibri"/>
                <w:color w:val="000000"/>
                <w:sz w:val="16"/>
                <w:szCs w:val="16"/>
              </w:rPr>
            </w:pPr>
            <w:proofErr w:type="spellStart"/>
            <w:r w:rsidRPr="00FE2BF3">
              <w:rPr>
                <w:rFonts w:ascii="Calibri" w:hAnsi="Calibri" w:cs="Calibri"/>
                <w:color w:val="000000"/>
                <w:sz w:val="16"/>
                <w:szCs w:val="16"/>
              </w:rPr>
              <w:t>Pellizzon</w:t>
            </w:r>
            <w:proofErr w:type="spellEnd"/>
            <w:r w:rsidRPr="00FE2BF3">
              <w:rPr>
                <w:rFonts w:ascii="Calibri" w:hAnsi="Calibri" w:cs="Calibri"/>
                <w:color w:val="000000"/>
                <w:sz w:val="16"/>
                <w:szCs w:val="16"/>
              </w:rPr>
              <w:t xml:space="preserve"> 2006</w:t>
            </w:r>
          </w:p>
        </w:tc>
        <w:tc>
          <w:tcPr>
            <w:tcW w:w="1274" w:type="dxa"/>
            <w:tcBorders>
              <w:top w:val="nil"/>
              <w:left w:val="nil"/>
              <w:bottom w:val="single" w:sz="4" w:space="0" w:color="auto"/>
              <w:right w:val="nil"/>
            </w:tcBorders>
            <w:shd w:val="clear" w:color="auto" w:fill="auto"/>
          </w:tcPr>
          <w:p w14:paraId="2C620236" w14:textId="3D7FA3F2"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80" w:type="dxa"/>
            <w:tcBorders>
              <w:top w:val="nil"/>
              <w:left w:val="nil"/>
              <w:bottom w:val="single" w:sz="4" w:space="0" w:color="auto"/>
              <w:right w:val="nil"/>
            </w:tcBorders>
            <w:shd w:val="clear" w:color="auto" w:fill="auto"/>
          </w:tcPr>
          <w:p w14:paraId="46FBA516" w14:textId="64C13F79" w:rsidR="00FE2BF3" w:rsidRDefault="00FE2BF3" w:rsidP="00043C52">
            <w:pPr>
              <w:jc w:val="center"/>
              <w:rPr>
                <w:rFonts w:ascii="Calibri" w:hAnsi="Calibri" w:cs="Calibri"/>
                <w:color w:val="000000"/>
                <w:sz w:val="16"/>
                <w:szCs w:val="16"/>
              </w:rPr>
            </w:pPr>
            <w:r>
              <w:rPr>
                <w:rFonts w:ascii="Calibri" w:hAnsi="Calibri" w:cs="Calibri"/>
                <w:b/>
                <w:bCs/>
                <w:color w:val="FF0000"/>
                <w:sz w:val="16"/>
                <w:szCs w:val="16"/>
              </w:rPr>
              <w:t>High risk</w:t>
            </w:r>
          </w:p>
        </w:tc>
        <w:tc>
          <w:tcPr>
            <w:tcW w:w="1134" w:type="dxa"/>
            <w:tcBorders>
              <w:top w:val="nil"/>
              <w:left w:val="nil"/>
              <w:bottom w:val="single" w:sz="4" w:space="0" w:color="auto"/>
              <w:right w:val="nil"/>
            </w:tcBorders>
            <w:shd w:val="clear" w:color="auto" w:fill="auto"/>
          </w:tcPr>
          <w:p w14:paraId="3EF9242B" w14:textId="64ACE683" w:rsidR="00FE2BF3" w:rsidRDefault="00FE2BF3" w:rsidP="00043C52">
            <w:pPr>
              <w:jc w:val="center"/>
              <w:rPr>
                <w:rFonts w:ascii="Calibri" w:hAnsi="Calibri" w:cs="Calibri"/>
                <w:color w:val="000000"/>
                <w:sz w:val="16"/>
                <w:szCs w:val="16"/>
              </w:rPr>
            </w:pPr>
            <w:r>
              <w:rPr>
                <w:rFonts w:ascii="Calibri" w:hAnsi="Calibri" w:cs="Calibri"/>
                <w:b/>
                <w:bCs/>
                <w:color w:val="FF0000"/>
                <w:sz w:val="16"/>
                <w:szCs w:val="16"/>
              </w:rPr>
              <w:t>High risk</w:t>
            </w:r>
          </w:p>
        </w:tc>
        <w:tc>
          <w:tcPr>
            <w:tcW w:w="1275" w:type="dxa"/>
            <w:tcBorders>
              <w:top w:val="nil"/>
              <w:left w:val="nil"/>
              <w:bottom w:val="single" w:sz="4" w:space="0" w:color="auto"/>
              <w:right w:val="nil"/>
            </w:tcBorders>
            <w:shd w:val="clear" w:color="auto" w:fill="auto"/>
          </w:tcPr>
          <w:p w14:paraId="76ED6407" w14:textId="58141C76" w:rsidR="00FE2BF3" w:rsidRDefault="00FE2BF3" w:rsidP="00043C52">
            <w:pPr>
              <w:jc w:val="center"/>
              <w:rPr>
                <w:rFonts w:ascii="Calibri" w:hAnsi="Calibri" w:cs="Calibri"/>
                <w:color w:val="000000"/>
                <w:sz w:val="16"/>
                <w:szCs w:val="16"/>
              </w:rPr>
            </w:pPr>
            <w:r>
              <w:rPr>
                <w:rFonts w:ascii="Calibri" w:hAnsi="Calibri" w:cs="Calibri"/>
                <w:b/>
                <w:bCs/>
                <w:color w:val="FF0000"/>
                <w:sz w:val="16"/>
                <w:szCs w:val="16"/>
              </w:rPr>
              <w:t>High risk</w:t>
            </w:r>
          </w:p>
        </w:tc>
        <w:tc>
          <w:tcPr>
            <w:tcW w:w="1276" w:type="dxa"/>
            <w:tcBorders>
              <w:top w:val="nil"/>
              <w:left w:val="nil"/>
              <w:bottom w:val="single" w:sz="4" w:space="0" w:color="auto"/>
              <w:right w:val="nil"/>
            </w:tcBorders>
            <w:shd w:val="clear" w:color="auto" w:fill="auto"/>
          </w:tcPr>
          <w:p w14:paraId="0C235BA7" w14:textId="1694B1C9"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134" w:type="dxa"/>
            <w:tcBorders>
              <w:top w:val="nil"/>
              <w:left w:val="nil"/>
              <w:bottom w:val="single" w:sz="4" w:space="0" w:color="auto"/>
              <w:right w:val="nil"/>
            </w:tcBorders>
            <w:shd w:val="clear" w:color="auto" w:fill="auto"/>
          </w:tcPr>
          <w:p w14:paraId="437FD9EE" w14:textId="61753A78" w:rsidR="00FE2BF3" w:rsidRDefault="00FE2BF3" w:rsidP="00043C52">
            <w:pPr>
              <w:jc w:val="center"/>
              <w:rPr>
                <w:rFonts w:ascii="Calibri" w:hAnsi="Calibri" w:cs="Calibri"/>
                <w:color w:val="000000"/>
                <w:sz w:val="16"/>
                <w:szCs w:val="16"/>
              </w:rPr>
            </w:pPr>
            <w:r>
              <w:rPr>
                <w:rFonts w:ascii="Calibri" w:hAnsi="Calibri" w:cs="Calibri"/>
                <w:b/>
                <w:bCs/>
                <w:color w:val="FF0000"/>
                <w:sz w:val="16"/>
                <w:szCs w:val="16"/>
              </w:rPr>
              <w:t>High risk</w:t>
            </w:r>
          </w:p>
        </w:tc>
        <w:tc>
          <w:tcPr>
            <w:tcW w:w="1559" w:type="dxa"/>
            <w:tcBorders>
              <w:top w:val="nil"/>
              <w:left w:val="nil"/>
              <w:bottom w:val="single" w:sz="4" w:space="0" w:color="auto"/>
              <w:right w:val="nil"/>
            </w:tcBorders>
            <w:shd w:val="clear" w:color="auto" w:fill="auto"/>
          </w:tcPr>
          <w:p w14:paraId="1AD84526" w14:textId="6950EE40"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851" w:type="dxa"/>
            <w:tcBorders>
              <w:top w:val="nil"/>
              <w:left w:val="nil"/>
              <w:bottom w:val="single" w:sz="4" w:space="0" w:color="auto"/>
              <w:right w:val="nil"/>
            </w:tcBorders>
            <w:shd w:val="clear" w:color="auto" w:fill="auto"/>
          </w:tcPr>
          <w:p w14:paraId="75E1736E" w14:textId="60D0F33A" w:rsidR="00FE2BF3" w:rsidRDefault="00FE2BF3" w:rsidP="00043C52">
            <w:pPr>
              <w:jc w:val="center"/>
              <w:rPr>
                <w:rFonts w:ascii="Calibri" w:hAnsi="Calibri" w:cs="Calibri"/>
                <w:sz w:val="16"/>
                <w:szCs w:val="16"/>
              </w:rPr>
            </w:pPr>
            <w:r>
              <w:rPr>
                <w:rFonts w:ascii="Calibri" w:hAnsi="Calibri" w:cs="Calibri"/>
                <w:b/>
                <w:bCs/>
                <w:color w:val="FF0000"/>
                <w:sz w:val="16"/>
                <w:szCs w:val="16"/>
              </w:rPr>
              <w:t>High risk</w:t>
            </w:r>
          </w:p>
        </w:tc>
        <w:tc>
          <w:tcPr>
            <w:tcW w:w="1134" w:type="dxa"/>
            <w:tcBorders>
              <w:top w:val="nil"/>
              <w:left w:val="nil"/>
              <w:bottom w:val="single" w:sz="4" w:space="0" w:color="auto"/>
              <w:right w:val="nil"/>
            </w:tcBorders>
            <w:shd w:val="clear" w:color="auto" w:fill="auto"/>
          </w:tcPr>
          <w:p w14:paraId="65163EBE" w14:textId="4B0FDA13" w:rsidR="00FE2BF3" w:rsidRDefault="00FE2BF3" w:rsidP="00043C52">
            <w:pPr>
              <w:jc w:val="center"/>
              <w:rPr>
                <w:rFonts w:ascii="Calibri" w:hAnsi="Calibri" w:cs="Calibri"/>
                <w:color w:val="000000"/>
                <w:sz w:val="16"/>
                <w:szCs w:val="16"/>
              </w:rPr>
            </w:pPr>
            <w:r>
              <w:rPr>
                <w:rFonts w:ascii="Calibri" w:hAnsi="Calibri" w:cs="Calibri"/>
                <w:b/>
                <w:bCs/>
                <w:color w:val="000000"/>
                <w:sz w:val="16"/>
                <w:szCs w:val="16"/>
              </w:rPr>
              <w:t>Low risk</w:t>
            </w:r>
          </w:p>
        </w:tc>
        <w:tc>
          <w:tcPr>
            <w:tcW w:w="1276" w:type="dxa"/>
            <w:tcBorders>
              <w:top w:val="nil"/>
              <w:left w:val="nil"/>
              <w:bottom w:val="single" w:sz="4" w:space="0" w:color="auto"/>
              <w:right w:val="nil"/>
            </w:tcBorders>
            <w:shd w:val="clear" w:color="auto" w:fill="auto"/>
          </w:tcPr>
          <w:p w14:paraId="2171DB90" w14:textId="3A2DFB38" w:rsidR="00FE2BF3" w:rsidRDefault="00FE2BF3" w:rsidP="00043C52">
            <w:pPr>
              <w:jc w:val="center"/>
              <w:rPr>
                <w:rFonts w:ascii="Calibri" w:hAnsi="Calibri" w:cs="Calibri"/>
                <w:sz w:val="16"/>
                <w:szCs w:val="16"/>
              </w:rPr>
            </w:pPr>
            <w:r>
              <w:rPr>
                <w:rFonts w:ascii="Calibri" w:hAnsi="Calibri" w:cs="Calibri"/>
                <w:b/>
                <w:bCs/>
                <w:color w:val="000000"/>
                <w:sz w:val="16"/>
                <w:szCs w:val="16"/>
              </w:rPr>
              <w:t>Low risk</w:t>
            </w:r>
          </w:p>
        </w:tc>
        <w:tc>
          <w:tcPr>
            <w:tcW w:w="1134" w:type="dxa"/>
            <w:tcBorders>
              <w:top w:val="nil"/>
              <w:left w:val="nil"/>
              <w:bottom w:val="single" w:sz="4" w:space="0" w:color="auto"/>
              <w:right w:val="nil"/>
            </w:tcBorders>
            <w:shd w:val="clear" w:color="auto" w:fill="auto"/>
          </w:tcPr>
          <w:p w14:paraId="2800E34E" w14:textId="110B77E7" w:rsidR="00FE2BF3" w:rsidRDefault="00FE2BF3" w:rsidP="00043C52">
            <w:pPr>
              <w:jc w:val="center"/>
              <w:rPr>
                <w:rFonts w:ascii="Calibri" w:hAnsi="Calibri" w:cs="Calibri"/>
                <w:sz w:val="16"/>
                <w:szCs w:val="16"/>
              </w:rPr>
            </w:pPr>
            <w:r>
              <w:rPr>
                <w:rFonts w:ascii="Calibri" w:hAnsi="Calibri" w:cs="Calibri"/>
                <w:b/>
                <w:bCs/>
                <w:color w:val="000000"/>
                <w:sz w:val="16"/>
                <w:szCs w:val="16"/>
              </w:rPr>
              <w:t>Low risk</w:t>
            </w:r>
          </w:p>
        </w:tc>
        <w:tc>
          <w:tcPr>
            <w:tcW w:w="1280" w:type="dxa"/>
            <w:tcBorders>
              <w:top w:val="nil"/>
              <w:left w:val="nil"/>
              <w:bottom w:val="single" w:sz="4" w:space="0" w:color="auto"/>
              <w:right w:val="nil"/>
            </w:tcBorders>
            <w:shd w:val="clear" w:color="auto" w:fill="auto"/>
          </w:tcPr>
          <w:p w14:paraId="451CDF75" w14:textId="00038342" w:rsidR="00FE2BF3" w:rsidRDefault="00FE2BF3" w:rsidP="00043C52">
            <w:pPr>
              <w:jc w:val="center"/>
              <w:rPr>
                <w:rFonts w:ascii="Calibri" w:hAnsi="Calibri" w:cs="Calibri"/>
                <w:sz w:val="16"/>
                <w:szCs w:val="16"/>
              </w:rPr>
            </w:pPr>
            <w:r>
              <w:rPr>
                <w:rFonts w:ascii="Calibri" w:hAnsi="Calibri" w:cs="Calibri"/>
                <w:b/>
                <w:bCs/>
                <w:color w:val="000000"/>
                <w:sz w:val="16"/>
                <w:szCs w:val="16"/>
              </w:rPr>
              <w:t>Low risk</w:t>
            </w:r>
          </w:p>
        </w:tc>
      </w:tr>
      <w:tr w:rsidR="00FE2BF3" w:rsidRPr="001B7B27" w14:paraId="4DF51FE8" w14:textId="77777777" w:rsidTr="00FE2BF3">
        <w:trPr>
          <w:trHeight w:val="79"/>
        </w:trPr>
        <w:tc>
          <w:tcPr>
            <w:tcW w:w="707" w:type="dxa"/>
            <w:vMerge/>
            <w:tcBorders>
              <w:left w:val="nil"/>
              <w:bottom w:val="single" w:sz="4" w:space="0" w:color="auto"/>
              <w:right w:val="nil"/>
            </w:tcBorders>
            <w:shd w:val="clear" w:color="auto" w:fill="auto"/>
          </w:tcPr>
          <w:p w14:paraId="304B15E5" w14:textId="77777777" w:rsidR="00FE2BF3" w:rsidRPr="001B7B27" w:rsidRDefault="00FE2BF3" w:rsidP="00FE2BF3">
            <w:pPr>
              <w:rPr>
                <w:rFonts w:ascii="Calibri" w:hAnsi="Calibri" w:cs="Calibri"/>
                <w:color w:val="000000"/>
                <w:sz w:val="16"/>
                <w:szCs w:val="16"/>
              </w:rPr>
            </w:pPr>
          </w:p>
        </w:tc>
        <w:tc>
          <w:tcPr>
            <w:tcW w:w="1274" w:type="dxa"/>
            <w:tcBorders>
              <w:top w:val="nil"/>
              <w:left w:val="nil"/>
              <w:bottom w:val="single" w:sz="4" w:space="0" w:color="auto"/>
              <w:right w:val="nil"/>
            </w:tcBorders>
            <w:shd w:val="clear" w:color="auto" w:fill="auto"/>
          </w:tcPr>
          <w:p w14:paraId="4B93B4E1" w14:textId="6BF90C20" w:rsidR="00FE2BF3" w:rsidRDefault="00FE2BF3" w:rsidP="00FE2BF3">
            <w:pPr>
              <w:rPr>
                <w:rFonts w:ascii="Calibri" w:hAnsi="Calibri" w:cs="Calibri"/>
                <w:color w:val="000000"/>
                <w:sz w:val="16"/>
                <w:szCs w:val="16"/>
              </w:rPr>
            </w:pPr>
            <w:r>
              <w:rPr>
                <w:rFonts w:ascii="Calibri" w:hAnsi="Calibri" w:cs="Calibri"/>
                <w:sz w:val="16"/>
                <w:szCs w:val="16"/>
              </w:rPr>
              <w:t xml:space="preserve">The study retrospectively evaluated the disease control, survival and toxicity outcomes with </w:t>
            </w:r>
            <w:r w:rsidR="00691248">
              <w:rPr>
                <w:rFonts w:ascii="Calibri" w:hAnsi="Calibri" w:cs="Calibri"/>
                <w:sz w:val="16"/>
                <w:szCs w:val="16"/>
              </w:rPr>
              <w:t>POIRT</w:t>
            </w:r>
            <w:r>
              <w:rPr>
                <w:rFonts w:ascii="Calibri" w:hAnsi="Calibri" w:cs="Calibri"/>
                <w:sz w:val="16"/>
                <w:szCs w:val="16"/>
              </w:rPr>
              <w:t xml:space="preserve"> + EBRT in patients with node-only </w:t>
            </w:r>
            <w:r>
              <w:rPr>
                <w:rFonts w:ascii="Calibri" w:hAnsi="Calibri" w:cs="Calibri"/>
                <w:sz w:val="16"/>
                <w:szCs w:val="16"/>
              </w:rPr>
              <w:lastRenderedPageBreak/>
              <w:t>HNSCC recurrences with or without prior irradiation.</w:t>
            </w:r>
          </w:p>
        </w:tc>
        <w:tc>
          <w:tcPr>
            <w:tcW w:w="1280" w:type="dxa"/>
            <w:tcBorders>
              <w:top w:val="nil"/>
              <w:left w:val="nil"/>
              <w:bottom w:val="single" w:sz="4" w:space="0" w:color="auto"/>
              <w:right w:val="nil"/>
            </w:tcBorders>
            <w:shd w:val="clear" w:color="auto" w:fill="auto"/>
          </w:tcPr>
          <w:p w14:paraId="7C8EE889" w14:textId="28D073F1" w:rsidR="00FE2BF3" w:rsidRDefault="00FE2BF3" w:rsidP="00FE2BF3">
            <w:pPr>
              <w:rPr>
                <w:rFonts w:ascii="Calibri" w:hAnsi="Calibri" w:cs="Calibri"/>
                <w:color w:val="000000"/>
                <w:sz w:val="16"/>
                <w:szCs w:val="16"/>
              </w:rPr>
            </w:pPr>
            <w:r>
              <w:rPr>
                <w:rFonts w:ascii="Calibri" w:hAnsi="Calibri" w:cs="Calibri"/>
                <w:sz w:val="16"/>
                <w:szCs w:val="16"/>
              </w:rPr>
              <w:lastRenderedPageBreak/>
              <w:t xml:space="preserve">Between October 1994 and June 2004, 21 patients with node-only HNSCC recurrences were treated with </w:t>
            </w:r>
            <w:r w:rsidR="00691248">
              <w:rPr>
                <w:rFonts w:ascii="Calibri" w:hAnsi="Calibri" w:cs="Calibri"/>
                <w:sz w:val="16"/>
                <w:szCs w:val="16"/>
              </w:rPr>
              <w:t>POIRT</w:t>
            </w:r>
            <w:r>
              <w:rPr>
                <w:rFonts w:ascii="Calibri" w:hAnsi="Calibri" w:cs="Calibri"/>
                <w:sz w:val="16"/>
                <w:szCs w:val="16"/>
              </w:rPr>
              <w:t xml:space="preserve"> + EBRT. </w:t>
            </w:r>
            <w:r>
              <w:rPr>
                <w:rFonts w:ascii="Calibri" w:hAnsi="Calibri" w:cs="Calibri"/>
                <w:sz w:val="16"/>
                <w:szCs w:val="16"/>
              </w:rPr>
              <w:br/>
            </w:r>
            <w:r>
              <w:rPr>
                <w:rFonts w:ascii="Calibri" w:hAnsi="Calibri" w:cs="Calibri"/>
                <w:sz w:val="16"/>
                <w:szCs w:val="16"/>
              </w:rPr>
              <w:br/>
            </w:r>
            <w:r>
              <w:rPr>
                <w:rFonts w:ascii="Calibri" w:hAnsi="Calibri" w:cs="Calibri"/>
                <w:sz w:val="16"/>
                <w:szCs w:val="16"/>
              </w:rPr>
              <w:lastRenderedPageBreak/>
              <w:t>Only fifteen (71.4%) had prior irradiation. Outcomes were not reported separately for the reirradiation group.</w:t>
            </w:r>
          </w:p>
        </w:tc>
        <w:tc>
          <w:tcPr>
            <w:tcW w:w="1134" w:type="dxa"/>
            <w:tcBorders>
              <w:top w:val="nil"/>
              <w:left w:val="nil"/>
              <w:bottom w:val="single" w:sz="4" w:space="0" w:color="auto"/>
              <w:right w:val="nil"/>
            </w:tcBorders>
            <w:shd w:val="clear" w:color="auto" w:fill="auto"/>
          </w:tcPr>
          <w:p w14:paraId="117BD6F1" w14:textId="7CCEB6A8" w:rsidR="00FE2BF3" w:rsidRDefault="00FE2BF3" w:rsidP="00FE2BF3">
            <w:pPr>
              <w:rPr>
                <w:rFonts w:ascii="Calibri" w:hAnsi="Calibri" w:cs="Calibri"/>
                <w:color w:val="000000"/>
                <w:sz w:val="16"/>
                <w:szCs w:val="16"/>
              </w:rPr>
            </w:pPr>
            <w:r>
              <w:rPr>
                <w:rFonts w:ascii="Calibri" w:hAnsi="Calibri" w:cs="Calibri"/>
                <w:sz w:val="16"/>
                <w:szCs w:val="16"/>
              </w:rPr>
              <w:lastRenderedPageBreak/>
              <w:t xml:space="preserve">The surgery and BRT protocols were described adequately. </w:t>
            </w:r>
            <w:r>
              <w:rPr>
                <w:rFonts w:ascii="Calibri" w:hAnsi="Calibri" w:cs="Calibri"/>
                <w:sz w:val="16"/>
                <w:szCs w:val="16"/>
              </w:rPr>
              <w:br/>
            </w:r>
            <w:r>
              <w:rPr>
                <w:rFonts w:ascii="Calibri" w:hAnsi="Calibri" w:cs="Calibri"/>
                <w:sz w:val="16"/>
                <w:szCs w:val="16"/>
              </w:rPr>
              <w:br/>
              <w:t xml:space="preserve">The dose of the second course of EBRT was </w:t>
            </w:r>
            <w:r>
              <w:rPr>
                <w:rFonts w:ascii="Calibri" w:hAnsi="Calibri" w:cs="Calibri"/>
                <w:sz w:val="16"/>
                <w:szCs w:val="16"/>
              </w:rPr>
              <w:lastRenderedPageBreak/>
              <w:t>individualized according to the dose of the first irradiation.</w:t>
            </w:r>
          </w:p>
        </w:tc>
        <w:tc>
          <w:tcPr>
            <w:tcW w:w="1275" w:type="dxa"/>
            <w:tcBorders>
              <w:top w:val="nil"/>
              <w:left w:val="nil"/>
              <w:bottom w:val="single" w:sz="4" w:space="0" w:color="auto"/>
              <w:right w:val="nil"/>
            </w:tcBorders>
            <w:shd w:val="clear" w:color="auto" w:fill="auto"/>
          </w:tcPr>
          <w:p w14:paraId="56F1A91A" w14:textId="21424547" w:rsidR="00FE2BF3" w:rsidRDefault="00FE2BF3" w:rsidP="00FE2BF3">
            <w:pPr>
              <w:rPr>
                <w:rFonts w:ascii="Calibri" w:hAnsi="Calibri" w:cs="Calibri"/>
                <w:color w:val="000000"/>
                <w:sz w:val="16"/>
                <w:szCs w:val="16"/>
              </w:rPr>
            </w:pPr>
            <w:r>
              <w:rPr>
                <w:rFonts w:ascii="Calibri" w:hAnsi="Calibri" w:cs="Calibri"/>
                <w:sz w:val="16"/>
                <w:szCs w:val="16"/>
              </w:rPr>
              <w:lastRenderedPageBreak/>
              <w:t xml:space="preserve">Survival events were per standard definitions. </w:t>
            </w:r>
            <w:r>
              <w:rPr>
                <w:rFonts w:ascii="Calibri" w:hAnsi="Calibri" w:cs="Calibri"/>
                <w:sz w:val="16"/>
                <w:szCs w:val="16"/>
              </w:rPr>
              <w:br/>
            </w:r>
            <w:r>
              <w:rPr>
                <w:rFonts w:ascii="Calibri" w:hAnsi="Calibri" w:cs="Calibri"/>
                <w:sz w:val="16"/>
                <w:szCs w:val="16"/>
              </w:rPr>
              <w:br/>
              <w:t>Toxicity was not evaluated per standard criteria.</w:t>
            </w:r>
            <w:r>
              <w:rPr>
                <w:rFonts w:ascii="Calibri" w:hAnsi="Calibri" w:cs="Calibri"/>
                <w:sz w:val="16"/>
                <w:szCs w:val="16"/>
              </w:rPr>
              <w:br/>
            </w:r>
            <w:r>
              <w:rPr>
                <w:rFonts w:ascii="Calibri" w:hAnsi="Calibri" w:cs="Calibri"/>
                <w:sz w:val="16"/>
                <w:szCs w:val="16"/>
              </w:rPr>
              <w:br/>
            </w:r>
            <w:r>
              <w:rPr>
                <w:rFonts w:ascii="Calibri" w:hAnsi="Calibri" w:cs="Calibri"/>
                <w:sz w:val="16"/>
                <w:szCs w:val="16"/>
              </w:rPr>
              <w:lastRenderedPageBreak/>
              <w:t xml:space="preserve">The Kaplan-Meier method was used in the survival analyses. </w:t>
            </w:r>
            <w:r>
              <w:rPr>
                <w:rFonts w:ascii="Calibri" w:hAnsi="Calibri" w:cs="Calibri"/>
                <w:sz w:val="16"/>
                <w:szCs w:val="16"/>
              </w:rPr>
              <w:br/>
            </w:r>
            <w:r>
              <w:rPr>
                <w:rFonts w:ascii="Calibri" w:hAnsi="Calibri" w:cs="Calibri"/>
                <w:sz w:val="16"/>
                <w:szCs w:val="16"/>
              </w:rPr>
              <w:br/>
              <w:t>Outcomes were not reported separately for those with prior irradiation.</w:t>
            </w:r>
          </w:p>
        </w:tc>
        <w:tc>
          <w:tcPr>
            <w:tcW w:w="1276" w:type="dxa"/>
            <w:tcBorders>
              <w:top w:val="nil"/>
              <w:left w:val="nil"/>
              <w:bottom w:val="single" w:sz="4" w:space="0" w:color="auto"/>
              <w:right w:val="nil"/>
            </w:tcBorders>
            <w:shd w:val="clear" w:color="auto" w:fill="auto"/>
          </w:tcPr>
          <w:p w14:paraId="0FF12436" w14:textId="066888CB" w:rsidR="00FE2BF3" w:rsidRDefault="00FE2BF3" w:rsidP="00FE2BF3">
            <w:pPr>
              <w:rPr>
                <w:rFonts w:ascii="Calibri" w:hAnsi="Calibri" w:cs="Calibri"/>
                <w:color w:val="000000"/>
                <w:sz w:val="16"/>
                <w:szCs w:val="16"/>
              </w:rPr>
            </w:pPr>
            <w:r>
              <w:rPr>
                <w:rFonts w:ascii="Calibri" w:hAnsi="Calibri" w:cs="Calibri"/>
                <w:sz w:val="16"/>
                <w:szCs w:val="16"/>
              </w:rPr>
              <w:lastRenderedPageBreak/>
              <w:t xml:space="preserve">Pertinent patient and disease variables, including time to </w:t>
            </w:r>
            <w:proofErr w:type="spellStart"/>
            <w:r>
              <w:rPr>
                <w:rFonts w:ascii="Calibri" w:hAnsi="Calibri" w:cs="Calibri"/>
                <w:sz w:val="16"/>
                <w:szCs w:val="16"/>
              </w:rPr>
              <w:t>alvage</w:t>
            </w:r>
            <w:proofErr w:type="spellEnd"/>
            <w:r>
              <w:rPr>
                <w:rFonts w:ascii="Calibri" w:hAnsi="Calibri" w:cs="Calibri"/>
                <w:sz w:val="16"/>
                <w:szCs w:val="16"/>
              </w:rPr>
              <w:t xml:space="preserve"> therapy, were summarized and accounted for in </w:t>
            </w:r>
            <w:r>
              <w:rPr>
                <w:rFonts w:ascii="Calibri" w:hAnsi="Calibri" w:cs="Calibri"/>
                <w:sz w:val="16"/>
                <w:szCs w:val="16"/>
              </w:rPr>
              <w:lastRenderedPageBreak/>
              <w:t>the analyses and discussion.</w:t>
            </w:r>
          </w:p>
        </w:tc>
        <w:tc>
          <w:tcPr>
            <w:tcW w:w="1134" w:type="dxa"/>
            <w:tcBorders>
              <w:top w:val="nil"/>
              <w:left w:val="nil"/>
              <w:bottom w:val="single" w:sz="4" w:space="0" w:color="auto"/>
              <w:right w:val="nil"/>
            </w:tcBorders>
            <w:shd w:val="clear" w:color="auto" w:fill="auto"/>
          </w:tcPr>
          <w:p w14:paraId="3106F652" w14:textId="7354789C" w:rsidR="00FE2BF3" w:rsidRDefault="00FE2BF3" w:rsidP="00FE2BF3">
            <w:pPr>
              <w:rPr>
                <w:rFonts w:ascii="Calibri" w:hAnsi="Calibri" w:cs="Calibri"/>
                <w:color w:val="000000"/>
                <w:sz w:val="16"/>
                <w:szCs w:val="16"/>
              </w:rPr>
            </w:pPr>
            <w:r>
              <w:rPr>
                <w:rFonts w:ascii="Calibri" w:hAnsi="Calibri" w:cs="Calibri"/>
                <w:sz w:val="16"/>
                <w:szCs w:val="16"/>
              </w:rPr>
              <w:lastRenderedPageBreak/>
              <w:t xml:space="preserve">The median FU (36 months) is short for 5y and 8y survival estimates. </w:t>
            </w:r>
            <w:r>
              <w:rPr>
                <w:rFonts w:ascii="Calibri" w:hAnsi="Calibri" w:cs="Calibri"/>
                <w:sz w:val="16"/>
                <w:szCs w:val="16"/>
              </w:rPr>
              <w:br/>
            </w:r>
            <w:r>
              <w:rPr>
                <w:rFonts w:ascii="Calibri" w:hAnsi="Calibri" w:cs="Calibri"/>
                <w:sz w:val="16"/>
                <w:szCs w:val="16"/>
              </w:rPr>
              <w:br/>
              <w:t>All patients were accounted for.</w:t>
            </w:r>
          </w:p>
        </w:tc>
        <w:tc>
          <w:tcPr>
            <w:tcW w:w="1559" w:type="dxa"/>
            <w:tcBorders>
              <w:top w:val="nil"/>
              <w:left w:val="nil"/>
              <w:bottom w:val="single" w:sz="4" w:space="0" w:color="auto"/>
              <w:right w:val="nil"/>
            </w:tcBorders>
            <w:shd w:val="clear" w:color="auto" w:fill="auto"/>
          </w:tcPr>
          <w:p w14:paraId="7324854C" w14:textId="0AA3E09A" w:rsidR="00FE2BF3" w:rsidRDefault="00FE2BF3" w:rsidP="00FE2BF3">
            <w:pPr>
              <w:rPr>
                <w:rFonts w:ascii="Calibri" w:hAnsi="Calibri" w:cs="Calibri"/>
                <w:color w:val="000000"/>
                <w:sz w:val="16"/>
                <w:szCs w:val="16"/>
              </w:rPr>
            </w:pPr>
            <w:r>
              <w:rPr>
                <w:rFonts w:ascii="Calibri" w:hAnsi="Calibri" w:cs="Calibri"/>
                <w:sz w:val="16"/>
                <w:szCs w:val="16"/>
              </w:rPr>
              <w:t>The 5y RFS and OS rates of 42.5% and 50% are acceptable for patients with recurrent HNSCC.</w:t>
            </w:r>
            <w:r>
              <w:rPr>
                <w:rFonts w:ascii="Calibri" w:hAnsi="Calibri" w:cs="Calibri"/>
                <w:sz w:val="16"/>
                <w:szCs w:val="16"/>
              </w:rPr>
              <w:br/>
            </w:r>
            <w:r>
              <w:rPr>
                <w:rFonts w:ascii="Calibri" w:hAnsi="Calibri" w:cs="Calibri"/>
                <w:sz w:val="16"/>
                <w:szCs w:val="16"/>
              </w:rPr>
              <w:br/>
              <w:t xml:space="preserve">A cumulative incidence of 19.4% for grade 3-4 late </w:t>
            </w:r>
            <w:r>
              <w:rPr>
                <w:rFonts w:ascii="Calibri" w:hAnsi="Calibri" w:cs="Calibri"/>
                <w:sz w:val="16"/>
                <w:szCs w:val="16"/>
              </w:rPr>
              <w:lastRenderedPageBreak/>
              <w:t>toxicity is acceptable for a cohort that is mostly previously irradiated.</w:t>
            </w:r>
          </w:p>
        </w:tc>
        <w:tc>
          <w:tcPr>
            <w:tcW w:w="851" w:type="dxa"/>
            <w:tcBorders>
              <w:top w:val="nil"/>
              <w:left w:val="nil"/>
              <w:bottom w:val="single" w:sz="4" w:space="0" w:color="auto"/>
              <w:right w:val="nil"/>
            </w:tcBorders>
            <w:shd w:val="clear" w:color="auto" w:fill="auto"/>
          </w:tcPr>
          <w:p w14:paraId="5B1AA8D2" w14:textId="4BEC2506" w:rsidR="00FE2BF3" w:rsidRDefault="00FE2BF3" w:rsidP="00FE2BF3">
            <w:pPr>
              <w:rPr>
                <w:rFonts w:ascii="Calibri" w:hAnsi="Calibri" w:cs="Calibri"/>
                <w:sz w:val="16"/>
                <w:szCs w:val="16"/>
              </w:rPr>
            </w:pPr>
            <w:r>
              <w:rPr>
                <w:rFonts w:ascii="Calibri" w:hAnsi="Calibri" w:cs="Calibri"/>
                <w:sz w:val="16"/>
                <w:szCs w:val="16"/>
              </w:rPr>
              <w:lastRenderedPageBreak/>
              <w:t xml:space="preserve">CIs were not reported. </w:t>
            </w:r>
            <w:r>
              <w:rPr>
                <w:rFonts w:ascii="Calibri" w:hAnsi="Calibri" w:cs="Calibri"/>
                <w:sz w:val="16"/>
                <w:szCs w:val="16"/>
              </w:rPr>
              <w:br/>
            </w:r>
            <w:r>
              <w:rPr>
                <w:rFonts w:ascii="Calibri" w:hAnsi="Calibri" w:cs="Calibri"/>
                <w:sz w:val="16"/>
                <w:szCs w:val="16"/>
              </w:rPr>
              <w:br/>
              <w:t xml:space="preserve">The sample size (n=21) allows for estimates </w:t>
            </w:r>
            <w:r>
              <w:rPr>
                <w:rFonts w:ascii="Calibri" w:hAnsi="Calibri" w:cs="Calibri"/>
                <w:sz w:val="16"/>
                <w:szCs w:val="16"/>
              </w:rPr>
              <w:lastRenderedPageBreak/>
              <w:t>with low precision.</w:t>
            </w:r>
          </w:p>
        </w:tc>
        <w:tc>
          <w:tcPr>
            <w:tcW w:w="1134" w:type="dxa"/>
            <w:tcBorders>
              <w:top w:val="nil"/>
              <w:left w:val="nil"/>
              <w:bottom w:val="single" w:sz="4" w:space="0" w:color="auto"/>
              <w:right w:val="nil"/>
            </w:tcBorders>
            <w:shd w:val="clear" w:color="auto" w:fill="auto"/>
          </w:tcPr>
          <w:p w14:paraId="28CB7601" w14:textId="3D55300C" w:rsidR="00FE2BF3" w:rsidRDefault="00FE2BF3" w:rsidP="00FE2BF3">
            <w:pPr>
              <w:rPr>
                <w:rFonts w:ascii="Calibri" w:hAnsi="Calibri" w:cs="Calibri"/>
                <w:color w:val="000000"/>
                <w:sz w:val="16"/>
                <w:szCs w:val="16"/>
              </w:rPr>
            </w:pPr>
            <w:r>
              <w:rPr>
                <w:rFonts w:ascii="Calibri" w:hAnsi="Calibri" w:cs="Calibri"/>
                <w:color w:val="000000"/>
                <w:sz w:val="16"/>
                <w:szCs w:val="16"/>
              </w:rPr>
              <w:lastRenderedPageBreak/>
              <w:t xml:space="preserve">The 5y disease control, survival and toxicity rates are consistent with those reported in the only other contemporary </w:t>
            </w:r>
            <w:r>
              <w:rPr>
                <w:rFonts w:ascii="Calibri" w:hAnsi="Calibri" w:cs="Calibri"/>
                <w:color w:val="000000"/>
                <w:sz w:val="16"/>
                <w:szCs w:val="16"/>
              </w:rPr>
              <w:lastRenderedPageBreak/>
              <w:t>series with long-term outcomes,  that is included in this review (Martínez-Fernández, 2017).</w:t>
            </w:r>
          </w:p>
        </w:tc>
        <w:tc>
          <w:tcPr>
            <w:tcW w:w="1276" w:type="dxa"/>
            <w:tcBorders>
              <w:top w:val="nil"/>
              <w:left w:val="nil"/>
              <w:bottom w:val="single" w:sz="4" w:space="0" w:color="auto"/>
              <w:right w:val="nil"/>
            </w:tcBorders>
            <w:shd w:val="clear" w:color="auto" w:fill="auto"/>
          </w:tcPr>
          <w:p w14:paraId="0BB7DE54" w14:textId="77777777" w:rsidR="00FE2BF3" w:rsidRDefault="00FE2BF3" w:rsidP="00FE2BF3">
            <w:pPr>
              <w:rPr>
                <w:rFonts w:ascii="Calibri" w:hAnsi="Calibri" w:cs="Calibri"/>
                <w:sz w:val="16"/>
                <w:szCs w:val="16"/>
              </w:rPr>
            </w:pPr>
            <w:r>
              <w:rPr>
                <w:rFonts w:ascii="Calibri" w:hAnsi="Calibri" w:cs="Calibri"/>
                <w:sz w:val="16"/>
                <w:szCs w:val="16"/>
              </w:rPr>
              <w:lastRenderedPageBreak/>
              <w:t xml:space="preserve">The results are compatible with the notion that adjuvant reirradiation limited to the tumor bed volume combined with </w:t>
            </w:r>
            <w:r>
              <w:rPr>
                <w:rFonts w:ascii="Calibri" w:hAnsi="Calibri" w:cs="Calibri"/>
                <w:sz w:val="16"/>
                <w:szCs w:val="16"/>
              </w:rPr>
              <w:lastRenderedPageBreak/>
              <w:t>individualized wide-field irradiation doses after wide resection for recurrent HNC after prior irradiation may be associated with long-term survival at the cost of significant late toxicity.</w:t>
            </w:r>
          </w:p>
          <w:p w14:paraId="207AC58E" w14:textId="0821002C" w:rsidR="00FE2BF3" w:rsidRDefault="00FE2BF3" w:rsidP="00FE2BF3">
            <w:pPr>
              <w:rPr>
                <w:rFonts w:ascii="Calibri" w:hAnsi="Calibri" w:cs="Calibri"/>
                <w:sz w:val="16"/>
                <w:szCs w:val="16"/>
              </w:rPr>
            </w:pPr>
          </w:p>
        </w:tc>
        <w:tc>
          <w:tcPr>
            <w:tcW w:w="1134" w:type="dxa"/>
            <w:tcBorders>
              <w:top w:val="nil"/>
              <w:left w:val="nil"/>
              <w:bottom w:val="single" w:sz="4" w:space="0" w:color="auto"/>
              <w:right w:val="nil"/>
            </w:tcBorders>
            <w:shd w:val="clear" w:color="auto" w:fill="auto"/>
          </w:tcPr>
          <w:p w14:paraId="20F98D1D" w14:textId="75105A38" w:rsidR="00FE2BF3" w:rsidRDefault="00FE2BF3" w:rsidP="00FE2BF3">
            <w:pPr>
              <w:rPr>
                <w:rFonts w:ascii="Calibri" w:hAnsi="Calibri" w:cs="Calibri"/>
                <w:sz w:val="16"/>
                <w:szCs w:val="16"/>
              </w:rPr>
            </w:pPr>
            <w:r>
              <w:rPr>
                <w:rFonts w:ascii="Calibri" w:hAnsi="Calibri" w:cs="Calibri"/>
                <w:sz w:val="16"/>
                <w:szCs w:val="16"/>
              </w:rPr>
              <w:lastRenderedPageBreak/>
              <w:t xml:space="preserve">The surgical, BRT and EBRT techniques are current. </w:t>
            </w:r>
            <w:r>
              <w:rPr>
                <w:rFonts w:ascii="Calibri" w:hAnsi="Calibri" w:cs="Calibri"/>
                <w:sz w:val="16"/>
                <w:szCs w:val="16"/>
              </w:rPr>
              <w:br/>
            </w:r>
            <w:r>
              <w:rPr>
                <w:rFonts w:ascii="Calibri" w:hAnsi="Calibri" w:cs="Calibri"/>
                <w:sz w:val="16"/>
                <w:szCs w:val="16"/>
              </w:rPr>
              <w:br/>
              <w:t>The surgery entailed neck dissections.</w:t>
            </w:r>
          </w:p>
        </w:tc>
        <w:tc>
          <w:tcPr>
            <w:tcW w:w="1280" w:type="dxa"/>
            <w:tcBorders>
              <w:top w:val="nil"/>
              <w:left w:val="nil"/>
              <w:bottom w:val="single" w:sz="4" w:space="0" w:color="auto"/>
              <w:right w:val="nil"/>
            </w:tcBorders>
            <w:shd w:val="clear" w:color="auto" w:fill="auto"/>
          </w:tcPr>
          <w:p w14:paraId="20A751AD" w14:textId="7D437DF4" w:rsidR="00FE2BF3" w:rsidRDefault="00FE2BF3" w:rsidP="00FE2BF3">
            <w:pPr>
              <w:rPr>
                <w:rFonts w:ascii="Calibri" w:hAnsi="Calibri" w:cs="Calibri"/>
                <w:sz w:val="16"/>
                <w:szCs w:val="16"/>
              </w:rPr>
            </w:pPr>
            <w:r>
              <w:rPr>
                <w:rFonts w:ascii="Calibri" w:hAnsi="Calibri" w:cs="Calibri"/>
                <w:sz w:val="16"/>
                <w:szCs w:val="16"/>
              </w:rPr>
              <w:t xml:space="preserve">The study provides retrospective data on long-term disease control, survival and toxicity rates with </w:t>
            </w:r>
            <w:r w:rsidR="00691248">
              <w:rPr>
                <w:rFonts w:ascii="Calibri" w:hAnsi="Calibri" w:cs="Calibri"/>
                <w:sz w:val="16"/>
                <w:szCs w:val="16"/>
              </w:rPr>
              <w:t>POIRT</w:t>
            </w:r>
            <w:r>
              <w:rPr>
                <w:rFonts w:ascii="Calibri" w:hAnsi="Calibri" w:cs="Calibri"/>
                <w:sz w:val="16"/>
                <w:szCs w:val="16"/>
              </w:rPr>
              <w:t xml:space="preserve"> + EBRT for </w:t>
            </w:r>
            <w:r>
              <w:rPr>
                <w:rFonts w:ascii="Calibri" w:hAnsi="Calibri" w:cs="Calibri"/>
                <w:sz w:val="16"/>
                <w:szCs w:val="16"/>
              </w:rPr>
              <w:lastRenderedPageBreak/>
              <w:t>resected, node-only HNSCC recurrences with or without prior irradiation.</w:t>
            </w:r>
          </w:p>
        </w:tc>
      </w:tr>
      <w:tr w:rsidR="00B240B3" w:rsidRPr="001B7B27" w14:paraId="22750AD4" w14:textId="77777777" w:rsidTr="00BA11CA">
        <w:trPr>
          <w:trHeight w:val="63"/>
        </w:trPr>
        <w:tc>
          <w:tcPr>
            <w:tcW w:w="15314" w:type="dxa"/>
            <w:gridSpan w:val="13"/>
            <w:tcBorders>
              <w:top w:val="single" w:sz="4" w:space="0" w:color="auto"/>
              <w:left w:val="nil"/>
              <w:bottom w:val="nil"/>
              <w:right w:val="nil"/>
            </w:tcBorders>
            <w:shd w:val="clear" w:color="auto" w:fill="auto"/>
          </w:tcPr>
          <w:p w14:paraId="36B03F31" w14:textId="4952F3F1" w:rsidR="00B240B3" w:rsidRPr="000C08D8" w:rsidRDefault="00691248" w:rsidP="00BA11CA">
            <w:pPr>
              <w:rPr>
                <w:rFonts w:asciiTheme="minorHAnsi" w:hAnsiTheme="minorHAnsi" w:cstheme="minorHAnsi"/>
                <w:sz w:val="16"/>
                <w:szCs w:val="16"/>
              </w:rPr>
            </w:pPr>
            <w:r>
              <w:rPr>
                <w:rFonts w:asciiTheme="minorHAnsi" w:hAnsiTheme="minorHAnsi" w:cstheme="minorHAnsi"/>
                <w:b/>
                <w:bCs/>
                <w:sz w:val="16"/>
                <w:szCs w:val="16"/>
              </w:rPr>
              <w:lastRenderedPageBreak/>
              <w:t>IRT</w:t>
            </w:r>
            <w:r w:rsidR="00B240B3" w:rsidRPr="000C08D8">
              <w:rPr>
                <w:rFonts w:asciiTheme="minorHAnsi" w:hAnsiTheme="minorHAnsi" w:cstheme="minorHAnsi"/>
                <w:sz w:val="16"/>
                <w:szCs w:val="16"/>
              </w:rPr>
              <w:t xml:space="preserve"> </w:t>
            </w:r>
            <w:r>
              <w:rPr>
                <w:rFonts w:asciiTheme="minorHAnsi" w:hAnsiTheme="minorHAnsi" w:cstheme="minorHAnsi"/>
                <w:sz w:val="16"/>
                <w:szCs w:val="16"/>
              </w:rPr>
              <w:t>interventional radiotherapy</w:t>
            </w:r>
            <w:r w:rsidR="00B240B3" w:rsidRPr="000C08D8">
              <w:rPr>
                <w:rFonts w:asciiTheme="minorHAnsi" w:hAnsiTheme="minorHAnsi" w:cstheme="minorHAnsi"/>
                <w:sz w:val="16"/>
                <w:szCs w:val="16"/>
              </w:rPr>
              <w:t xml:space="preserve">; </w:t>
            </w:r>
            <w:r w:rsidR="00B240B3" w:rsidRPr="000C08D8">
              <w:rPr>
                <w:rFonts w:asciiTheme="minorHAnsi" w:hAnsiTheme="minorHAnsi" w:cstheme="minorHAnsi"/>
                <w:b/>
                <w:bCs/>
                <w:sz w:val="16"/>
                <w:szCs w:val="16"/>
              </w:rPr>
              <w:t>ChT</w:t>
            </w:r>
            <w:r w:rsidR="00B240B3" w:rsidRPr="000C08D8">
              <w:rPr>
                <w:rFonts w:asciiTheme="minorHAnsi" w:hAnsiTheme="minorHAnsi" w:cstheme="minorHAnsi"/>
                <w:sz w:val="16"/>
                <w:szCs w:val="16"/>
              </w:rPr>
              <w:t xml:space="preserve">, chemotherapy; </w:t>
            </w:r>
            <w:r w:rsidR="00B240B3" w:rsidRPr="000C08D8">
              <w:rPr>
                <w:rFonts w:asciiTheme="minorHAnsi" w:hAnsiTheme="minorHAnsi" w:cstheme="minorHAnsi"/>
                <w:b/>
                <w:bCs/>
                <w:sz w:val="16"/>
                <w:szCs w:val="16"/>
              </w:rPr>
              <w:t>CI</w:t>
            </w:r>
            <w:r w:rsidR="00B240B3" w:rsidRPr="000C08D8">
              <w:rPr>
                <w:rFonts w:asciiTheme="minorHAnsi" w:hAnsiTheme="minorHAnsi" w:cstheme="minorHAnsi"/>
                <w:sz w:val="16"/>
                <w:szCs w:val="16"/>
              </w:rPr>
              <w:t xml:space="preserve">, confidence interval; </w:t>
            </w:r>
            <w:r w:rsidR="00B240B3" w:rsidRPr="000C08D8">
              <w:rPr>
                <w:rFonts w:asciiTheme="minorHAnsi" w:hAnsiTheme="minorHAnsi" w:cstheme="minorHAnsi"/>
                <w:b/>
                <w:bCs/>
                <w:sz w:val="16"/>
                <w:szCs w:val="16"/>
              </w:rPr>
              <w:t>CTCAE</w:t>
            </w:r>
            <w:r w:rsidR="00B240B3" w:rsidRPr="000C08D8">
              <w:rPr>
                <w:rFonts w:asciiTheme="minorHAnsi" w:hAnsiTheme="minorHAnsi" w:cstheme="minorHAnsi"/>
                <w:sz w:val="16"/>
                <w:szCs w:val="16"/>
              </w:rPr>
              <w:t xml:space="preserve">, Common Terminology Criteria for Adverse Events; </w:t>
            </w:r>
            <w:r w:rsidR="00B240B3" w:rsidRPr="000C08D8">
              <w:rPr>
                <w:rFonts w:asciiTheme="minorHAnsi" w:hAnsiTheme="minorHAnsi" w:cstheme="minorHAnsi"/>
                <w:b/>
                <w:bCs/>
                <w:sz w:val="16"/>
                <w:szCs w:val="16"/>
              </w:rPr>
              <w:t>DC</w:t>
            </w:r>
            <w:r w:rsidR="00B240B3" w:rsidRPr="000C08D8">
              <w:rPr>
                <w:rFonts w:asciiTheme="minorHAnsi" w:hAnsiTheme="minorHAnsi" w:cstheme="minorHAnsi"/>
                <w:sz w:val="16"/>
                <w:szCs w:val="16"/>
              </w:rPr>
              <w:t xml:space="preserve">, distant control; </w:t>
            </w:r>
            <w:r w:rsidR="00B240B3" w:rsidRPr="000C08D8">
              <w:rPr>
                <w:rFonts w:asciiTheme="minorHAnsi" w:hAnsiTheme="minorHAnsi" w:cstheme="minorHAnsi"/>
                <w:b/>
                <w:bCs/>
                <w:sz w:val="16"/>
                <w:szCs w:val="16"/>
              </w:rPr>
              <w:t>DFS</w:t>
            </w:r>
            <w:r w:rsidR="00B240B3" w:rsidRPr="000C08D8">
              <w:rPr>
                <w:rFonts w:asciiTheme="minorHAnsi" w:hAnsiTheme="minorHAnsi" w:cstheme="minorHAnsi"/>
                <w:sz w:val="16"/>
                <w:szCs w:val="16"/>
              </w:rPr>
              <w:t xml:space="preserve">, disease-free survival; </w:t>
            </w:r>
            <w:r w:rsidR="00B240B3" w:rsidRPr="000C08D8">
              <w:rPr>
                <w:rFonts w:asciiTheme="minorHAnsi" w:hAnsiTheme="minorHAnsi" w:cstheme="minorHAnsi"/>
                <w:b/>
                <w:bCs/>
                <w:sz w:val="16"/>
                <w:szCs w:val="16"/>
              </w:rPr>
              <w:t>DSS</w:t>
            </w:r>
            <w:r w:rsidR="00B240B3" w:rsidRPr="000C08D8">
              <w:rPr>
                <w:rFonts w:asciiTheme="minorHAnsi" w:hAnsiTheme="minorHAnsi" w:cstheme="minorHAnsi"/>
                <w:sz w:val="16"/>
                <w:szCs w:val="16"/>
              </w:rPr>
              <w:t xml:space="preserve">, disease-specific survival; </w:t>
            </w:r>
            <w:r w:rsidR="00B240B3" w:rsidRPr="000C08D8">
              <w:rPr>
                <w:rFonts w:asciiTheme="minorHAnsi" w:hAnsiTheme="minorHAnsi" w:cstheme="minorHAnsi"/>
                <w:b/>
                <w:bCs/>
                <w:sz w:val="16"/>
                <w:szCs w:val="16"/>
              </w:rPr>
              <w:t>EBRT</w:t>
            </w:r>
            <w:r w:rsidR="00B240B3" w:rsidRPr="000C08D8">
              <w:rPr>
                <w:rFonts w:asciiTheme="minorHAnsi" w:hAnsiTheme="minorHAnsi" w:cstheme="minorHAnsi"/>
                <w:sz w:val="16"/>
                <w:szCs w:val="16"/>
              </w:rPr>
              <w:t xml:space="preserve">, external beam radiotherapy; </w:t>
            </w:r>
            <w:r w:rsidR="00B240B3" w:rsidRPr="000C08D8">
              <w:rPr>
                <w:rFonts w:asciiTheme="minorHAnsi" w:hAnsiTheme="minorHAnsi" w:cstheme="minorHAnsi"/>
                <w:b/>
                <w:bCs/>
                <w:sz w:val="16"/>
                <w:szCs w:val="16"/>
              </w:rPr>
              <w:t>EORTC</w:t>
            </w:r>
            <w:r w:rsidR="00B240B3" w:rsidRPr="000C08D8">
              <w:rPr>
                <w:rFonts w:asciiTheme="minorHAnsi" w:hAnsiTheme="minorHAnsi" w:cstheme="minorHAnsi"/>
                <w:sz w:val="16"/>
                <w:szCs w:val="16"/>
              </w:rPr>
              <w:t xml:space="preserve">, European Organisation for Research and Treatment of Cancer; </w:t>
            </w:r>
            <w:r w:rsidR="00B240B3" w:rsidRPr="000C08D8">
              <w:rPr>
                <w:rFonts w:asciiTheme="minorHAnsi" w:hAnsiTheme="minorHAnsi" w:cstheme="minorHAnsi"/>
                <w:b/>
                <w:bCs/>
                <w:sz w:val="16"/>
                <w:szCs w:val="16"/>
              </w:rPr>
              <w:t>FU</w:t>
            </w:r>
            <w:r w:rsidR="00B240B3" w:rsidRPr="000C08D8">
              <w:rPr>
                <w:rFonts w:asciiTheme="minorHAnsi" w:hAnsiTheme="minorHAnsi" w:cstheme="minorHAnsi"/>
                <w:sz w:val="16"/>
                <w:szCs w:val="16"/>
              </w:rPr>
              <w:t xml:space="preserve">, follow up; </w:t>
            </w:r>
            <w:r w:rsidR="00B240B3" w:rsidRPr="000C08D8">
              <w:rPr>
                <w:rFonts w:asciiTheme="minorHAnsi" w:hAnsiTheme="minorHAnsi" w:cstheme="minorHAnsi"/>
                <w:b/>
                <w:bCs/>
                <w:sz w:val="16"/>
                <w:szCs w:val="16"/>
              </w:rPr>
              <w:t>GTR</w:t>
            </w:r>
            <w:r w:rsidR="00B240B3" w:rsidRPr="000C08D8">
              <w:rPr>
                <w:rFonts w:asciiTheme="minorHAnsi" w:hAnsiTheme="minorHAnsi" w:cstheme="minorHAnsi"/>
                <w:sz w:val="16"/>
                <w:szCs w:val="16"/>
              </w:rPr>
              <w:t xml:space="preserve">, gross total resection; </w:t>
            </w:r>
            <w:r w:rsidR="00B240B3" w:rsidRPr="000C08D8">
              <w:rPr>
                <w:rFonts w:asciiTheme="minorHAnsi" w:hAnsiTheme="minorHAnsi" w:cstheme="minorHAnsi"/>
                <w:b/>
                <w:bCs/>
                <w:sz w:val="16"/>
                <w:szCs w:val="16"/>
              </w:rPr>
              <w:t>HDR</w:t>
            </w:r>
            <w:r w:rsidR="00B240B3" w:rsidRPr="000C08D8">
              <w:rPr>
                <w:rFonts w:asciiTheme="minorHAnsi" w:hAnsiTheme="minorHAnsi" w:cstheme="minorHAnsi"/>
                <w:sz w:val="16"/>
                <w:szCs w:val="16"/>
              </w:rPr>
              <w:t xml:space="preserve">, high dose rate; </w:t>
            </w:r>
            <w:r w:rsidR="00B240B3" w:rsidRPr="000C08D8">
              <w:rPr>
                <w:rFonts w:asciiTheme="minorHAnsi" w:hAnsiTheme="minorHAnsi" w:cstheme="minorHAnsi"/>
                <w:b/>
                <w:bCs/>
                <w:sz w:val="16"/>
                <w:szCs w:val="16"/>
              </w:rPr>
              <w:t>HNC</w:t>
            </w:r>
            <w:r w:rsidR="00B240B3" w:rsidRPr="000C08D8">
              <w:rPr>
                <w:rFonts w:asciiTheme="minorHAnsi" w:hAnsiTheme="minorHAnsi" w:cstheme="minorHAnsi"/>
                <w:sz w:val="16"/>
                <w:szCs w:val="16"/>
              </w:rPr>
              <w:t xml:space="preserve">, head and neck cancer; </w:t>
            </w:r>
            <w:r w:rsidR="00B240B3" w:rsidRPr="000C08D8">
              <w:rPr>
                <w:rFonts w:asciiTheme="minorHAnsi" w:hAnsiTheme="minorHAnsi" w:cstheme="minorHAnsi"/>
                <w:b/>
                <w:bCs/>
                <w:sz w:val="16"/>
                <w:szCs w:val="16"/>
              </w:rPr>
              <w:t>HNSCC</w:t>
            </w:r>
            <w:r w:rsidR="00B240B3" w:rsidRPr="000C08D8">
              <w:rPr>
                <w:rFonts w:asciiTheme="minorHAnsi" w:hAnsiTheme="minorHAnsi" w:cstheme="minorHAnsi"/>
                <w:sz w:val="16"/>
                <w:szCs w:val="16"/>
              </w:rPr>
              <w:t xml:space="preserve">, head and neck squamous cell carcinoma; </w:t>
            </w:r>
            <w:r w:rsidR="00B240B3" w:rsidRPr="000C08D8">
              <w:rPr>
                <w:rFonts w:asciiTheme="minorHAnsi" w:hAnsiTheme="minorHAnsi" w:cstheme="minorHAnsi"/>
                <w:b/>
                <w:bCs/>
                <w:sz w:val="16"/>
                <w:szCs w:val="16"/>
              </w:rPr>
              <w:t>LC</w:t>
            </w:r>
            <w:r w:rsidR="00B240B3" w:rsidRPr="000C08D8">
              <w:rPr>
                <w:rFonts w:asciiTheme="minorHAnsi" w:hAnsiTheme="minorHAnsi" w:cstheme="minorHAnsi"/>
                <w:sz w:val="16"/>
                <w:szCs w:val="16"/>
              </w:rPr>
              <w:t xml:space="preserve">, local control; </w:t>
            </w:r>
            <w:r w:rsidR="00B240B3" w:rsidRPr="000C08D8">
              <w:rPr>
                <w:rFonts w:asciiTheme="minorHAnsi" w:hAnsiTheme="minorHAnsi" w:cstheme="minorHAnsi"/>
                <w:b/>
                <w:bCs/>
                <w:sz w:val="16"/>
                <w:szCs w:val="16"/>
              </w:rPr>
              <w:t>LRC</w:t>
            </w:r>
            <w:r w:rsidR="00B240B3" w:rsidRPr="000C08D8">
              <w:rPr>
                <w:rFonts w:asciiTheme="minorHAnsi" w:hAnsiTheme="minorHAnsi" w:cstheme="minorHAnsi"/>
                <w:sz w:val="16"/>
                <w:szCs w:val="16"/>
              </w:rPr>
              <w:t xml:space="preserve">, locoregional control; </w:t>
            </w:r>
            <w:r w:rsidR="00B240B3" w:rsidRPr="000C08D8">
              <w:rPr>
                <w:rFonts w:asciiTheme="minorHAnsi" w:hAnsiTheme="minorHAnsi" w:cstheme="minorHAnsi"/>
                <w:b/>
                <w:bCs/>
                <w:sz w:val="16"/>
                <w:szCs w:val="16"/>
              </w:rPr>
              <w:t>ORN</w:t>
            </w:r>
            <w:r w:rsidR="00B240B3" w:rsidRPr="000C08D8">
              <w:rPr>
                <w:rFonts w:asciiTheme="minorHAnsi" w:hAnsiTheme="minorHAnsi" w:cstheme="minorHAnsi"/>
                <w:sz w:val="16"/>
                <w:szCs w:val="16"/>
              </w:rPr>
              <w:t xml:space="preserve">, osteoradionecrosis; </w:t>
            </w:r>
            <w:r w:rsidR="00B240B3" w:rsidRPr="000C08D8">
              <w:rPr>
                <w:rFonts w:asciiTheme="minorHAnsi" w:hAnsiTheme="minorHAnsi" w:cstheme="minorHAnsi"/>
                <w:b/>
                <w:bCs/>
                <w:sz w:val="16"/>
                <w:szCs w:val="16"/>
              </w:rPr>
              <w:t>OS</w:t>
            </w:r>
            <w:r w:rsidR="00B240B3" w:rsidRPr="000C08D8">
              <w:rPr>
                <w:rFonts w:asciiTheme="minorHAnsi" w:hAnsiTheme="minorHAnsi" w:cstheme="minorHAnsi"/>
                <w:sz w:val="16"/>
                <w:szCs w:val="16"/>
              </w:rPr>
              <w:t xml:space="preserve">, overall survival; </w:t>
            </w:r>
            <w:r w:rsidR="00B240B3" w:rsidRPr="000C08D8">
              <w:rPr>
                <w:rFonts w:asciiTheme="minorHAnsi" w:hAnsiTheme="minorHAnsi" w:cstheme="minorHAnsi"/>
                <w:b/>
                <w:bCs/>
                <w:sz w:val="16"/>
                <w:szCs w:val="16"/>
              </w:rPr>
              <w:t>OTSCC</w:t>
            </w:r>
            <w:r w:rsidR="00B240B3" w:rsidRPr="000C08D8">
              <w:rPr>
                <w:rFonts w:asciiTheme="minorHAnsi" w:hAnsiTheme="minorHAnsi" w:cstheme="minorHAnsi"/>
                <w:sz w:val="16"/>
                <w:szCs w:val="16"/>
              </w:rPr>
              <w:t xml:space="preserve">, oral tongue squamous cell carcinoma; </w:t>
            </w:r>
            <w:r>
              <w:rPr>
                <w:rFonts w:asciiTheme="minorHAnsi" w:hAnsiTheme="minorHAnsi" w:cstheme="minorHAnsi"/>
                <w:b/>
                <w:bCs/>
                <w:sz w:val="16"/>
                <w:szCs w:val="16"/>
              </w:rPr>
              <w:t>POIRT</w:t>
            </w:r>
            <w:r w:rsidR="00B240B3" w:rsidRPr="000C08D8">
              <w:rPr>
                <w:rFonts w:asciiTheme="minorHAnsi" w:hAnsiTheme="minorHAnsi" w:cstheme="minorHAnsi"/>
                <w:sz w:val="16"/>
                <w:szCs w:val="16"/>
              </w:rPr>
              <w:t xml:space="preserve">, peri-operative </w:t>
            </w:r>
            <w:r>
              <w:rPr>
                <w:rFonts w:asciiTheme="minorHAnsi" w:hAnsiTheme="minorHAnsi" w:cstheme="minorHAnsi"/>
                <w:sz w:val="16"/>
                <w:szCs w:val="16"/>
              </w:rPr>
              <w:t>interventional radiotherapy</w:t>
            </w:r>
            <w:r w:rsidR="00B240B3" w:rsidRPr="000C08D8">
              <w:rPr>
                <w:rFonts w:asciiTheme="minorHAnsi" w:hAnsiTheme="minorHAnsi" w:cstheme="minorHAnsi"/>
                <w:sz w:val="16"/>
                <w:szCs w:val="16"/>
              </w:rPr>
              <w:t xml:space="preserve">; </w:t>
            </w:r>
            <w:r w:rsidR="00B240B3" w:rsidRPr="000C08D8">
              <w:rPr>
                <w:rFonts w:asciiTheme="minorHAnsi" w:hAnsiTheme="minorHAnsi" w:cstheme="minorHAnsi"/>
                <w:b/>
                <w:bCs/>
                <w:sz w:val="16"/>
                <w:szCs w:val="16"/>
              </w:rPr>
              <w:t>pt</w:t>
            </w:r>
            <w:r w:rsidR="00B240B3" w:rsidRPr="000C08D8">
              <w:rPr>
                <w:rFonts w:asciiTheme="minorHAnsi" w:hAnsiTheme="minorHAnsi" w:cstheme="minorHAnsi"/>
                <w:sz w:val="16"/>
                <w:szCs w:val="16"/>
              </w:rPr>
              <w:t xml:space="preserve">, patient; </w:t>
            </w:r>
            <w:r w:rsidR="00B240B3" w:rsidRPr="000C08D8">
              <w:rPr>
                <w:rFonts w:asciiTheme="minorHAnsi" w:hAnsiTheme="minorHAnsi" w:cstheme="minorHAnsi"/>
                <w:b/>
                <w:bCs/>
                <w:sz w:val="16"/>
                <w:szCs w:val="16"/>
              </w:rPr>
              <w:t>R0</w:t>
            </w:r>
            <w:r w:rsidR="00B240B3" w:rsidRPr="000C08D8">
              <w:rPr>
                <w:rFonts w:asciiTheme="minorHAnsi" w:hAnsiTheme="minorHAnsi" w:cstheme="minorHAnsi"/>
                <w:sz w:val="16"/>
                <w:szCs w:val="16"/>
              </w:rPr>
              <w:t xml:space="preserve">, negative margins; </w:t>
            </w:r>
            <w:r w:rsidR="00B240B3" w:rsidRPr="000C08D8">
              <w:rPr>
                <w:rFonts w:asciiTheme="minorHAnsi" w:hAnsiTheme="minorHAnsi" w:cstheme="minorHAnsi"/>
                <w:b/>
                <w:bCs/>
                <w:sz w:val="16"/>
                <w:szCs w:val="16"/>
              </w:rPr>
              <w:t>R1</w:t>
            </w:r>
            <w:r w:rsidR="00B240B3" w:rsidRPr="000C08D8">
              <w:rPr>
                <w:rFonts w:asciiTheme="minorHAnsi" w:hAnsiTheme="minorHAnsi" w:cstheme="minorHAnsi"/>
                <w:sz w:val="16"/>
                <w:szCs w:val="16"/>
              </w:rPr>
              <w:t xml:space="preserve">, positive margins; </w:t>
            </w:r>
            <w:r w:rsidR="00B240B3" w:rsidRPr="000C08D8">
              <w:rPr>
                <w:rFonts w:asciiTheme="minorHAnsi" w:hAnsiTheme="minorHAnsi" w:cstheme="minorHAnsi"/>
                <w:b/>
                <w:bCs/>
                <w:sz w:val="16"/>
                <w:szCs w:val="16"/>
              </w:rPr>
              <w:t>RC</w:t>
            </w:r>
            <w:r w:rsidR="00B240B3" w:rsidRPr="000C08D8">
              <w:rPr>
                <w:rFonts w:asciiTheme="minorHAnsi" w:hAnsiTheme="minorHAnsi" w:cstheme="minorHAnsi"/>
                <w:sz w:val="16"/>
                <w:szCs w:val="16"/>
              </w:rPr>
              <w:t xml:space="preserve">, regional control; </w:t>
            </w:r>
            <w:r w:rsidR="00B240B3" w:rsidRPr="000C08D8">
              <w:rPr>
                <w:rFonts w:asciiTheme="minorHAnsi" w:hAnsiTheme="minorHAnsi" w:cstheme="minorHAnsi"/>
                <w:b/>
                <w:bCs/>
                <w:sz w:val="16"/>
                <w:szCs w:val="16"/>
              </w:rPr>
              <w:t>RFS</w:t>
            </w:r>
            <w:r w:rsidR="00B240B3" w:rsidRPr="000C08D8">
              <w:rPr>
                <w:rFonts w:asciiTheme="minorHAnsi" w:hAnsiTheme="minorHAnsi" w:cstheme="minorHAnsi"/>
                <w:sz w:val="16"/>
                <w:szCs w:val="16"/>
              </w:rPr>
              <w:t xml:space="preserve">, recurrence-free survival; </w:t>
            </w:r>
            <w:r w:rsidR="00B240B3" w:rsidRPr="000C08D8">
              <w:rPr>
                <w:rFonts w:asciiTheme="minorHAnsi" w:hAnsiTheme="minorHAnsi" w:cstheme="minorHAnsi"/>
                <w:b/>
                <w:bCs/>
                <w:sz w:val="16"/>
                <w:szCs w:val="16"/>
              </w:rPr>
              <w:t>RTOG</w:t>
            </w:r>
            <w:r w:rsidR="00B240B3" w:rsidRPr="000C08D8">
              <w:rPr>
                <w:rFonts w:asciiTheme="minorHAnsi" w:hAnsiTheme="minorHAnsi" w:cstheme="minorHAnsi"/>
                <w:sz w:val="16"/>
                <w:szCs w:val="16"/>
              </w:rPr>
              <w:t xml:space="preserve">, Radiation Therapy Oncology Group; </w:t>
            </w:r>
            <w:r w:rsidR="00B240B3" w:rsidRPr="000C08D8">
              <w:rPr>
                <w:rFonts w:asciiTheme="minorHAnsi" w:hAnsiTheme="minorHAnsi" w:cstheme="minorHAnsi"/>
                <w:b/>
                <w:bCs/>
                <w:sz w:val="16"/>
                <w:szCs w:val="16"/>
              </w:rPr>
              <w:t>SCC</w:t>
            </w:r>
            <w:r w:rsidR="00B240B3" w:rsidRPr="000C08D8">
              <w:rPr>
                <w:rFonts w:asciiTheme="minorHAnsi" w:hAnsiTheme="minorHAnsi" w:cstheme="minorHAnsi"/>
                <w:sz w:val="16"/>
                <w:szCs w:val="16"/>
              </w:rPr>
              <w:t xml:space="preserve">, squamous cell carcinoma; </w:t>
            </w:r>
            <w:r w:rsidR="00B240B3" w:rsidRPr="000C08D8">
              <w:rPr>
                <w:rFonts w:asciiTheme="minorHAnsi" w:hAnsiTheme="minorHAnsi" w:cstheme="minorHAnsi"/>
                <w:b/>
                <w:bCs/>
                <w:sz w:val="16"/>
                <w:szCs w:val="16"/>
              </w:rPr>
              <w:t>SNC</w:t>
            </w:r>
            <w:r w:rsidR="00B240B3" w:rsidRPr="000C08D8">
              <w:rPr>
                <w:rFonts w:asciiTheme="minorHAnsi" w:hAnsiTheme="minorHAnsi" w:cstheme="minorHAnsi"/>
                <w:sz w:val="16"/>
                <w:szCs w:val="16"/>
              </w:rPr>
              <w:t xml:space="preserve">, sinonasal cancer; </w:t>
            </w:r>
            <w:r w:rsidR="00B240B3" w:rsidRPr="000C08D8">
              <w:rPr>
                <w:rFonts w:asciiTheme="minorHAnsi" w:hAnsiTheme="minorHAnsi" w:cstheme="minorHAnsi"/>
                <w:b/>
                <w:bCs/>
                <w:sz w:val="16"/>
                <w:szCs w:val="16"/>
              </w:rPr>
              <w:t>STN</w:t>
            </w:r>
            <w:r w:rsidR="00B240B3" w:rsidRPr="000C08D8">
              <w:rPr>
                <w:rFonts w:asciiTheme="minorHAnsi" w:hAnsiTheme="minorHAnsi" w:cstheme="minorHAnsi"/>
                <w:sz w:val="16"/>
                <w:szCs w:val="16"/>
              </w:rPr>
              <w:t xml:space="preserve">, soft tissue necrosis; </w:t>
            </w:r>
            <w:r w:rsidR="00B240B3" w:rsidRPr="000C08D8">
              <w:rPr>
                <w:rFonts w:asciiTheme="minorHAnsi" w:hAnsiTheme="minorHAnsi" w:cstheme="minorHAnsi"/>
                <w:b/>
                <w:bCs/>
                <w:sz w:val="16"/>
                <w:szCs w:val="16"/>
              </w:rPr>
              <w:t>UICC</w:t>
            </w:r>
            <w:r w:rsidR="00B240B3" w:rsidRPr="000C08D8">
              <w:rPr>
                <w:rFonts w:asciiTheme="minorHAnsi" w:hAnsiTheme="minorHAnsi" w:cstheme="minorHAnsi"/>
                <w:sz w:val="16"/>
                <w:szCs w:val="16"/>
              </w:rPr>
              <w:t xml:space="preserve">, Union for International Cancer Control; </w:t>
            </w:r>
            <w:r w:rsidR="00B240B3" w:rsidRPr="000C08D8">
              <w:rPr>
                <w:rFonts w:asciiTheme="minorHAnsi" w:hAnsiTheme="minorHAnsi" w:cstheme="minorHAnsi"/>
                <w:b/>
                <w:bCs/>
                <w:sz w:val="16"/>
                <w:szCs w:val="16"/>
              </w:rPr>
              <w:t>v</w:t>
            </w:r>
            <w:r w:rsidR="00B240B3" w:rsidRPr="000C08D8">
              <w:rPr>
                <w:rFonts w:asciiTheme="minorHAnsi" w:hAnsiTheme="minorHAnsi" w:cstheme="minorHAnsi"/>
                <w:sz w:val="16"/>
                <w:szCs w:val="16"/>
              </w:rPr>
              <w:t xml:space="preserve">, version; </w:t>
            </w:r>
            <w:r w:rsidR="00B240B3" w:rsidRPr="000C08D8">
              <w:rPr>
                <w:rFonts w:asciiTheme="minorHAnsi" w:hAnsiTheme="minorHAnsi" w:cstheme="minorHAnsi"/>
                <w:b/>
                <w:bCs/>
                <w:sz w:val="16"/>
                <w:szCs w:val="16"/>
              </w:rPr>
              <w:t>y</w:t>
            </w:r>
            <w:r w:rsidR="00B240B3" w:rsidRPr="000C08D8">
              <w:rPr>
                <w:rFonts w:asciiTheme="minorHAnsi" w:hAnsiTheme="minorHAnsi" w:cstheme="minorHAnsi"/>
                <w:sz w:val="16"/>
                <w:szCs w:val="16"/>
              </w:rPr>
              <w:t>, year</w:t>
            </w:r>
          </w:p>
        </w:tc>
      </w:tr>
    </w:tbl>
    <w:p w14:paraId="7489E12B" w14:textId="77777777" w:rsidR="00B240B3" w:rsidRDefault="00B240B3" w:rsidP="00D241A9">
      <w:pPr>
        <w:tabs>
          <w:tab w:val="left" w:pos="2629"/>
        </w:tabs>
        <w:rPr>
          <w:rFonts w:ascii="Calibri" w:hAnsi="Calibri" w:cs="Calibri"/>
        </w:rPr>
      </w:pPr>
    </w:p>
    <w:sectPr w:rsidR="00B240B3" w:rsidSect="00D00486">
      <w:headerReference w:type="even" r:id="rId8"/>
      <w:headerReference w:type="default" r:id="rId9"/>
      <w:footerReference w:type="even" r:id="rId10"/>
      <w:footerReference w:type="default" r:id="rId11"/>
      <w:headerReference w:type="first" r:id="rId12"/>
      <w:footerReference w:type="first" r:id="rId13"/>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A33C2" w14:textId="77777777" w:rsidR="004C2793" w:rsidRDefault="004C2793" w:rsidP="00512AC3">
      <w:r>
        <w:separator/>
      </w:r>
    </w:p>
  </w:endnote>
  <w:endnote w:type="continuationSeparator" w:id="0">
    <w:p w14:paraId="08D0524A" w14:textId="77777777" w:rsidR="004C2793" w:rsidRDefault="004C2793" w:rsidP="00512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01CA" w14:textId="77777777" w:rsidR="00D74139" w:rsidRDefault="00D741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A9C47" w14:textId="77777777" w:rsidR="00D74139" w:rsidRDefault="00D741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F0DF" w14:textId="77777777" w:rsidR="00D74139" w:rsidRDefault="00D741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112C3" w14:textId="77777777" w:rsidR="004C2793" w:rsidRDefault="004C2793" w:rsidP="00512AC3">
      <w:r>
        <w:separator/>
      </w:r>
    </w:p>
  </w:footnote>
  <w:footnote w:type="continuationSeparator" w:id="0">
    <w:p w14:paraId="59FE56E3" w14:textId="77777777" w:rsidR="004C2793" w:rsidRDefault="004C2793" w:rsidP="00512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DF6D1" w14:textId="77777777" w:rsidR="00D74139" w:rsidRDefault="00D741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0FAF" w14:textId="77777777" w:rsidR="00D74139" w:rsidRDefault="00D741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05DA" w14:textId="77777777" w:rsidR="00D74139" w:rsidRDefault="00D741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F4FCD"/>
    <w:multiLevelType w:val="hybridMultilevel"/>
    <w:tmpl w:val="15ACD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9F353E"/>
    <w:multiLevelType w:val="hybridMultilevel"/>
    <w:tmpl w:val="624675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D9561A"/>
    <w:multiLevelType w:val="hybridMultilevel"/>
    <w:tmpl w:val="6246753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E9A1EE8"/>
    <w:multiLevelType w:val="hybridMultilevel"/>
    <w:tmpl w:val="6246753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8F02576"/>
    <w:multiLevelType w:val="hybridMultilevel"/>
    <w:tmpl w:val="6246753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E580FB0"/>
    <w:multiLevelType w:val="hybridMultilevel"/>
    <w:tmpl w:val="5252713E"/>
    <w:lvl w:ilvl="0" w:tplc="9762F1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72FD3526"/>
    <w:multiLevelType w:val="hybridMultilevel"/>
    <w:tmpl w:val="80247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9694069">
    <w:abstractNumId w:val="6"/>
  </w:num>
  <w:num w:numId="2" w16cid:durableId="410002755">
    <w:abstractNumId w:val="1"/>
  </w:num>
  <w:num w:numId="3" w16cid:durableId="918906640">
    <w:abstractNumId w:val="4"/>
  </w:num>
  <w:num w:numId="4" w16cid:durableId="317268955">
    <w:abstractNumId w:val="3"/>
  </w:num>
  <w:num w:numId="5" w16cid:durableId="859120532">
    <w:abstractNumId w:val="2"/>
  </w:num>
  <w:num w:numId="6" w16cid:durableId="306740980">
    <w:abstractNumId w:val="0"/>
  </w:num>
  <w:num w:numId="7" w16cid:durableId="644506539">
    <w:abstractNumId w:val="7"/>
  </w:num>
  <w:num w:numId="8" w16cid:durableId="19805276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899"/>
    <w:rsid w:val="00011104"/>
    <w:rsid w:val="000266A0"/>
    <w:rsid w:val="00043C52"/>
    <w:rsid w:val="0005783D"/>
    <w:rsid w:val="000619D4"/>
    <w:rsid w:val="00062383"/>
    <w:rsid w:val="00067261"/>
    <w:rsid w:val="0008592A"/>
    <w:rsid w:val="000A4393"/>
    <w:rsid w:val="000C08D8"/>
    <w:rsid w:val="000D1A5B"/>
    <w:rsid w:val="000D425C"/>
    <w:rsid w:val="000E5F3F"/>
    <w:rsid w:val="000F5694"/>
    <w:rsid w:val="00102528"/>
    <w:rsid w:val="00105484"/>
    <w:rsid w:val="0011445E"/>
    <w:rsid w:val="00120325"/>
    <w:rsid w:val="00123BC4"/>
    <w:rsid w:val="00187A67"/>
    <w:rsid w:val="001A026A"/>
    <w:rsid w:val="001A714E"/>
    <w:rsid w:val="001B6694"/>
    <w:rsid w:val="001B7B27"/>
    <w:rsid w:val="001C0AC1"/>
    <w:rsid w:val="001C2D3A"/>
    <w:rsid w:val="001C5BA4"/>
    <w:rsid w:val="001C7066"/>
    <w:rsid w:val="001D5D60"/>
    <w:rsid w:val="001E3B9E"/>
    <w:rsid w:val="0023062F"/>
    <w:rsid w:val="002543FC"/>
    <w:rsid w:val="00264E2B"/>
    <w:rsid w:val="00266052"/>
    <w:rsid w:val="0029735D"/>
    <w:rsid w:val="002C77F7"/>
    <w:rsid w:val="002E5B1F"/>
    <w:rsid w:val="002E6368"/>
    <w:rsid w:val="002F5140"/>
    <w:rsid w:val="00313E82"/>
    <w:rsid w:val="00314B33"/>
    <w:rsid w:val="003165A2"/>
    <w:rsid w:val="00340585"/>
    <w:rsid w:val="00356F0D"/>
    <w:rsid w:val="00361B2C"/>
    <w:rsid w:val="003775CE"/>
    <w:rsid w:val="00384400"/>
    <w:rsid w:val="00394CA7"/>
    <w:rsid w:val="003A64FC"/>
    <w:rsid w:val="003B0CBD"/>
    <w:rsid w:val="003B182A"/>
    <w:rsid w:val="003C490F"/>
    <w:rsid w:val="003D097A"/>
    <w:rsid w:val="003D4FDA"/>
    <w:rsid w:val="003D5445"/>
    <w:rsid w:val="00406057"/>
    <w:rsid w:val="004149CC"/>
    <w:rsid w:val="00423FD5"/>
    <w:rsid w:val="00455021"/>
    <w:rsid w:val="0046638F"/>
    <w:rsid w:val="004C2793"/>
    <w:rsid w:val="004D4E4C"/>
    <w:rsid w:val="004E3127"/>
    <w:rsid w:val="00511715"/>
    <w:rsid w:val="00512AC3"/>
    <w:rsid w:val="00514DDE"/>
    <w:rsid w:val="00525FB0"/>
    <w:rsid w:val="00534F53"/>
    <w:rsid w:val="00547FF1"/>
    <w:rsid w:val="0055019D"/>
    <w:rsid w:val="00572761"/>
    <w:rsid w:val="005763C8"/>
    <w:rsid w:val="00577899"/>
    <w:rsid w:val="00581CB6"/>
    <w:rsid w:val="00593467"/>
    <w:rsid w:val="005B4295"/>
    <w:rsid w:val="005F542E"/>
    <w:rsid w:val="006027F5"/>
    <w:rsid w:val="0064204D"/>
    <w:rsid w:val="00650A52"/>
    <w:rsid w:val="00673AF1"/>
    <w:rsid w:val="00675419"/>
    <w:rsid w:val="00677EDC"/>
    <w:rsid w:val="006847AB"/>
    <w:rsid w:val="00690C76"/>
    <w:rsid w:val="00691248"/>
    <w:rsid w:val="006A0C0A"/>
    <w:rsid w:val="006B15E9"/>
    <w:rsid w:val="006B2241"/>
    <w:rsid w:val="006B24C8"/>
    <w:rsid w:val="006C080A"/>
    <w:rsid w:val="006D0E0B"/>
    <w:rsid w:val="006F1220"/>
    <w:rsid w:val="006F19EF"/>
    <w:rsid w:val="00713E7F"/>
    <w:rsid w:val="0071731C"/>
    <w:rsid w:val="0073622F"/>
    <w:rsid w:val="00750EED"/>
    <w:rsid w:val="00755EB3"/>
    <w:rsid w:val="007719B8"/>
    <w:rsid w:val="00787D53"/>
    <w:rsid w:val="007C06EA"/>
    <w:rsid w:val="007D66CB"/>
    <w:rsid w:val="007E4EBB"/>
    <w:rsid w:val="007E76FD"/>
    <w:rsid w:val="007F586A"/>
    <w:rsid w:val="00800E15"/>
    <w:rsid w:val="00813D24"/>
    <w:rsid w:val="0081478C"/>
    <w:rsid w:val="008249B5"/>
    <w:rsid w:val="0083364E"/>
    <w:rsid w:val="00864DF6"/>
    <w:rsid w:val="008844D4"/>
    <w:rsid w:val="0088690A"/>
    <w:rsid w:val="00891BEC"/>
    <w:rsid w:val="008A69FE"/>
    <w:rsid w:val="008A6E25"/>
    <w:rsid w:val="008C0E37"/>
    <w:rsid w:val="008D021B"/>
    <w:rsid w:val="008D2A23"/>
    <w:rsid w:val="008D7F33"/>
    <w:rsid w:val="008E2CF6"/>
    <w:rsid w:val="00903862"/>
    <w:rsid w:val="00927C31"/>
    <w:rsid w:val="00940B2E"/>
    <w:rsid w:val="00945ADD"/>
    <w:rsid w:val="009A5315"/>
    <w:rsid w:val="009B49F2"/>
    <w:rsid w:val="009C2FF7"/>
    <w:rsid w:val="009E58D0"/>
    <w:rsid w:val="009E60B7"/>
    <w:rsid w:val="009F346D"/>
    <w:rsid w:val="00A144F6"/>
    <w:rsid w:val="00A21DD9"/>
    <w:rsid w:val="00A26DA1"/>
    <w:rsid w:val="00A35469"/>
    <w:rsid w:val="00A42C5A"/>
    <w:rsid w:val="00A469D6"/>
    <w:rsid w:val="00A50AB3"/>
    <w:rsid w:val="00A51A97"/>
    <w:rsid w:val="00A60669"/>
    <w:rsid w:val="00A933E0"/>
    <w:rsid w:val="00AA541E"/>
    <w:rsid w:val="00AC70F6"/>
    <w:rsid w:val="00AD171B"/>
    <w:rsid w:val="00AE1D68"/>
    <w:rsid w:val="00AE624A"/>
    <w:rsid w:val="00AF79A8"/>
    <w:rsid w:val="00B04EF1"/>
    <w:rsid w:val="00B21096"/>
    <w:rsid w:val="00B240B3"/>
    <w:rsid w:val="00B54EBA"/>
    <w:rsid w:val="00B67E45"/>
    <w:rsid w:val="00B67FC9"/>
    <w:rsid w:val="00B82501"/>
    <w:rsid w:val="00B826AD"/>
    <w:rsid w:val="00B92469"/>
    <w:rsid w:val="00B9321B"/>
    <w:rsid w:val="00BB3CD7"/>
    <w:rsid w:val="00BE1E2E"/>
    <w:rsid w:val="00C05FCC"/>
    <w:rsid w:val="00C22674"/>
    <w:rsid w:val="00C22895"/>
    <w:rsid w:val="00C32EF4"/>
    <w:rsid w:val="00C45DB2"/>
    <w:rsid w:val="00C51B3B"/>
    <w:rsid w:val="00C85440"/>
    <w:rsid w:val="00CF1BD7"/>
    <w:rsid w:val="00CF46F5"/>
    <w:rsid w:val="00CF687D"/>
    <w:rsid w:val="00D00486"/>
    <w:rsid w:val="00D02A5A"/>
    <w:rsid w:val="00D241A9"/>
    <w:rsid w:val="00D266E8"/>
    <w:rsid w:val="00D27D16"/>
    <w:rsid w:val="00D27FF6"/>
    <w:rsid w:val="00D35956"/>
    <w:rsid w:val="00D378E3"/>
    <w:rsid w:val="00D51BF5"/>
    <w:rsid w:val="00D632A8"/>
    <w:rsid w:val="00D74139"/>
    <w:rsid w:val="00DC5CF1"/>
    <w:rsid w:val="00E17F89"/>
    <w:rsid w:val="00E277F1"/>
    <w:rsid w:val="00E53BEB"/>
    <w:rsid w:val="00E7100E"/>
    <w:rsid w:val="00E92413"/>
    <w:rsid w:val="00E95AC3"/>
    <w:rsid w:val="00EB37F3"/>
    <w:rsid w:val="00EB4C46"/>
    <w:rsid w:val="00EC1756"/>
    <w:rsid w:val="00EE3776"/>
    <w:rsid w:val="00F06146"/>
    <w:rsid w:val="00F073B5"/>
    <w:rsid w:val="00F101A1"/>
    <w:rsid w:val="00F20B5F"/>
    <w:rsid w:val="00F20D39"/>
    <w:rsid w:val="00F359BD"/>
    <w:rsid w:val="00F51EF4"/>
    <w:rsid w:val="00FB4DF9"/>
    <w:rsid w:val="00FC42C3"/>
    <w:rsid w:val="00FD6212"/>
    <w:rsid w:val="00FE2BF3"/>
    <w:rsid w:val="00FE7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0CDC5"/>
  <w14:defaultImageDpi w14:val="32767"/>
  <w15:chartTrackingRefBased/>
  <w15:docId w15:val="{11F5E256-FF12-1146-B67D-F2858A76E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C2D3A"/>
    <w:rPr>
      <w:rFonts w:ascii="Times New Roman" w:eastAsia="Times New Roman" w:hAnsi="Times New Roman" w:cs="Times New Roman"/>
      <w:lang w:val="en-PH"/>
    </w:rPr>
  </w:style>
  <w:style w:type="paragraph" w:styleId="Heading6">
    <w:name w:val="heading 6"/>
    <w:basedOn w:val="Normal"/>
    <w:next w:val="Normal"/>
    <w:link w:val="Heading6Char"/>
    <w:uiPriority w:val="9"/>
    <w:unhideWhenUsed/>
    <w:qFormat/>
    <w:rsid w:val="000F5694"/>
    <w:pPr>
      <w:spacing w:before="240" w:after="60" w:line="276" w:lineRule="auto"/>
      <w:ind w:left="708"/>
      <w:outlineLvl w:val="5"/>
    </w:pPr>
    <w:rPr>
      <w:rFonts w:ascii="Calibri" w:hAnsi="Calibri"/>
      <w:b/>
      <w:bCs/>
      <w:sz w:val="22"/>
      <w:szCs w:val="22"/>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0F5694"/>
    <w:rPr>
      <w:rFonts w:ascii="Calibri" w:eastAsia="Times New Roman" w:hAnsi="Calibri" w:cs="Times New Roman"/>
      <w:b/>
      <w:bCs/>
      <w:sz w:val="22"/>
      <w:szCs w:val="22"/>
      <w:lang w:val="de-CH"/>
    </w:rPr>
  </w:style>
  <w:style w:type="character" w:styleId="Hyperlink">
    <w:name w:val="Hyperlink"/>
    <w:uiPriority w:val="99"/>
    <w:unhideWhenUsed/>
    <w:rsid w:val="000F5694"/>
    <w:rPr>
      <w:color w:val="0000FF"/>
      <w:u w:val="single"/>
    </w:rPr>
  </w:style>
  <w:style w:type="paragraph" w:customStyle="1" w:styleId="Standardunter5">
    <w:name w:val="Standard unter Ü5"/>
    <w:basedOn w:val="Normal"/>
    <w:qFormat/>
    <w:rsid w:val="000F5694"/>
    <w:pPr>
      <w:spacing w:before="120" w:after="120" w:line="276" w:lineRule="auto"/>
      <w:ind w:left="709"/>
    </w:pPr>
    <w:rPr>
      <w:rFonts w:ascii="Calibri" w:eastAsia="Calibri" w:hAnsi="Calibri"/>
      <w:sz w:val="22"/>
      <w:szCs w:val="22"/>
      <w:lang w:val="en-US"/>
    </w:rPr>
  </w:style>
  <w:style w:type="paragraph" w:customStyle="1" w:styleId="Bulletpoints5">
    <w:name w:val="Bulletpoints Ü5"/>
    <w:basedOn w:val="Standardunter5"/>
    <w:qFormat/>
    <w:rsid w:val="000F5694"/>
    <w:pPr>
      <w:numPr>
        <w:numId w:val="1"/>
      </w:numPr>
      <w:spacing w:after="0"/>
    </w:pPr>
  </w:style>
  <w:style w:type="paragraph" w:styleId="Footer">
    <w:name w:val="footer"/>
    <w:basedOn w:val="Normal"/>
    <w:link w:val="FooterChar"/>
    <w:uiPriority w:val="99"/>
    <w:unhideWhenUsed/>
    <w:rsid w:val="000F5694"/>
    <w:pPr>
      <w:tabs>
        <w:tab w:val="center" w:pos="4536"/>
        <w:tab w:val="right" w:pos="9072"/>
      </w:tabs>
      <w:spacing w:after="200" w:line="276" w:lineRule="auto"/>
    </w:pPr>
    <w:rPr>
      <w:rFonts w:ascii="Calibri" w:eastAsia="Calibri" w:hAnsi="Calibri"/>
      <w:sz w:val="22"/>
      <w:szCs w:val="22"/>
      <w:lang w:val="de-CH"/>
    </w:rPr>
  </w:style>
  <w:style w:type="character" w:customStyle="1" w:styleId="FooterChar">
    <w:name w:val="Footer Char"/>
    <w:basedOn w:val="DefaultParagraphFont"/>
    <w:link w:val="Footer"/>
    <w:uiPriority w:val="99"/>
    <w:rsid w:val="000F5694"/>
    <w:rPr>
      <w:rFonts w:ascii="Calibri" w:eastAsia="Calibri" w:hAnsi="Calibri" w:cs="Times New Roman"/>
      <w:sz w:val="22"/>
      <w:szCs w:val="22"/>
      <w:lang w:val="de-CH"/>
    </w:rPr>
  </w:style>
  <w:style w:type="paragraph" w:styleId="FootnoteText">
    <w:name w:val="footnote text"/>
    <w:basedOn w:val="Normal"/>
    <w:link w:val="FootnoteTextChar"/>
    <w:uiPriority w:val="99"/>
    <w:semiHidden/>
    <w:unhideWhenUsed/>
    <w:rsid w:val="000F5694"/>
    <w:pPr>
      <w:spacing w:after="200" w:line="276" w:lineRule="auto"/>
    </w:pPr>
    <w:rPr>
      <w:rFonts w:ascii="Calibri" w:eastAsia="Calibri" w:hAnsi="Calibri"/>
      <w:sz w:val="20"/>
      <w:szCs w:val="20"/>
      <w:lang w:val="de-CH"/>
    </w:rPr>
  </w:style>
  <w:style w:type="character" w:customStyle="1" w:styleId="FootnoteTextChar">
    <w:name w:val="Footnote Text Char"/>
    <w:basedOn w:val="DefaultParagraphFont"/>
    <w:link w:val="FootnoteText"/>
    <w:uiPriority w:val="99"/>
    <w:semiHidden/>
    <w:rsid w:val="000F5694"/>
    <w:rPr>
      <w:rFonts w:ascii="Calibri" w:eastAsia="Calibri" w:hAnsi="Calibri" w:cs="Times New Roman"/>
      <w:sz w:val="20"/>
      <w:szCs w:val="20"/>
      <w:lang w:val="de-CH"/>
    </w:rPr>
  </w:style>
  <w:style w:type="character" w:styleId="FootnoteReference">
    <w:name w:val="footnote reference"/>
    <w:uiPriority w:val="99"/>
    <w:semiHidden/>
    <w:unhideWhenUsed/>
    <w:rsid w:val="000F5694"/>
    <w:rPr>
      <w:vertAlign w:val="superscript"/>
    </w:rPr>
  </w:style>
  <w:style w:type="character" w:styleId="LineNumber">
    <w:name w:val="line number"/>
    <w:uiPriority w:val="99"/>
    <w:semiHidden/>
    <w:unhideWhenUsed/>
    <w:rsid w:val="000F5694"/>
  </w:style>
  <w:style w:type="paragraph" w:styleId="ListParagraph">
    <w:name w:val="List Paragraph"/>
    <w:basedOn w:val="Normal"/>
    <w:uiPriority w:val="34"/>
    <w:qFormat/>
    <w:rsid w:val="000F5694"/>
    <w:pPr>
      <w:ind w:left="720"/>
      <w:contextualSpacing/>
    </w:pPr>
  </w:style>
  <w:style w:type="character" w:styleId="CommentReference">
    <w:name w:val="annotation reference"/>
    <w:basedOn w:val="DefaultParagraphFont"/>
    <w:uiPriority w:val="99"/>
    <w:semiHidden/>
    <w:unhideWhenUsed/>
    <w:rsid w:val="000F5694"/>
    <w:rPr>
      <w:sz w:val="16"/>
      <w:szCs w:val="16"/>
    </w:rPr>
  </w:style>
  <w:style w:type="paragraph" w:styleId="CommentText">
    <w:name w:val="annotation text"/>
    <w:basedOn w:val="Normal"/>
    <w:link w:val="CommentTextChar"/>
    <w:uiPriority w:val="99"/>
    <w:semiHidden/>
    <w:unhideWhenUsed/>
    <w:rsid w:val="000F5694"/>
    <w:rPr>
      <w:sz w:val="20"/>
      <w:szCs w:val="20"/>
    </w:rPr>
  </w:style>
  <w:style w:type="character" w:customStyle="1" w:styleId="CommentTextChar">
    <w:name w:val="Comment Text Char"/>
    <w:basedOn w:val="DefaultParagraphFont"/>
    <w:link w:val="CommentText"/>
    <w:uiPriority w:val="99"/>
    <w:semiHidden/>
    <w:rsid w:val="000F5694"/>
    <w:rPr>
      <w:rFonts w:ascii="Calibri" w:eastAsia="Calibri" w:hAnsi="Calibri" w:cs="Times New Roman"/>
      <w:sz w:val="20"/>
      <w:szCs w:val="20"/>
      <w:lang w:val="de-CH"/>
    </w:rPr>
  </w:style>
  <w:style w:type="paragraph" w:styleId="CommentSubject">
    <w:name w:val="annotation subject"/>
    <w:basedOn w:val="CommentText"/>
    <w:next w:val="CommentText"/>
    <w:link w:val="CommentSubjectChar"/>
    <w:uiPriority w:val="99"/>
    <w:semiHidden/>
    <w:unhideWhenUsed/>
    <w:rsid w:val="000F5694"/>
    <w:rPr>
      <w:b/>
      <w:bCs/>
    </w:rPr>
  </w:style>
  <w:style w:type="character" w:customStyle="1" w:styleId="CommentSubjectChar">
    <w:name w:val="Comment Subject Char"/>
    <w:basedOn w:val="CommentTextChar"/>
    <w:link w:val="CommentSubject"/>
    <w:uiPriority w:val="99"/>
    <w:semiHidden/>
    <w:rsid w:val="000F5694"/>
    <w:rPr>
      <w:rFonts w:ascii="Calibri" w:eastAsia="Calibri" w:hAnsi="Calibri" w:cs="Times New Roman"/>
      <w:b/>
      <w:bCs/>
      <w:sz w:val="20"/>
      <w:szCs w:val="20"/>
      <w:lang w:val="de-CH"/>
    </w:rPr>
  </w:style>
  <w:style w:type="table" w:styleId="TableGrid">
    <w:name w:val="Table Grid"/>
    <w:basedOn w:val="TableNormal"/>
    <w:uiPriority w:val="59"/>
    <w:rsid w:val="000F5694"/>
    <w:rPr>
      <w:rFonts w:ascii="Calibri" w:eastAsia="Calibri" w:hAnsi="Calibri"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F5694"/>
    <w:pPr>
      <w:spacing w:before="100" w:beforeAutospacing="1" w:after="100" w:afterAutospacing="1"/>
    </w:pPr>
  </w:style>
  <w:style w:type="character" w:styleId="UnresolvedMention">
    <w:name w:val="Unresolved Mention"/>
    <w:basedOn w:val="DefaultParagraphFont"/>
    <w:uiPriority w:val="99"/>
    <w:unhideWhenUsed/>
    <w:rsid w:val="000F5694"/>
    <w:rPr>
      <w:color w:val="605E5C"/>
      <w:shd w:val="clear" w:color="auto" w:fill="E1DFDD"/>
    </w:rPr>
  </w:style>
  <w:style w:type="character" w:styleId="FollowedHyperlink">
    <w:name w:val="FollowedHyperlink"/>
    <w:basedOn w:val="DefaultParagraphFont"/>
    <w:uiPriority w:val="99"/>
    <w:semiHidden/>
    <w:unhideWhenUsed/>
    <w:rsid w:val="000F5694"/>
    <w:rPr>
      <w:color w:val="954F72" w:themeColor="followedHyperlink"/>
      <w:u w:val="single"/>
    </w:rPr>
  </w:style>
  <w:style w:type="paragraph" w:customStyle="1" w:styleId="msonormal0">
    <w:name w:val="msonormal"/>
    <w:basedOn w:val="Normal"/>
    <w:rsid w:val="000F5694"/>
    <w:pPr>
      <w:spacing w:before="100" w:beforeAutospacing="1" w:after="100" w:afterAutospacing="1"/>
    </w:pPr>
  </w:style>
  <w:style w:type="paragraph" w:customStyle="1" w:styleId="font0">
    <w:name w:val="font0"/>
    <w:basedOn w:val="Normal"/>
    <w:rsid w:val="000F5694"/>
    <w:pPr>
      <w:spacing w:before="100" w:beforeAutospacing="1" w:after="100" w:afterAutospacing="1"/>
    </w:pPr>
    <w:rPr>
      <w:rFonts w:ascii="Calibri" w:hAnsi="Calibri" w:cs="Calibri"/>
      <w:color w:val="000000"/>
    </w:rPr>
  </w:style>
  <w:style w:type="paragraph" w:customStyle="1" w:styleId="font5">
    <w:name w:val="font5"/>
    <w:basedOn w:val="Normal"/>
    <w:rsid w:val="000F5694"/>
    <w:pPr>
      <w:spacing w:before="100" w:beforeAutospacing="1" w:after="100" w:afterAutospacing="1"/>
    </w:pPr>
    <w:rPr>
      <w:rFonts w:ascii="Calibri" w:hAnsi="Calibri" w:cs="Calibri"/>
      <w:b/>
      <w:bCs/>
      <w:color w:val="000000"/>
    </w:rPr>
  </w:style>
  <w:style w:type="paragraph" w:customStyle="1" w:styleId="font6">
    <w:name w:val="font6"/>
    <w:basedOn w:val="Normal"/>
    <w:rsid w:val="000F5694"/>
    <w:pPr>
      <w:spacing w:before="100" w:beforeAutospacing="1" w:after="100" w:afterAutospacing="1"/>
    </w:pPr>
    <w:rPr>
      <w:rFonts w:ascii="Calibri" w:hAnsi="Calibri" w:cs="Calibri"/>
      <w:color w:val="833C0C"/>
    </w:rPr>
  </w:style>
  <w:style w:type="paragraph" w:customStyle="1" w:styleId="font7">
    <w:name w:val="font7"/>
    <w:basedOn w:val="Normal"/>
    <w:rsid w:val="000F5694"/>
    <w:pPr>
      <w:spacing w:before="100" w:beforeAutospacing="1" w:after="100" w:afterAutospacing="1"/>
    </w:pPr>
    <w:rPr>
      <w:rFonts w:ascii="Calibri" w:hAnsi="Calibri" w:cs="Calibri"/>
    </w:rPr>
  </w:style>
  <w:style w:type="paragraph" w:customStyle="1" w:styleId="xl65">
    <w:name w:val="xl65"/>
    <w:basedOn w:val="Normal"/>
    <w:rsid w:val="000F5694"/>
    <w:pPr>
      <w:spacing w:before="100" w:beforeAutospacing="1" w:after="100" w:afterAutospacing="1"/>
    </w:pPr>
  </w:style>
  <w:style w:type="paragraph" w:customStyle="1" w:styleId="xl66">
    <w:name w:val="xl66"/>
    <w:basedOn w:val="Normal"/>
    <w:rsid w:val="000F5694"/>
    <w:pPr>
      <w:spacing w:before="100" w:beforeAutospacing="1" w:after="100" w:afterAutospacing="1"/>
    </w:pPr>
  </w:style>
  <w:style w:type="paragraph" w:customStyle="1" w:styleId="xl67">
    <w:name w:val="xl67"/>
    <w:basedOn w:val="Normal"/>
    <w:rsid w:val="000F5694"/>
    <w:pPr>
      <w:spacing w:before="100" w:beforeAutospacing="1" w:after="100" w:afterAutospacing="1"/>
      <w:jc w:val="center"/>
    </w:pPr>
  </w:style>
  <w:style w:type="paragraph" w:customStyle="1" w:styleId="xl68">
    <w:name w:val="xl68"/>
    <w:basedOn w:val="Normal"/>
    <w:rsid w:val="000F5694"/>
    <w:pPr>
      <w:spacing w:before="100" w:beforeAutospacing="1" w:after="100" w:afterAutospacing="1"/>
      <w:jc w:val="center"/>
    </w:pPr>
  </w:style>
  <w:style w:type="paragraph" w:customStyle="1" w:styleId="xl69">
    <w:name w:val="xl69"/>
    <w:basedOn w:val="Normal"/>
    <w:rsid w:val="000F5694"/>
    <w:pPr>
      <w:shd w:val="clear" w:color="000000" w:fill="548235"/>
      <w:spacing w:before="100" w:beforeAutospacing="1" w:after="100" w:afterAutospacing="1"/>
      <w:jc w:val="center"/>
    </w:pPr>
    <w:rPr>
      <w:b/>
      <w:bCs/>
    </w:rPr>
  </w:style>
  <w:style w:type="paragraph" w:customStyle="1" w:styleId="xl70">
    <w:name w:val="xl70"/>
    <w:basedOn w:val="Normal"/>
    <w:rsid w:val="000F5694"/>
    <w:pPr>
      <w:spacing w:before="100" w:beforeAutospacing="1" w:after="100" w:afterAutospacing="1"/>
    </w:pPr>
    <w:rPr>
      <w:b/>
      <w:bCs/>
    </w:rPr>
  </w:style>
  <w:style w:type="paragraph" w:customStyle="1" w:styleId="xl71">
    <w:name w:val="xl71"/>
    <w:basedOn w:val="Normal"/>
    <w:rsid w:val="000F5694"/>
    <w:pPr>
      <w:spacing w:before="100" w:beforeAutospacing="1" w:after="100" w:afterAutospacing="1"/>
      <w:jc w:val="center"/>
    </w:pPr>
  </w:style>
  <w:style w:type="paragraph" w:customStyle="1" w:styleId="xl72">
    <w:name w:val="xl72"/>
    <w:basedOn w:val="Normal"/>
    <w:rsid w:val="000F5694"/>
    <w:pPr>
      <w:spacing w:before="100" w:beforeAutospacing="1" w:after="100" w:afterAutospacing="1"/>
      <w:jc w:val="center"/>
    </w:pPr>
  </w:style>
  <w:style w:type="paragraph" w:customStyle="1" w:styleId="xl73">
    <w:name w:val="xl73"/>
    <w:basedOn w:val="Normal"/>
    <w:rsid w:val="000F5694"/>
    <w:pPr>
      <w:spacing w:before="100" w:beforeAutospacing="1" w:after="100" w:afterAutospacing="1"/>
      <w:jc w:val="center"/>
    </w:pPr>
  </w:style>
  <w:style w:type="paragraph" w:customStyle="1" w:styleId="xl74">
    <w:name w:val="xl74"/>
    <w:basedOn w:val="Normal"/>
    <w:rsid w:val="000F5694"/>
    <w:pPr>
      <w:shd w:val="clear" w:color="000000" w:fill="2F75B5"/>
      <w:spacing w:before="100" w:beforeAutospacing="1" w:after="100" w:afterAutospacing="1"/>
    </w:pPr>
  </w:style>
  <w:style w:type="paragraph" w:customStyle="1" w:styleId="xl75">
    <w:name w:val="xl75"/>
    <w:basedOn w:val="Normal"/>
    <w:rsid w:val="000F5694"/>
    <w:pPr>
      <w:shd w:val="clear" w:color="000000" w:fill="2F75B5"/>
      <w:spacing w:before="100" w:beforeAutospacing="1" w:after="100" w:afterAutospacing="1"/>
      <w:jc w:val="center"/>
    </w:pPr>
    <w:rPr>
      <w:b/>
      <w:bCs/>
    </w:rPr>
  </w:style>
  <w:style w:type="paragraph" w:customStyle="1" w:styleId="xl76">
    <w:name w:val="xl76"/>
    <w:basedOn w:val="Normal"/>
    <w:rsid w:val="000F5694"/>
    <w:pPr>
      <w:shd w:val="clear" w:color="000000" w:fill="2F75B5"/>
      <w:spacing w:before="100" w:beforeAutospacing="1" w:after="100" w:afterAutospacing="1"/>
    </w:pPr>
    <w:rPr>
      <w:b/>
      <w:bCs/>
    </w:rPr>
  </w:style>
  <w:style w:type="paragraph" w:customStyle="1" w:styleId="xl77">
    <w:name w:val="xl77"/>
    <w:basedOn w:val="Normal"/>
    <w:rsid w:val="000F5694"/>
    <w:pPr>
      <w:shd w:val="clear" w:color="000000" w:fill="BF8F00"/>
      <w:spacing w:before="100" w:beforeAutospacing="1" w:after="100" w:afterAutospacing="1"/>
      <w:jc w:val="center"/>
    </w:pPr>
    <w:rPr>
      <w:b/>
      <w:bCs/>
    </w:rPr>
  </w:style>
  <w:style w:type="paragraph" w:customStyle="1" w:styleId="xl78">
    <w:name w:val="xl78"/>
    <w:basedOn w:val="Normal"/>
    <w:rsid w:val="000F5694"/>
    <w:pPr>
      <w:shd w:val="clear" w:color="000000" w:fill="C65911"/>
      <w:spacing w:before="100" w:beforeAutospacing="1" w:after="100" w:afterAutospacing="1"/>
      <w:jc w:val="center"/>
    </w:pPr>
    <w:rPr>
      <w:b/>
      <w:bCs/>
    </w:rPr>
  </w:style>
  <w:style w:type="paragraph" w:customStyle="1" w:styleId="xl79">
    <w:name w:val="xl79"/>
    <w:basedOn w:val="Normal"/>
    <w:rsid w:val="000F5694"/>
    <w:pPr>
      <w:shd w:val="clear" w:color="000000" w:fill="8497B0"/>
      <w:spacing w:before="100" w:beforeAutospacing="1" w:after="100" w:afterAutospacing="1"/>
      <w:jc w:val="center"/>
    </w:pPr>
    <w:rPr>
      <w:b/>
      <w:bCs/>
    </w:rPr>
  </w:style>
  <w:style w:type="paragraph" w:customStyle="1" w:styleId="xl80">
    <w:name w:val="xl80"/>
    <w:basedOn w:val="Normal"/>
    <w:rsid w:val="000F5694"/>
    <w:pPr>
      <w:shd w:val="clear" w:color="000000" w:fill="FFC000"/>
      <w:spacing w:before="100" w:beforeAutospacing="1" w:after="100" w:afterAutospacing="1"/>
      <w:jc w:val="center"/>
    </w:pPr>
    <w:rPr>
      <w:b/>
      <w:bCs/>
    </w:rPr>
  </w:style>
  <w:style w:type="paragraph" w:customStyle="1" w:styleId="xl81">
    <w:name w:val="xl81"/>
    <w:basedOn w:val="Normal"/>
    <w:rsid w:val="000F5694"/>
    <w:pPr>
      <w:shd w:val="clear" w:color="000000" w:fill="8839C7"/>
      <w:spacing w:before="100" w:beforeAutospacing="1" w:after="100" w:afterAutospacing="1"/>
      <w:jc w:val="center"/>
    </w:pPr>
    <w:rPr>
      <w:b/>
      <w:bCs/>
    </w:rPr>
  </w:style>
  <w:style w:type="paragraph" w:customStyle="1" w:styleId="xl82">
    <w:name w:val="xl82"/>
    <w:basedOn w:val="Normal"/>
    <w:rsid w:val="000F5694"/>
    <w:pPr>
      <w:spacing w:before="100" w:beforeAutospacing="1" w:after="100" w:afterAutospacing="1"/>
      <w:jc w:val="center"/>
    </w:pPr>
  </w:style>
  <w:style w:type="paragraph" w:customStyle="1" w:styleId="xl83">
    <w:name w:val="xl83"/>
    <w:basedOn w:val="Normal"/>
    <w:rsid w:val="000F5694"/>
    <w:pPr>
      <w:spacing w:before="100" w:beforeAutospacing="1" w:after="100" w:afterAutospacing="1"/>
      <w:jc w:val="right"/>
      <w:textAlignment w:val="center"/>
    </w:pPr>
  </w:style>
  <w:style w:type="paragraph" w:customStyle="1" w:styleId="xl84">
    <w:name w:val="xl84"/>
    <w:basedOn w:val="Normal"/>
    <w:rsid w:val="000F5694"/>
    <w:pPr>
      <w:spacing w:before="100" w:beforeAutospacing="1" w:after="100" w:afterAutospacing="1"/>
      <w:jc w:val="center"/>
    </w:pPr>
  </w:style>
  <w:style w:type="paragraph" w:customStyle="1" w:styleId="xl85">
    <w:name w:val="xl85"/>
    <w:basedOn w:val="Normal"/>
    <w:rsid w:val="000F5694"/>
    <w:pPr>
      <w:spacing w:before="100" w:beforeAutospacing="1" w:after="100" w:afterAutospacing="1"/>
    </w:pPr>
  </w:style>
  <w:style w:type="paragraph" w:customStyle="1" w:styleId="xl86">
    <w:name w:val="xl86"/>
    <w:basedOn w:val="Normal"/>
    <w:rsid w:val="000F5694"/>
    <w:pPr>
      <w:spacing w:before="100" w:beforeAutospacing="1" w:after="100" w:afterAutospacing="1"/>
      <w:textAlignment w:val="center"/>
    </w:pPr>
  </w:style>
  <w:style w:type="paragraph" w:customStyle="1" w:styleId="xl87">
    <w:name w:val="xl87"/>
    <w:basedOn w:val="Normal"/>
    <w:rsid w:val="000F5694"/>
    <w:pPr>
      <w:spacing w:before="100" w:beforeAutospacing="1" w:after="100" w:afterAutospacing="1"/>
      <w:jc w:val="center"/>
      <w:textAlignment w:val="center"/>
    </w:pPr>
  </w:style>
  <w:style w:type="paragraph" w:customStyle="1" w:styleId="xl88">
    <w:name w:val="xl88"/>
    <w:basedOn w:val="Normal"/>
    <w:rsid w:val="000F5694"/>
    <w:pPr>
      <w:pBdr>
        <w:right w:val="single" w:sz="4" w:space="0" w:color="D9D9D9"/>
      </w:pBdr>
      <w:spacing w:before="100" w:beforeAutospacing="1" w:after="100" w:afterAutospacing="1"/>
      <w:textAlignment w:val="center"/>
    </w:pPr>
  </w:style>
  <w:style w:type="paragraph" w:customStyle="1" w:styleId="xl89">
    <w:name w:val="xl89"/>
    <w:basedOn w:val="Normal"/>
    <w:rsid w:val="000F5694"/>
    <w:pPr>
      <w:spacing w:before="100" w:beforeAutospacing="1" w:after="100" w:afterAutospacing="1"/>
      <w:textAlignment w:val="center"/>
    </w:pPr>
  </w:style>
  <w:style w:type="paragraph" w:customStyle="1" w:styleId="xl90">
    <w:name w:val="xl90"/>
    <w:basedOn w:val="Normal"/>
    <w:rsid w:val="000F5694"/>
    <w:pPr>
      <w:spacing w:before="100" w:beforeAutospacing="1" w:after="100" w:afterAutospacing="1"/>
      <w:jc w:val="right"/>
      <w:textAlignment w:val="center"/>
    </w:pPr>
  </w:style>
  <w:style w:type="paragraph" w:customStyle="1" w:styleId="xl91">
    <w:name w:val="xl91"/>
    <w:basedOn w:val="Normal"/>
    <w:rsid w:val="000F5694"/>
    <w:pPr>
      <w:shd w:val="clear" w:color="000000" w:fill="D0CECE"/>
      <w:spacing w:before="100" w:beforeAutospacing="1" w:after="100" w:afterAutospacing="1"/>
    </w:pPr>
  </w:style>
  <w:style w:type="paragraph" w:customStyle="1" w:styleId="xl92">
    <w:name w:val="xl92"/>
    <w:basedOn w:val="Normal"/>
    <w:rsid w:val="000F5694"/>
    <w:pPr>
      <w:shd w:val="clear" w:color="000000" w:fill="D0CECE"/>
      <w:spacing w:before="100" w:beforeAutospacing="1" w:after="100" w:afterAutospacing="1"/>
      <w:jc w:val="center"/>
    </w:pPr>
  </w:style>
  <w:style w:type="paragraph" w:customStyle="1" w:styleId="xl93">
    <w:name w:val="xl93"/>
    <w:basedOn w:val="Normal"/>
    <w:rsid w:val="000F5694"/>
    <w:pPr>
      <w:shd w:val="clear" w:color="000000" w:fill="D0CECE"/>
      <w:spacing w:before="100" w:beforeAutospacing="1" w:after="100" w:afterAutospacing="1"/>
    </w:pPr>
    <w:rPr>
      <w:b/>
      <w:bCs/>
    </w:rPr>
  </w:style>
  <w:style w:type="paragraph" w:customStyle="1" w:styleId="xl94">
    <w:name w:val="xl94"/>
    <w:basedOn w:val="Normal"/>
    <w:rsid w:val="000F5694"/>
    <w:pPr>
      <w:spacing w:before="100" w:beforeAutospacing="1" w:after="100" w:afterAutospacing="1"/>
      <w:textAlignment w:val="center"/>
    </w:pPr>
    <w:rPr>
      <w:b/>
      <w:bCs/>
    </w:rPr>
  </w:style>
  <w:style w:type="paragraph" w:customStyle="1" w:styleId="xl95">
    <w:name w:val="xl95"/>
    <w:basedOn w:val="Normal"/>
    <w:rsid w:val="000F5694"/>
    <w:pPr>
      <w:spacing w:before="100" w:beforeAutospacing="1" w:after="100" w:afterAutospacing="1"/>
    </w:pPr>
    <w:rPr>
      <w:b/>
      <w:bCs/>
    </w:rPr>
  </w:style>
  <w:style w:type="paragraph" w:customStyle="1" w:styleId="xl96">
    <w:name w:val="xl96"/>
    <w:basedOn w:val="Normal"/>
    <w:rsid w:val="000F5694"/>
    <w:pPr>
      <w:shd w:val="clear" w:color="000000" w:fill="E2EFDA"/>
      <w:spacing w:before="100" w:beforeAutospacing="1" w:after="100" w:afterAutospacing="1"/>
    </w:pPr>
  </w:style>
  <w:style w:type="paragraph" w:customStyle="1" w:styleId="xl97">
    <w:name w:val="xl97"/>
    <w:basedOn w:val="Normal"/>
    <w:rsid w:val="000F5694"/>
    <w:pPr>
      <w:spacing w:before="100" w:beforeAutospacing="1" w:after="100" w:afterAutospacing="1"/>
    </w:pPr>
    <w:rPr>
      <w:b/>
      <w:bCs/>
    </w:rPr>
  </w:style>
  <w:style w:type="paragraph" w:styleId="Header">
    <w:name w:val="header"/>
    <w:basedOn w:val="Normal"/>
    <w:link w:val="HeaderChar"/>
    <w:uiPriority w:val="99"/>
    <w:unhideWhenUsed/>
    <w:rsid w:val="00512AC3"/>
    <w:pPr>
      <w:tabs>
        <w:tab w:val="center" w:pos="4680"/>
        <w:tab w:val="right" w:pos="9360"/>
      </w:tabs>
    </w:pPr>
  </w:style>
  <w:style w:type="character" w:customStyle="1" w:styleId="HeaderChar">
    <w:name w:val="Header Char"/>
    <w:basedOn w:val="DefaultParagraphFont"/>
    <w:link w:val="Header"/>
    <w:uiPriority w:val="99"/>
    <w:rsid w:val="00512AC3"/>
    <w:rPr>
      <w:rFonts w:ascii="Times New Roman" w:eastAsia="Times New Roman" w:hAnsi="Times New Roman" w:cs="Times New Roman"/>
      <w:lang w:val="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8548">
      <w:bodyDiv w:val="1"/>
      <w:marLeft w:val="0"/>
      <w:marRight w:val="0"/>
      <w:marTop w:val="0"/>
      <w:marBottom w:val="0"/>
      <w:divBdr>
        <w:top w:val="none" w:sz="0" w:space="0" w:color="auto"/>
        <w:left w:val="none" w:sz="0" w:space="0" w:color="auto"/>
        <w:bottom w:val="none" w:sz="0" w:space="0" w:color="auto"/>
        <w:right w:val="none" w:sz="0" w:space="0" w:color="auto"/>
      </w:divBdr>
    </w:div>
    <w:div w:id="313142134">
      <w:bodyDiv w:val="1"/>
      <w:marLeft w:val="0"/>
      <w:marRight w:val="0"/>
      <w:marTop w:val="0"/>
      <w:marBottom w:val="0"/>
      <w:divBdr>
        <w:top w:val="none" w:sz="0" w:space="0" w:color="auto"/>
        <w:left w:val="none" w:sz="0" w:space="0" w:color="auto"/>
        <w:bottom w:val="none" w:sz="0" w:space="0" w:color="auto"/>
        <w:right w:val="none" w:sz="0" w:space="0" w:color="auto"/>
      </w:divBdr>
    </w:div>
    <w:div w:id="507527617">
      <w:bodyDiv w:val="1"/>
      <w:marLeft w:val="0"/>
      <w:marRight w:val="0"/>
      <w:marTop w:val="0"/>
      <w:marBottom w:val="0"/>
      <w:divBdr>
        <w:top w:val="none" w:sz="0" w:space="0" w:color="auto"/>
        <w:left w:val="none" w:sz="0" w:space="0" w:color="auto"/>
        <w:bottom w:val="none" w:sz="0" w:space="0" w:color="auto"/>
        <w:right w:val="none" w:sz="0" w:space="0" w:color="auto"/>
      </w:divBdr>
    </w:div>
    <w:div w:id="764150356">
      <w:bodyDiv w:val="1"/>
      <w:marLeft w:val="0"/>
      <w:marRight w:val="0"/>
      <w:marTop w:val="0"/>
      <w:marBottom w:val="0"/>
      <w:divBdr>
        <w:top w:val="none" w:sz="0" w:space="0" w:color="auto"/>
        <w:left w:val="none" w:sz="0" w:space="0" w:color="auto"/>
        <w:bottom w:val="none" w:sz="0" w:space="0" w:color="auto"/>
        <w:right w:val="none" w:sz="0" w:space="0" w:color="auto"/>
      </w:divBdr>
    </w:div>
    <w:div w:id="885142526">
      <w:bodyDiv w:val="1"/>
      <w:marLeft w:val="0"/>
      <w:marRight w:val="0"/>
      <w:marTop w:val="0"/>
      <w:marBottom w:val="0"/>
      <w:divBdr>
        <w:top w:val="none" w:sz="0" w:space="0" w:color="auto"/>
        <w:left w:val="none" w:sz="0" w:space="0" w:color="auto"/>
        <w:bottom w:val="none" w:sz="0" w:space="0" w:color="auto"/>
        <w:right w:val="none" w:sz="0" w:space="0" w:color="auto"/>
      </w:divBdr>
    </w:div>
    <w:div w:id="921911303">
      <w:bodyDiv w:val="1"/>
      <w:marLeft w:val="0"/>
      <w:marRight w:val="0"/>
      <w:marTop w:val="0"/>
      <w:marBottom w:val="0"/>
      <w:divBdr>
        <w:top w:val="none" w:sz="0" w:space="0" w:color="auto"/>
        <w:left w:val="none" w:sz="0" w:space="0" w:color="auto"/>
        <w:bottom w:val="none" w:sz="0" w:space="0" w:color="auto"/>
        <w:right w:val="none" w:sz="0" w:space="0" w:color="auto"/>
      </w:divBdr>
    </w:div>
    <w:div w:id="1013722626">
      <w:bodyDiv w:val="1"/>
      <w:marLeft w:val="0"/>
      <w:marRight w:val="0"/>
      <w:marTop w:val="0"/>
      <w:marBottom w:val="0"/>
      <w:divBdr>
        <w:top w:val="none" w:sz="0" w:space="0" w:color="auto"/>
        <w:left w:val="none" w:sz="0" w:space="0" w:color="auto"/>
        <w:bottom w:val="none" w:sz="0" w:space="0" w:color="auto"/>
        <w:right w:val="none" w:sz="0" w:space="0" w:color="auto"/>
      </w:divBdr>
    </w:div>
    <w:div w:id="1015839813">
      <w:bodyDiv w:val="1"/>
      <w:marLeft w:val="0"/>
      <w:marRight w:val="0"/>
      <w:marTop w:val="0"/>
      <w:marBottom w:val="0"/>
      <w:divBdr>
        <w:top w:val="none" w:sz="0" w:space="0" w:color="auto"/>
        <w:left w:val="none" w:sz="0" w:space="0" w:color="auto"/>
        <w:bottom w:val="none" w:sz="0" w:space="0" w:color="auto"/>
        <w:right w:val="none" w:sz="0" w:space="0" w:color="auto"/>
      </w:divBdr>
    </w:div>
    <w:div w:id="1037703845">
      <w:bodyDiv w:val="1"/>
      <w:marLeft w:val="0"/>
      <w:marRight w:val="0"/>
      <w:marTop w:val="0"/>
      <w:marBottom w:val="0"/>
      <w:divBdr>
        <w:top w:val="none" w:sz="0" w:space="0" w:color="auto"/>
        <w:left w:val="none" w:sz="0" w:space="0" w:color="auto"/>
        <w:bottom w:val="none" w:sz="0" w:space="0" w:color="auto"/>
        <w:right w:val="none" w:sz="0" w:space="0" w:color="auto"/>
      </w:divBdr>
    </w:div>
    <w:div w:id="1320116455">
      <w:bodyDiv w:val="1"/>
      <w:marLeft w:val="0"/>
      <w:marRight w:val="0"/>
      <w:marTop w:val="0"/>
      <w:marBottom w:val="0"/>
      <w:divBdr>
        <w:top w:val="none" w:sz="0" w:space="0" w:color="auto"/>
        <w:left w:val="none" w:sz="0" w:space="0" w:color="auto"/>
        <w:bottom w:val="none" w:sz="0" w:space="0" w:color="auto"/>
        <w:right w:val="none" w:sz="0" w:space="0" w:color="auto"/>
      </w:divBdr>
    </w:div>
    <w:div w:id="139566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4BC88-34B6-954A-8032-A54DA1A45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10</Pages>
  <Words>4919</Words>
  <Characters>28044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Bacorro</dc:creator>
  <cp:keywords/>
  <dc:description/>
  <cp:lastModifiedBy>WARREN R BACORRO</cp:lastModifiedBy>
  <cp:revision>21</cp:revision>
  <dcterms:created xsi:type="dcterms:W3CDTF">2022-04-21T16:19:00Z</dcterms:created>
  <dcterms:modified xsi:type="dcterms:W3CDTF">2024-06-24T06:34:00Z</dcterms:modified>
</cp:coreProperties>
</file>