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03E1C" w:rsidRDefault="00B03E1C"/>
    <w:p w:rsidR="007B4238" w:rsidRPr="00466512" w:rsidRDefault="007B4238" w:rsidP="007B4238">
      <w:pPr>
        <w:pStyle w:val="AuthorList"/>
        <w:rPr>
          <w:sz w:val="28"/>
          <w:szCs w:val="32"/>
        </w:rPr>
      </w:pPr>
      <w:r w:rsidRPr="00466512">
        <w:rPr>
          <w:sz w:val="28"/>
          <w:szCs w:val="32"/>
        </w:rPr>
        <w:t>Dynamics of the methylome and transcriptome during the regeneration of rice</w:t>
      </w:r>
    </w:p>
    <w:p w:rsidR="007B4238" w:rsidRDefault="007B4238" w:rsidP="007B4238">
      <w:pPr>
        <w:spacing w:before="240" w:line="360" w:lineRule="auto"/>
        <w:rPr>
          <w:vertAlign w:val="superscript"/>
        </w:rPr>
      </w:pPr>
      <w:r w:rsidRPr="008D3DE9">
        <w:t>Fei-Man Hsu</w:t>
      </w:r>
      <w:r>
        <w:rPr>
          <w:vertAlign w:val="superscript"/>
        </w:rPr>
        <w:t>1</w:t>
      </w:r>
      <w:r w:rsidRPr="0027120A">
        <w:rPr>
          <w:vertAlign w:val="superscript"/>
        </w:rPr>
        <w:t>*</w:t>
      </w:r>
      <w:r w:rsidRPr="008D3DE9">
        <w:t>,</w:t>
      </w:r>
      <w:r>
        <w:t xml:space="preserve"> </w:t>
      </w:r>
      <w:proofErr w:type="spellStart"/>
      <w:r w:rsidRPr="008D3DE9">
        <w:t>Moloya</w:t>
      </w:r>
      <w:proofErr w:type="spellEnd"/>
      <w:r w:rsidRPr="008D3DE9">
        <w:t xml:space="preserve"> Gohain</w:t>
      </w:r>
      <w:r>
        <w:rPr>
          <w:vertAlign w:val="superscript"/>
        </w:rPr>
        <w:t>2</w:t>
      </w:r>
      <w:r w:rsidRPr="0027120A">
        <w:rPr>
          <w:vertAlign w:val="superscript"/>
        </w:rPr>
        <w:t>*</w:t>
      </w:r>
      <w:r w:rsidRPr="008D3DE9">
        <w:t>, Archana Allishe</w:t>
      </w:r>
      <w:r>
        <w:rPr>
          <w:vertAlign w:val="superscript"/>
        </w:rPr>
        <w:t>2</w:t>
      </w:r>
      <w:r w:rsidRPr="008D3DE9">
        <w:t>, Yan-</w:t>
      </w:r>
      <w:proofErr w:type="spellStart"/>
      <w:r w:rsidRPr="008D3DE9">
        <w:t>Jiun</w:t>
      </w:r>
      <w:proofErr w:type="spellEnd"/>
      <w:r w:rsidRPr="008D3DE9">
        <w:t xml:space="preserve"> Huang</w:t>
      </w:r>
      <w:r>
        <w:rPr>
          <w:vertAlign w:val="superscript"/>
        </w:rPr>
        <w:t>2</w:t>
      </w:r>
      <w:r w:rsidRPr="008D3DE9">
        <w:t>, Jo-Ling Liao</w:t>
      </w:r>
      <w:r>
        <w:rPr>
          <w:vertAlign w:val="superscript"/>
        </w:rPr>
        <w:t>2</w:t>
      </w:r>
      <w:r w:rsidRPr="008D3DE9">
        <w:t>, Lin-Yun Kuang</w:t>
      </w:r>
      <w:r>
        <w:rPr>
          <w:vertAlign w:val="superscript"/>
        </w:rPr>
        <w:t>2, 3</w:t>
      </w:r>
      <w:r w:rsidRPr="008D3DE9">
        <w:t xml:space="preserve"> and Pao-Yang Chen</w:t>
      </w:r>
      <w:r>
        <w:rPr>
          <w:vertAlign w:val="superscript"/>
        </w:rPr>
        <w:t>2 §</w:t>
      </w:r>
      <w:r w:rsidRPr="008D3DE9" w:rsidDel="007B6080">
        <w:rPr>
          <w:vertAlign w:val="superscript"/>
        </w:rPr>
        <w:t xml:space="preserve"> </w:t>
      </w:r>
    </w:p>
    <w:p w:rsidR="007B4238" w:rsidRDefault="007B4238" w:rsidP="007B4238">
      <w:pPr>
        <w:spacing w:before="240" w:line="360" w:lineRule="auto"/>
        <w:rPr>
          <w:vertAlign w:val="superscript"/>
        </w:rPr>
      </w:pPr>
    </w:p>
    <w:p w:rsidR="007B4238" w:rsidRPr="00466512" w:rsidRDefault="007B4238" w:rsidP="007B4238">
      <w:pPr>
        <w:spacing w:after="120" w:line="360" w:lineRule="auto"/>
        <w:rPr>
          <w:color w:val="000000"/>
          <w:vertAlign w:val="superscript"/>
        </w:rPr>
      </w:pPr>
      <w:r>
        <w:rPr>
          <w:rFonts w:eastAsia="Times New Roman"/>
          <w:color w:val="000000"/>
          <w:vertAlign w:val="superscript"/>
        </w:rPr>
        <w:t>1</w:t>
      </w:r>
      <w:r w:rsidRPr="00466512">
        <w:rPr>
          <w:rFonts w:eastAsia="Times New Roman"/>
          <w:color w:val="000000"/>
        </w:rPr>
        <w:t xml:space="preserve"> </w:t>
      </w:r>
      <w:r w:rsidRPr="00466512">
        <w:rPr>
          <w:color w:val="000000"/>
        </w:rPr>
        <w:t>Graduate School of Frontier Sciences, the University of Tokyo, Chiba 277-8561, Japan</w:t>
      </w:r>
      <w:r w:rsidRPr="00466512">
        <w:rPr>
          <w:color w:val="000000"/>
          <w:vertAlign w:val="superscript"/>
        </w:rPr>
        <w:t xml:space="preserve"> </w:t>
      </w:r>
    </w:p>
    <w:p w:rsidR="007B4238" w:rsidRPr="00466512" w:rsidRDefault="007B4238" w:rsidP="007B4238">
      <w:pPr>
        <w:spacing w:after="120" w:line="360" w:lineRule="auto"/>
        <w:rPr>
          <w:rFonts w:eastAsia="MS Mincho"/>
          <w:color w:val="000000"/>
        </w:rPr>
      </w:pPr>
      <w:r>
        <w:rPr>
          <w:rFonts w:eastAsia="Times New Roman"/>
          <w:color w:val="000000"/>
          <w:vertAlign w:val="superscript"/>
        </w:rPr>
        <w:t>2</w:t>
      </w:r>
      <w:r w:rsidRPr="00466512">
        <w:rPr>
          <w:rFonts w:eastAsia="Times New Roman"/>
          <w:color w:val="000000"/>
          <w:vertAlign w:val="superscript"/>
        </w:rPr>
        <w:t xml:space="preserve"> </w:t>
      </w:r>
      <w:r w:rsidRPr="00466512">
        <w:rPr>
          <w:rFonts w:eastAsia="Times New Roman"/>
          <w:color w:val="000000"/>
        </w:rPr>
        <w:t xml:space="preserve">Institute of Plant and Microbial Biology, Academia </w:t>
      </w:r>
      <w:proofErr w:type="spellStart"/>
      <w:r w:rsidRPr="00466512">
        <w:rPr>
          <w:rFonts w:eastAsia="Times New Roman"/>
          <w:color w:val="000000"/>
        </w:rPr>
        <w:t>Sinica</w:t>
      </w:r>
      <w:proofErr w:type="spellEnd"/>
      <w:r w:rsidRPr="00466512">
        <w:rPr>
          <w:rFonts w:eastAsia="Times New Roman"/>
          <w:color w:val="000000"/>
        </w:rPr>
        <w:t>, Taipei, Taiwan</w:t>
      </w:r>
    </w:p>
    <w:p w:rsidR="007B4238" w:rsidRPr="00466512" w:rsidRDefault="007B4238" w:rsidP="007B4238">
      <w:pPr>
        <w:spacing w:after="120" w:line="360" w:lineRule="auto"/>
        <w:rPr>
          <w:rFonts w:eastAsia="Times New Roman"/>
          <w:color w:val="000000"/>
        </w:rPr>
      </w:pPr>
      <w:r w:rsidRPr="00466512">
        <w:rPr>
          <w:rFonts w:eastAsia="Times New Roman"/>
          <w:color w:val="000000"/>
          <w:vertAlign w:val="superscript"/>
        </w:rPr>
        <w:t>3</w:t>
      </w:r>
      <w:r w:rsidRPr="00466512">
        <w:rPr>
          <w:rFonts w:eastAsia="Times New Roman"/>
          <w:color w:val="000000"/>
        </w:rPr>
        <w:t xml:space="preserve"> Transgenic Plant Core Facility, Academia </w:t>
      </w:r>
      <w:proofErr w:type="spellStart"/>
      <w:r w:rsidRPr="00466512">
        <w:rPr>
          <w:rFonts w:eastAsia="Times New Roman"/>
          <w:color w:val="000000"/>
        </w:rPr>
        <w:t>Sinica</w:t>
      </w:r>
      <w:proofErr w:type="spellEnd"/>
      <w:r w:rsidRPr="00466512">
        <w:rPr>
          <w:rFonts w:eastAsia="Times New Roman"/>
          <w:color w:val="000000"/>
        </w:rPr>
        <w:t>, Taipei, Taiwan</w:t>
      </w:r>
    </w:p>
    <w:p w:rsidR="007B4238" w:rsidRPr="007B4238" w:rsidRDefault="007B4238" w:rsidP="007B4238">
      <w:pPr>
        <w:spacing w:before="240" w:line="360" w:lineRule="auto"/>
        <w:rPr>
          <w:vertAlign w:val="superscript"/>
        </w:rPr>
      </w:pPr>
    </w:p>
    <w:p w:rsidR="00B03E1C" w:rsidRPr="007B4238" w:rsidRDefault="00B03E1C" w:rsidP="007B4238">
      <w:pPr>
        <w:pStyle w:val="Heading2"/>
        <w:rPr>
          <w:rFonts w:ascii="Cambria" w:hAnsi="Cambria"/>
          <w:sz w:val="40"/>
        </w:rPr>
      </w:pPr>
      <w:r w:rsidRPr="007B4238">
        <w:rPr>
          <w:rFonts w:ascii="Cambria" w:hAnsi="Cambria"/>
          <w:sz w:val="40"/>
        </w:rPr>
        <w:t>Supplementary Figures</w:t>
      </w:r>
      <w:bookmarkStart w:id="0" w:name="_GoBack"/>
      <w:bookmarkEnd w:id="0"/>
    </w:p>
    <w:p w:rsidR="005A780C" w:rsidRDefault="005A780C">
      <w:r>
        <w:br w:type="page"/>
      </w:r>
    </w:p>
    <w:p w:rsidR="005A780C" w:rsidRPr="005A780C" w:rsidRDefault="005A780C" w:rsidP="005A780C">
      <w:pPr>
        <w:rPr>
          <w:rFonts w:hint="eastAsia"/>
        </w:rPr>
      </w:pPr>
    </w:p>
    <w:p w:rsidR="00B03E1C" w:rsidRDefault="00B03E1C"/>
    <w:p w:rsidR="006A77A3" w:rsidRDefault="00B03E1C">
      <w:r>
        <w:rPr>
          <w:rFonts w:hint="eastAsia"/>
          <w:noProof/>
        </w:rPr>
        <w:drawing>
          <wp:inline distT="0" distB="0" distL="0" distR="0">
            <wp:extent cx="5727700" cy="25901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S1.tiff"/>
                    <pic:cNvPicPr/>
                  </pic:nvPicPr>
                  <pic:blipFill>
                    <a:blip r:embed="rId6">
                      <a:extLst>
                        <a:ext uri="{28A0092B-C50C-407E-A947-70E740481C1C}">
                          <a14:useLocalDpi xmlns:a14="http://schemas.microsoft.com/office/drawing/2010/main" val="0"/>
                        </a:ext>
                      </a:extLst>
                    </a:blip>
                    <a:stretch>
                      <a:fillRect/>
                    </a:stretch>
                  </pic:blipFill>
                  <pic:spPr>
                    <a:xfrm>
                      <a:off x="0" y="0"/>
                      <a:ext cx="5727700" cy="2590165"/>
                    </a:xfrm>
                    <a:prstGeom prst="rect">
                      <a:avLst/>
                    </a:prstGeom>
                  </pic:spPr>
                </pic:pic>
              </a:graphicData>
            </a:graphic>
          </wp:inline>
        </w:drawing>
      </w:r>
    </w:p>
    <w:p w:rsidR="005A1A1D" w:rsidRDefault="005A1A1D" w:rsidP="005A1A1D">
      <w:r w:rsidRPr="00C50FAA">
        <w:rPr>
          <w:b/>
        </w:rPr>
        <w:t>Figure S1</w:t>
      </w:r>
      <w:r w:rsidRPr="00C50FAA">
        <w:rPr>
          <w:rFonts w:ascii="Times" w:hAnsi="Times" w:cs="Times"/>
        </w:rPr>
        <w:t xml:space="preserve"> </w:t>
      </w:r>
      <w:r w:rsidRPr="00C50FAA">
        <w:t xml:space="preserve">Callus morphology of IR64 and TNG67 during six-weeks of culture. (A) Area covered by the IR64 and TNG67 </w:t>
      </w:r>
      <w:proofErr w:type="spellStart"/>
      <w:r w:rsidRPr="00C50FAA">
        <w:t>calli</w:t>
      </w:r>
      <w:proofErr w:type="spellEnd"/>
      <w:r w:rsidRPr="00C50FAA">
        <w:t xml:space="preserve">. (B) Regeneration efficiencies of IR64 and TNG67 </w:t>
      </w:r>
      <w:proofErr w:type="spellStart"/>
      <w:r w:rsidRPr="00C50FAA">
        <w:t>calli</w:t>
      </w:r>
      <w:proofErr w:type="spellEnd"/>
      <w:r w:rsidRPr="00C50FAA">
        <w:t xml:space="preserve"> in the presence of demethylating agent 5-azacytidine. The percentage indicates the regeneration efficiencies calculated from five plates of 15 seeds each in each experimental group. Regeneration efficiency (%) = (No. of regenerated </w:t>
      </w:r>
      <w:proofErr w:type="spellStart"/>
      <w:r w:rsidRPr="00C50FAA">
        <w:t>calli</w:t>
      </w:r>
      <w:proofErr w:type="spellEnd"/>
      <w:r w:rsidRPr="00C50FAA">
        <w:t xml:space="preserve">/No. of incubated seeds) x 100). </w:t>
      </w:r>
    </w:p>
    <w:p w:rsidR="005A780C" w:rsidRDefault="005A780C">
      <w:r>
        <w:br w:type="page"/>
      </w:r>
    </w:p>
    <w:p w:rsidR="005A1A1D" w:rsidRDefault="005A1A1D"/>
    <w:p w:rsidR="005A780C" w:rsidRDefault="005A780C">
      <w:r>
        <w:rPr>
          <w:rFonts w:hint="eastAsia"/>
          <w:noProof/>
        </w:rPr>
        <w:drawing>
          <wp:inline distT="0" distB="0" distL="0" distR="0">
            <wp:extent cx="5671038" cy="7739299"/>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 S2.tiff"/>
                    <pic:cNvPicPr/>
                  </pic:nvPicPr>
                  <pic:blipFill>
                    <a:blip r:embed="rId7">
                      <a:extLst>
                        <a:ext uri="{28A0092B-C50C-407E-A947-70E740481C1C}">
                          <a14:useLocalDpi xmlns:a14="http://schemas.microsoft.com/office/drawing/2010/main" val="0"/>
                        </a:ext>
                      </a:extLst>
                    </a:blip>
                    <a:stretch>
                      <a:fillRect/>
                    </a:stretch>
                  </pic:blipFill>
                  <pic:spPr>
                    <a:xfrm>
                      <a:off x="0" y="0"/>
                      <a:ext cx="5679547" cy="7750911"/>
                    </a:xfrm>
                    <a:prstGeom prst="rect">
                      <a:avLst/>
                    </a:prstGeom>
                  </pic:spPr>
                </pic:pic>
              </a:graphicData>
            </a:graphic>
          </wp:inline>
        </w:drawing>
      </w:r>
    </w:p>
    <w:p w:rsidR="005A780C" w:rsidRDefault="005A780C" w:rsidP="005A780C">
      <w:pPr>
        <w:rPr>
          <w:b/>
        </w:rPr>
      </w:pPr>
      <w:r w:rsidRPr="00C50FAA">
        <w:rPr>
          <w:b/>
        </w:rPr>
        <w:t>Figure S</w:t>
      </w:r>
      <w:r>
        <w:rPr>
          <w:b/>
        </w:rPr>
        <w:t xml:space="preserve">2 </w:t>
      </w:r>
      <w:r w:rsidRPr="00C50FAA">
        <w:t>Global methylation level and its distribution at different time points. (A) Genome-wide DNA methylation levels in three contexts across all stages in IR64 and TNG67. (B) Metaplot of methylation on gene body of IR64. (C) Metaplot of methylation on gene body of TNG67. (D) Metaplot of methylation on transposons in IR64. (E) Metaplot of methylation on transposons in TNG67.</w:t>
      </w:r>
      <w:r w:rsidRPr="00C50FAA">
        <w:rPr>
          <w:b/>
        </w:rPr>
        <w:t xml:space="preserve"> </w:t>
      </w:r>
    </w:p>
    <w:p w:rsidR="005A780C" w:rsidRDefault="005A780C">
      <w:r>
        <w:rPr>
          <w:rFonts w:hint="eastAsia"/>
          <w:noProof/>
        </w:rPr>
        <w:lastRenderedPageBreak/>
        <w:drawing>
          <wp:inline distT="0" distB="0" distL="0" distR="0">
            <wp:extent cx="5727700" cy="2974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 S3.tiff"/>
                    <pic:cNvPicPr/>
                  </pic:nvPicPr>
                  <pic:blipFill>
                    <a:blip r:embed="rId8">
                      <a:extLst>
                        <a:ext uri="{28A0092B-C50C-407E-A947-70E740481C1C}">
                          <a14:useLocalDpi xmlns:a14="http://schemas.microsoft.com/office/drawing/2010/main" val="0"/>
                        </a:ext>
                      </a:extLst>
                    </a:blip>
                    <a:stretch>
                      <a:fillRect/>
                    </a:stretch>
                  </pic:blipFill>
                  <pic:spPr>
                    <a:xfrm>
                      <a:off x="0" y="0"/>
                      <a:ext cx="5727700" cy="2974975"/>
                    </a:xfrm>
                    <a:prstGeom prst="rect">
                      <a:avLst/>
                    </a:prstGeom>
                  </pic:spPr>
                </pic:pic>
              </a:graphicData>
            </a:graphic>
          </wp:inline>
        </w:drawing>
      </w:r>
    </w:p>
    <w:p w:rsidR="005A780C" w:rsidRDefault="005A780C" w:rsidP="005A780C">
      <w:r w:rsidRPr="00C50FAA">
        <w:rPr>
          <w:b/>
        </w:rPr>
        <w:t>Figure S</w:t>
      </w:r>
      <w:r>
        <w:rPr>
          <w:b/>
        </w:rPr>
        <w:t xml:space="preserve">3 </w:t>
      </w:r>
      <w:r w:rsidRPr="00C50FAA">
        <w:t xml:space="preserve">DNA methylation at promoters and their association with gene expression. (A) DNA methylation levels at promoter regions during different time points of culture of IR64 and TNG67. (B) Integrated heatmap of DNA methylation on promoters and transcription in IR64 and TNG67. </w:t>
      </w:r>
    </w:p>
    <w:p w:rsidR="005A780C" w:rsidRDefault="005A780C">
      <w:r>
        <w:br w:type="page"/>
      </w:r>
    </w:p>
    <w:p w:rsidR="005A780C" w:rsidRDefault="005A780C" w:rsidP="005A780C"/>
    <w:p w:rsidR="005A780C" w:rsidRDefault="005A780C">
      <w:r>
        <w:rPr>
          <w:rFonts w:hint="eastAsia"/>
          <w:noProof/>
        </w:rPr>
        <w:drawing>
          <wp:inline distT="0" distB="0" distL="0" distR="0">
            <wp:extent cx="5758962" cy="474909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 S4.tiff"/>
                    <pic:cNvPicPr/>
                  </pic:nvPicPr>
                  <pic:blipFill>
                    <a:blip r:embed="rId9">
                      <a:extLst>
                        <a:ext uri="{28A0092B-C50C-407E-A947-70E740481C1C}">
                          <a14:useLocalDpi xmlns:a14="http://schemas.microsoft.com/office/drawing/2010/main" val="0"/>
                        </a:ext>
                      </a:extLst>
                    </a:blip>
                    <a:stretch>
                      <a:fillRect/>
                    </a:stretch>
                  </pic:blipFill>
                  <pic:spPr>
                    <a:xfrm>
                      <a:off x="0" y="0"/>
                      <a:ext cx="5764895" cy="4753990"/>
                    </a:xfrm>
                    <a:prstGeom prst="rect">
                      <a:avLst/>
                    </a:prstGeom>
                  </pic:spPr>
                </pic:pic>
              </a:graphicData>
            </a:graphic>
          </wp:inline>
        </w:drawing>
      </w:r>
    </w:p>
    <w:p w:rsidR="005A780C" w:rsidRDefault="005A780C" w:rsidP="005A780C">
      <w:pPr>
        <w:rPr>
          <w:b/>
        </w:rPr>
      </w:pPr>
      <w:r w:rsidRPr="00C50FAA">
        <w:rPr>
          <w:b/>
        </w:rPr>
        <w:t>Figure S</w:t>
      </w:r>
      <w:r>
        <w:rPr>
          <w:b/>
        </w:rPr>
        <w:t xml:space="preserve">4 </w:t>
      </w:r>
      <w:r w:rsidRPr="00C50FAA">
        <w:t xml:space="preserve">Cultivar-associated changes in IR64 and TNG67 at different time points. (A) Enrichment of cultivar-associated enrichment differentially methylated regions. (B) Count of differentially expressed genes (DEG) between same stages of IR64 and TNG67. (C) Venn diagram showing the genes which are both differentially expressed and differentially methylated between successful </w:t>
      </w:r>
      <w:proofErr w:type="spellStart"/>
      <w:r w:rsidRPr="00C50FAA">
        <w:t>regenerants</w:t>
      </w:r>
      <w:proofErr w:type="spellEnd"/>
      <w:r w:rsidRPr="00C50FAA">
        <w:t xml:space="preserve"> of IR64 and TNG67.</w:t>
      </w:r>
      <w:r w:rsidRPr="00C50FAA">
        <w:rPr>
          <w:b/>
        </w:rPr>
        <w:t xml:space="preserve"> </w:t>
      </w:r>
    </w:p>
    <w:p w:rsidR="00C43883" w:rsidRDefault="00C43883">
      <w:r>
        <w:br w:type="page"/>
      </w:r>
    </w:p>
    <w:p w:rsidR="005A780C" w:rsidRDefault="00C43883">
      <w:r>
        <w:rPr>
          <w:rFonts w:hint="eastAsia"/>
          <w:noProof/>
        </w:rPr>
        <w:lastRenderedPageBreak/>
        <w:drawing>
          <wp:inline distT="0" distB="0" distL="0" distR="0">
            <wp:extent cx="5160175" cy="748225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 S5.tiff"/>
                    <pic:cNvPicPr/>
                  </pic:nvPicPr>
                  <pic:blipFill>
                    <a:blip r:embed="rId10">
                      <a:extLst>
                        <a:ext uri="{28A0092B-C50C-407E-A947-70E740481C1C}">
                          <a14:useLocalDpi xmlns:a14="http://schemas.microsoft.com/office/drawing/2010/main" val="0"/>
                        </a:ext>
                      </a:extLst>
                    </a:blip>
                    <a:stretch>
                      <a:fillRect/>
                    </a:stretch>
                  </pic:blipFill>
                  <pic:spPr>
                    <a:xfrm>
                      <a:off x="0" y="0"/>
                      <a:ext cx="5168774" cy="7494723"/>
                    </a:xfrm>
                    <a:prstGeom prst="rect">
                      <a:avLst/>
                    </a:prstGeom>
                  </pic:spPr>
                </pic:pic>
              </a:graphicData>
            </a:graphic>
          </wp:inline>
        </w:drawing>
      </w:r>
    </w:p>
    <w:p w:rsidR="00C43883" w:rsidRDefault="00C43883" w:rsidP="00C43883">
      <w:pPr>
        <w:rPr>
          <w:b/>
        </w:rPr>
      </w:pPr>
      <w:r w:rsidRPr="00C50FAA">
        <w:rPr>
          <w:b/>
        </w:rPr>
        <w:t>Figure S</w:t>
      </w:r>
      <w:r>
        <w:rPr>
          <w:b/>
        </w:rPr>
        <w:t>5</w:t>
      </w:r>
      <w:r w:rsidRPr="00C50FAA">
        <w:t xml:space="preserve"> DNA methylation and gene expression of stress response genes at different timepoints in IR64 and TNG67. (A) Comparison of expression and DNA methylation of </w:t>
      </w:r>
      <w:proofErr w:type="spellStart"/>
      <w:r w:rsidRPr="00C50FAA">
        <w:t>trehalose</w:t>
      </w:r>
      <w:proofErr w:type="spellEnd"/>
      <w:r w:rsidRPr="00C50FAA">
        <w:t xml:space="preserve"> 5 phosphate synthase gene (B) Comparison of expression and DNA methylation of abscisic acid stimulus response gene, (C) Comparison of expression and DNA methylation of abscisic acid biosynthetic process gene (D) inositol phosphate pathway-related gene.</w:t>
      </w:r>
      <w:r w:rsidRPr="00C50FAA">
        <w:rPr>
          <w:b/>
        </w:rPr>
        <w:t xml:space="preserve"> </w:t>
      </w:r>
    </w:p>
    <w:p w:rsidR="00C43883" w:rsidRPr="00C43883" w:rsidRDefault="00C43883">
      <w:pPr>
        <w:rPr>
          <w:rFonts w:hint="eastAsia"/>
        </w:rPr>
      </w:pPr>
    </w:p>
    <w:sectPr w:rsidR="00C43883" w:rsidRPr="00C43883" w:rsidSect="007158D8">
      <w:footerReference w:type="even" r:id="rId11"/>
      <w:footerReference w:type="default" r:id="rId12"/>
      <w:pgSz w:w="11900" w:h="16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876F6" w:rsidRDefault="003876F6" w:rsidP="00D40825">
      <w:r>
        <w:separator/>
      </w:r>
    </w:p>
  </w:endnote>
  <w:endnote w:type="continuationSeparator" w:id="0">
    <w:p w:rsidR="003876F6" w:rsidRDefault="003876F6" w:rsidP="00D408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imes New Roman (Body CS)">
    <w:altName w:val="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00500000000000000"/>
    <w:charset w:val="00"/>
    <w:family w:val="auto"/>
    <w:pitch w:val="variable"/>
    <w:sig w:usb0="00000003" w:usb1="00000000" w:usb2="00000000" w:usb3="00000000" w:csb0="0000000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914825742"/>
      <w:docPartObj>
        <w:docPartGallery w:val="Page Numbers (Bottom of Page)"/>
        <w:docPartUnique/>
      </w:docPartObj>
    </w:sdtPr>
    <w:sdtContent>
      <w:p w:rsidR="00D40825" w:rsidRDefault="00D40825" w:rsidP="00A019C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D40825" w:rsidRDefault="00D40825" w:rsidP="00D4082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937905674"/>
      <w:docPartObj>
        <w:docPartGallery w:val="Page Numbers (Bottom of Page)"/>
        <w:docPartUnique/>
      </w:docPartObj>
    </w:sdtPr>
    <w:sdtContent>
      <w:p w:rsidR="00D40825" w:rsidRDefault="00D40825" w:rsidP="00A019C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rsidR="00D40825" w:rsidRDefault="00D40825" w:rsidP="00D40825">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876F6" w:rsidRDefault="003876F6" w:rsidP="00D40825">
      <w:r>
        <w:separator/>
      </w:r>
    </w:p>
  </w:footnote>
  <w:footnote w:type="continuationSeparator" w:id="0">
    <w:p w:rsidR="003876F6" w:rsidRDefault="003876F6" w:rsidP="00D40825">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5"/>
  <w:bordersDoNotSurroundHeader/>
  <w:bordersDoNotSurroundFooter/>
  <w:proofState w:spelling="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43C5"/>
    <w:rsid w:val="00013906"/>
    <w:rsid w:val="00042F81"/>
    <w:rsid w:val="00085FDF"/>
    <w:rsid w:val="00091902"/>
    <w:rsid w:val="000D3BE7"/>
    <w:rsid w:val="001637A8"/>
    <w:rsid w:val="002522FB"/>
    <w:rsid w:val="002935A6"/>
    <w:rsid w:val="00313F18"/>
    <w:rsid w:val="003449EC"/>
    <w:rsid w:val="00356D0A"/>
    <w:rsid w:val="003876F6"/>
    <w:rsid w:val="003A45B4"/>
    <w:rsid w:val="00484C06"/>
    <w:rsid w:val="004911B8"/>
    <w:rsid w:val="00492EC8"/>
    <w:rsid w:val="004B6C28"/>
    <w:rsid w:val="004C1466"/>
    <w:rsid w:val="004C7415"/>
    <w:rsid w:val="004F05BB"/>
    <w:rsid w:val="004F6983"/>
    <w:rsid w:val="005775BA"/>
    <w:rsid w:val="005A1A1D"/>
    <w:rsid w:val="005A780C"/>
    <w:rsid w:val="005A7B39"/>
    <w:rsid w:val="005D0DC8"/>
    <w:rsid w:val="00692B58"/>
    <w:rsid w:val="0069483F"/>
    <w:rsid w:val="006A6F4A"/>
    <w:rsid w:val="006A77A3"/>
    <w:rsid w:val="007158D8"/>
    <w:rsid w:val="00721DE6"/>
    <w:rsid w:val="00753BBC"/>
    <w:rsid w:val="00785934"/>
    <w:rsid w:val="007B4238"/>
    <w:rsid w:val="008B4585"/>
    <w:rsid w:val="008C353F"/>
    <w:rsid w:val="009B3171"/>
    <w:rsid w:val="009F138D"/>
    <w:rsid w:val="00A32A72"/>
    <w:rsid w:val="00A7147D"/>
    <w:rsid w:val="00A77909"/>
    <w:rsid w:val="00A86CA6"/>
    <w:rsid w:val="00AA0643"/>
    <w:rsid w:val="00AF37A5"/>
    <w:rsid w:val="00B03E1C"/>
    <w:rsid w:val="00B177D8"/>
    <w:rsid w:val="00B87562"/>
    <w:rsid w:val="00B92221"/>
    <w:rsid w:val="00C303DC"/>
    <w:rsid w:val="00C3720F"/>
    <w:rsid w:val="00C43883"/>
    <w:rsid w:val="00D0172F"/>
    <w:rsid w:val="00D40825"/>
    <w:rsid w:val="00D668FA"/>
    <w:rsid w:val="00DA5923"/>
    <w:rsid w:val="00DF24DD"/>
    <w:rsid w:val="00E159D2"/>
    <w:rsid w:val="00E428BD"/>
    <w:rsid w:val="00E65DB5"/>
    <w:rsid w:val="00E71150"/>
    <w:rsid w:val="00EB2014"/>
    <w:rsid w:val="00ED400F"/>
    <w:rsid w:val="00F010EE"/>
    <w:rsid w:val="00F1353B"/>
    <w:rsid w:val="00F55EA9"/>
    <w:rsid w:val="00F8703E"/>
    <w:rsid w:val="00FE43C5"/>
    <w:rsid w:val="00FF0DC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ecimalSymbol w:val="."/>
  <w:listSeparator w:val=","/>
  <w14:docId w14:val="52B6717E"/>
  <w14:defaultImageDpi w14:val="32767"/>
  <w15:chartTrackingRefBased/>
  <w15:docId w15:val="{6D394068-22A0-E841-A5A5-8707632DA6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imes New Roman (Body CS)"/>
        <w:sz w:val="24"/>
        <w:szCs w:val="24"/>
        <w:lang w:val="en-US" w:eastAsia="zh-TW"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03E1C"/>
    <w:pPr>
      <w:keepNext/>
      <w:spacing w:before="180" w:after="180" w:line="720" w:lineRule="auto"/>
      <w:outlineLvl w:val="0"/>
    </w:pPr>
    <w:rPr>
      <w:rFonts w:ascii="Cambria" w:eastAsiaTheme="majorEastAsia" w:hAnsi="Cambria" w:cstheme="majorBidi"/>
      <w:b/>
      <w:bCs/>
      <w:kern w:val="52"/>
      <w:sz w:val="52"/>
      <w:szCs w:val="52"/>
    </w:rPr>
  </w:style>
  <w:style w:type="paragraph" w:styleId="Heading2">
    <w:name w:val="heading 2"/>
    <w:basedOn w:val="Normal"/>
    <w:next w:val="Normal"/>
    <w:link w:val="Heading2Char"/>
    <w:uiPriority w:val="9"/>
    <w:unhideWhenUsed/>
    <w:qFormat/>
    <w:rsid w:val="007B4238"/>
    <w:pPr>
      <w:keepNext/>
      <w:spacing w:line="720" w:lineRule="auto"/>
      <w:outlineLvl w:val="1"/>
    </w:pPr>
    <w:rPr>
      <w:rFonts w:asciiTheme="majorHAnsi" w:eastAsiaTheme="majorEastAsia" w:hAnsiTheme="majorHAnsi" w:cstheme="majorBidi"/>
      <w:b/>
      <w:bCs/>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03E1C"/>
    <w:rPr>
      <w:rFonts w:ascii="Cambria" w:eastAsiaTheme="majorEastAsia" w:hAnsi="Cambria" w:cstheme="majorBidi"/>
      <w:b/>
      <w:bCs/>
      <w:kern w:val="52"/>
      <w:sz w:val="52"/>
      <w:szCs w:val="52"/>
    </w:rPr>
  </w:style>
  <w:style w:type="paragraph" w:customStyle="1" w:styleId="AuthorList">
    <w:name w:val="Author List"/>
    <w:aliases w:val="Keywords,Abstract"/>
    <w:basedOn w:val="Subtitle"/>
    <w:next w:val="Normal"/>
    <w:uiPriority w:val="1"/>
    <w:qFormat/>
    <w:rsid w:val="007B4238"/>
    <w:pPr>
      <w:spacing w:before="240" w:after="240" w:line="480" w:lineRule="auto"/>
      <w:jc w:val="left"/>
      <w:outlineLvl w:val="9"/>
    </w:pPr>
    <w:rPr>
      <w:rFonts w:ascii="Times New Roman" w:eastAsia="PMingLiU" w:hAnsi="Times New Roman" w:cs="Times New Roman"/>
      <w:b/>
      <w:lang w:eastAsia="en-US"/>
    </w:rPr>
  </w:style>
  <w:style w:type="paragraph" w:styleId="Subtitle">
    <w:name w:val="Subtitle"/>
    <w:basedOn w:val="Normal"/>
    <w:next w:val="Normal"/>
    <w:link w:val="SubtitleChar"/>
    <w:uiPriority w:val="11"/>
    <w:qFormat/>
    <w:rsid w:val="007B4238"/>
    <w:pPr>
      <w:spacing w:after="60"/>
      <w:jc w:val="center"/>
      <w:outlineLvl w:val="1"/>
    </w:pPr>
    <w:rPr>
      <w:rFonts w:cstheme="minorBidi"/>
    </w:rPr>
  </w:style>
  <w:style w:type="character" w:customStyle="1" w:styleId="SubtitleChar">
    <w:name w:val="Subtitle Char"/>
    <w:basedOn w:val="DefaultParagraphFont"/>
    <w:link w:val="Subtitle"/>
    <w:uiPriority w:val="11"/>
    <w:rsid w:val="007B4238"/>
    <w:rPr>
      <w:rFonts w:cstheme="minorBidi"/>
    </w:rPr>
  </w:style>
  <w:style w:type="character" w:customStyle="1" w:styleId="Heading2Char">
    <w:name w:val="Heading 2 Char"/>
    <w:basedOn w:val="DefaultParagraphFont"/>
    <w:link w:val="Heading2"/>
    <w:uiPriority w:val="9"/>
    <w:rsid w:val="007B4238"/>
    <w:rPr>
      <w:rFonts w:asciiTheme="majorHAnsi" w:eastAsiaTheme="majorEastAsia" w:hAnsiTheme="majorHAnsi" w:cstheme="majorBidi"/>
      <w:b/>
      <w:bCs/>
      <w:sz w:val="48"/>
      <w:szCs w:val="48"/>
    </w:rPr>
  </w:style>
  <w:style w:type="paragraph" w:styleId="Footer">
    <w:name w:val="footer"/>
    <w:basedOn w:val="Normal"/>
    <w:link w:val="FooterChar"/>
    <w:uiPriority w:val="99"/>
    <w:unhideWhenUsed/>
    <w:rsid w:val="00D40825"/>
    <w:pPr>
      <w:tabs>
        <w:tab w:val="center" w:pos="4680"/>
        <w:tab w:val="right" w:pos="9360"/>
      </w:tabs>
      <w:snapToGrid w:val="0"/>
    </w:pPr>
    <w:rPr>
      <w:sz w:val="20"/>
      <w:szCs w:val="20"/>
    </w:rPr>
  </w:style>
  <w:style w:type="character" w:customStyle="1" w:styleId="FooterChar">
    <w:name w:val="Footer Char"/>
    <w:basedOn w:val="DefaultParagraphFont"/>
    <w:link w:val="Footer"/>
    <w:uiPriority w:val="99"/>
    <w:rsid w:val="00D40825"/>
    <w:rPr>
      <w:sz w:val="20"/>
      <w:szCs w:val="20"/>
    </w:rPr>
  </w:style>
  <w:style w:type="character" w:styleId="PageNumber">
    <w:name w:val="page number"/>
    <w:basedOn w:val="DefaultParagraphFont"/>
    <w:uiPriority w:val="99"/>
    <w:semiHidden/>
    <w:unhideWhenUsed/>
    <w:rsid w:val="00D408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tiff"/><Relationship Id="rId12" Type="http://schemas.openxmlformats.org/officeDocument/2006/relationships/footer" Target="footer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footer" Target="footer1.xml"/><Relationship Id="rId5" Type="http://schemas.openxmlformats.org/officeDocument/2006/relationships/endnotes" Target="endnotes.xml"/><Relationship Id="rId10" Type="http://schemas.openxmlformats.org/officeDocument/2006/relationships/image" Target="media/image5.tiff"/><Relationship Id="rId4" Type="http://schemas.openxmlformats.org/officeDocument/2006/relationships/footnotes" Target="footnotes.xml"/><Relationship Id="rId9" Type="http://schemas.openxmlformats.org/officeDocument/2006/relationships/image" Target="media/image4.tif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6</Pages>
  <Words>362</Words>
  <Characters>2066</Characters>
  <Application>Microsoft Office Word</Application>
  <DocSecurity>0</DocSecurity>
  <Lines>17</Lines>
  <Paragraphs>4</Paragraphs>
  <ScaleCrop>false</ScaleCrop>
  <Company/>
  <LinksUpToDate>false</LinksUpToDate>
  <CharactersWithSpaces>2424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Pao-Yang Chen</dc:creator>
  <cp:keywords/>
  <dc:description/>
  <cp:lastModifiedBy>Pao-Yang Chen</cp:lastModifiedBy>
  <cp:revision>7</cp:revision>
  <dcterms:created xsi:type="dcterms:W3CDTF">2018-06-09T12:21:00Z</dcterms:created>
  <dcterms:modified xsi:type="dcterms:W3CDTF">2018-06-09T12:26:00Z</dcterms:modified>
</cp:coreProperties>
</file>