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4DE0B" w14:textId="17A2EF56" w:rsidR="00454289" w:rsidRDefault="008444C0">
      <w:pPr>
        <w:rPr>
          <w:rFonts w:ascii="Times New Roman" w:hAnsi="Times New Roman" w:cs="Times New Roman"/>
        </w:rPr>
      </w:pPr>
      <w:bookmarkStart w:id="0" w:name="_GoBack"/>
      <w:bookmarkEnd w:id="0"/>
      <w:r w:rsidRPr="003F35CC">
        <w:rPr>
          <w:rFonts w:ascii="Times New Roman" w:hAnsi="Times New Roman" w:cs="Times New Roman"/>
          <w:b/>
          <w:bCs/>
        </w:rPr>
        <w:t xml:space="preserve">Table </w:t>
      </w:r>
      <w:r w:rsidR="00E165D8" w:rsidRPr="003F35CC">
        <w:rPr>
          <w:rFonts w:ascii="Times New Roman" w:hAnsi="Times New Roman" w:cs="Times New Roman"/>
          <w:b/>
          <w:bCs/>
        </w:rPr>
        <w:t>S</w:t>
      </w:r>
      <w:r w:rsidRPr="003F35CC">
        <w:rPr>
          <w:rFonts w:ascii="Times New Roman" w:hAnsi="Times New Roman" w:cs="Times New Roman"/>
          <w:b/>
          <w:bCs/>
        </w:rPr>
        <w:t>1.</w:t>
      </w:r>
      <w:r w:rsidRPr="008444C0">
        <w:rPr>
          <w:rFonts w:ascii="Times New Roman" w:hAnsi="Times New Roman" w:cs="Times New Roman"/>
        </w:rPr>
        <w:t xml:space="preserve"> </w:t>
      </w:r>
      <w:r w:rsidR="001C47EA">
        <w:rPr>
          <w:rFonts w:ascii="Times New Roman" w:hAnsi="Times New Roman" w:cs="Times New Roman"/>
        </w:rPr>
        <w:t xml:space="preserve">Totally </w:t>
      </w:r>
      <w:r w:rsidR="0086206C">
        <w:rPr>
          <w:rFonts w:ascii="Times New Roman" w:hAnsi="Times New Roman" w:cs="Times New Roman"/>
        </w:rPr>
        <w:t>114</w:t>
      </w:r>
      <w:r w:rsidR="0086206C" w:rsidRPr="0086206C">
        <w:rPr>
          <w:rFonts w:ascii="Times New Roman" w:hAnsi="Times New Roman" w:cs="Times New Roman"/>
        </w:rPr>
        <w:t xml:space="preserve"> proteins were identified </w:t>
      </w:r>
      <w:r w:rsidR="00BA0237">
        <w:rPr>
          <w:rFonts w:ascii="Times New Roman" w:hAnsi="Times New Roman" w:cs="Times New Roman"/>
        </w:rPr>
        <w:t>from</w:t>
      </w:r>
      <w:r w:rsidR="0086206C" w:rsidRPr="0086206C">
        <w:rPr>
          <w:rFonts w:ascii="Times New Roman" w:hAnsi="Times New Roman" w:cs="Times New Roman"/>
        </w:rPr>
        <w:t xml:space="preserve"> the </w:t>
      </w:r>
      <w:r w:rsidR="0086206C">
        <w:rPr>
          <w:rFonts w:ascii="Times New Roman" w:hAnsi="Times New Roman" w:cs="Times New Roman"/>
        </w:rPr>
        <w:t>SEA</w:t>
      </w:r>
      <w:r w:rsidR="0086206C" w:rsidRPr="0086206C">
        <w:rPr>
          <w:rFonts w:ascii="Times New Roman" w:hAnsi="Times New Roman" w:cs="Times New Roman"/>
        </w:rPr>
        <w:t xml:space="preserve"> sample</w:t>
      </w:r>
      <w:r w:rsidR="0086206C">
        <w:rPr>
          <w:rFonts w:ascii="Times New Roman" w:hAnsi="Times New Roman" w:cs="Times New Roman"/>
        </w:rPr>
        <w:t>s</w:t>
      </w:r>
      <w:r w:rsidR="0086206C" w:rsidRPr="0086206C">
        <w:rPr>
          <w:rFonts w:ascii="Times New Roman" w:hAnsi="Times New Roman" w:cs="Times New Roman"/>
        </w:rPr>
        <w:t xml:space="preserve"> </w:t>
      </w:r>
      <w:r w:rsidR="00B6755D">
        <w:rPr>
          <w:rFonts w:ascii="Times New Roman" w:hAnsi="Times New Roman" w:cs="Times New Roman"/>
          <w:szCs w:val="24"/>
        </w:rPr>
        <w:t xml:space="preserve">of </w:t>
      </w:r>
      <w:r w:rsidR="00854D9F">
        <w:rPr>
          <w:rFonts w:ascii="Times New Roman" w:hAnsi="Times New Roman" w:cs="Times New Roman" w:hint="eastAsia"/>
          <w:szCs w:val="24"/>
        </w:rPr>
        <w:t>t</w:t>
      </w:r>
      <w:r w:rsidR="00854D9F">
        <w:rPr>
          <w:rFonts w:ascii="Times New Roman" w:hAnsi="Times New Roman" w:cs="Times New Roman"/>
          <w:szCs w:val="24"/>
        </w:rPr>
        <w:t xml:space="preserve">he </w:t>
      </w:r>
      <w:r w:rsidR="00B6755D">
        <w:rPr>
          <w:rFonts w:ascii="Times New Roman" w:hAnsi="Times New Roman" w:cs="Times New Roman"/>
          <w:szCs w:val="24"/>
        </w:rPr>
        <w:t>8</w:t>
      </w:r>
      <w:r w:rsidR="00854D9F">
        <w:rPr>
          <w:rFonts w:ascii="Times New Roman" w:hAnsi="Times New Roman" w:cs="Times New Roman"/>
          <w:szCs w:val="24"/>
        </w:rPr>
        <w:t>th</w:t>
      </w:r>
      <w:r w:rsidR="00B6755D">
        <w:rPr>
          <w:rFonts w:ascii="Times New Roman" w:hAnsi="Times New Roman" w:cs="Times New Roman"/>
          <w:szCs w:val="24"/>
        </w:rPr>
        <w:t xml:space="preserve">, </w:t>
      </w:r>
      <w:r w:rsidR="00854D9F">
        <w:rPr>
          <w:rFonts w:ascii="Times New Roman" w:hAnsi="Times New Roman" w:cs="Times New Roman"/>
          <w:szCs w:val="24"/>
        </w:rPr>
        <w:t>10</w:t>
      </w:r>
      <w:r w:rsidR="00854D9F" w:rsidRPr="00854D9F">
        <w:rPr>
          <w:rFonts w:ascii="Times New Roman" w:hAnsi="Times New Roman" w:cs="Times New Roman"/>
          <w:szCs w:val="24"/>
        </w:rPr>
        <w:t>th</w:t>
      </w:r>
      <w:r w:rsidR="00854D9F">
        <w:rPr>
          <w:rFonts w:ascii="Times New Roman" w:hAnsi="Times New Roman" w:cs="Times New Roman"/>
          <w:szCs w:val="24"/>
        </w:rPr>
        <w:t>,</w:t>
      </w:r>
      <w:r w:rsidR="00B6755D">
        <w:rPr>
          <w:rFonts w:ascii="Times New Roman" w:hAnsi="Times New Roman" w:cs="Times New Roman"/>
          <w:szCs w:val="24"/>
        </w:rPr>
        <w:t xml:space="preserve"> and </w:t>
      </w:r>
      <w:r w:rsidR="00854D9F">
        <w:rPr>
          <w:rFonts w:ascii="Times New Roman" w:hAnsi="Times New Roman" w:cs="Times New Roman"/>
          <w:szCs w:val="24"/>
        </w:rPr>
        <w:t>12</w:t>
      </w:r>
      <w:r w:rsidR="00854D9F" w:rsidRPr="00854D9F">
        <w:rPr>
          <w:rFonts w:ascii="Times New Roman" w:hAnsi="Times New Roman" w:cs="Times New Roman"/>
          <w:szCs w:val="24"/>
        </w:rPr>
        <w:t>th</w:t>
      </w:r>
      <w:r w:rsidR="00B6755D">
        <w:rPr>
          <w:rFonts w:ascii="Times New Roman" w:hAnsi="Times New Roman" w:cs="Times New Roman"/>
          <w:szCs w:val="24"/>
        </w:rPr>
        <w:t xml:space="preserve"> </w:t>
      </w:r>
      <w:r w:rsidR="00854D9F">
        <w:rPr>
          <w:rFonts w:ascii="Times New Roman" w:hAnsi="Times New Roman" w:cs="Times New Roman"/>
          <w:szCs w:val="24"/>
        </w:rPr>
        <w:t xml:space="preserve">infection </w:t>
      </w:r>
      <w:r w:rsidR="00B6755D">
        <w:rPr>
          <w:rFonts w:ascii="Times New Roman" w:hAnsi="Times New Roman" w:cs="Times New Roman"/>
          <w:szCs w:val="24"/>
        </w:rPr>
        <w:t>weeks</w:t>
      </w:r>
      <w:r w:rsidR="00854D9F">
        <w:rPr>
          <w:rFonts w:ascii="Times New Roman" w:hAnsi="Times New Roman" w:cs="Times New Roman"/>
        </w:rPr>
        <w:t xml:space="preserve"> </w:t>
      </w:r>
      <w:r w:rsidR="00B6755D">
        <w:rPr>
          <w:rFonts w:ascii="Times New Roman" w:hAnsi="Times New Roman" w:cs="Times New Roman"/>
        </w:rPr>
        <w:t>of</w:t>
      </w:r>
      <w:r w:rsidR="0086206C" w:rsidRPr="0086206C">
        <w:rPr>
          <w:rFonts w:ascii="Times New Roman" w:hAnsi="Times New Roman" w:cs="Times New Roman"/>
        </w:rPr>
        <w:t xml:space="preserve"> which </w:t>
      </w:r>
      <w:r w:rsidR="0086206C">
        <w:rPr>
          <w:rFonts w:ascii="Times New Roman" w:hAnsi="Times New Roman" w:cs="Times New Roman"/>
        </w:rPr>
        <w:t>76</w:t>
      </w:r>
      <w:r w:rsidR="00B6755D">
        <w:rPr>
          <w:rFonts w:ascii="Times New Roman" w:hAnsi="Times New Roman" w:cs="Times New Roman"/>
        </w:rPr>
        <w:t xml:space="preserve"> proteins</w:t>
      </w:r>
      <w:r w:rsidR="0086206C" w:rsidRPr="0086206C">
        <w:rPr>
          <w:rFonts w:ascii="Times New Roman" w:hAnsi="Times New Roman" w:cs="Times New Roman"/>
        </w:rPr>
        <w:t xml:space="preserve"> were f</w:t>
      </w:r>
      <w:r w:rsidR="00BA0237">
        <w:rPr>
          <w:rFonts w:ascii="Times New Roman" w:hAnsi="Times New Roman" w:cs="Times New Roman"/>
        </w:rPr>
        <w:t xml:space="preserve">ound in </w:t>
      </w:r>
      <w:r w:rsidR="00854D9F">
        <w:rPr>
          <w:rFonts w:ascii="Times New Roman" w:hAnsi="Times New Roman" w:cs="Times New Roman"/>
        </w:rPr>
        <w:t xml:space="preserve">the </w:t>
      </w:r>
      <w:r w:rsidR="00BA0237" w:rsidRPr="008444C0">
        <w:rPr>
          <w:rFonts w:ascii="Times New Roman" w:hAnsi="Times New Roman" w:cs="Times New Roman"/>
        </w:rPr>
        <w:t>8</w:t>
      </w:r>
      <w:r w:rsidR="00854D9F">
        <w:rPr>
          <w:rFonts w:ascii="Times New Roman" w:hAnsi="Times New Roman" w:cs="Times New Roman"/>
        </w:rPr>
        <w:t>th</w:t>
      </w:r>
      <w:r w:rsidR="00B6755D">
        <w:rPr>
          <w:rFonts w:ascii="Times New Roman" w:hAnsi="Times New Roman" w:cs="Times New Roman"/>
        </w:rPr>
        <w:t xml:space="preserve"> </w:t>
      </w:r>
      <w:r w:rsidR="00BA0237" w:rsidRPr="008444C0">
        <w:rPr>
          <w:rFonts w:ascii="Times New Roman" w:hAnsi="Times New Roman" w:cs="Times New Roman"/>
        </w:rPr>
        <w:t>week</w:t>
      </w:r>
      <w:r w:rsidR="00854D9F">
        <w:rPr>
          <w:rFonts w:ascii="Times New Roman" w:hAnsi="Times New Roman" w:cs="Times New Roman"/>
        </w:rPr>
        <w:t xml:space="preserve"> of infection</w:t>
      </w:r>
      <w:r w:rsidR="00B6755D">
        <w:rPr>
          <w:rFonts w:ascii="Times New Roman" w:hAnsi="Times New Roman" w:cs="Times New Roman"/>
        </w:rPr>
        <w:t>, 86</w:t>
      </w:r>
      <w:r w:rsidR="0086206C" w:rsidRPr="0086206C">
        <w:rPr>
          <w:rFonts w:ascii="Times New Roman" w:hAnsi="Times New Roman" w:cs="Times New Roman"/>
        </w:rPr>
        <w:t xml:space="preserve"> proteins were</w:t>
      </w:r>
      <w:r w:rsidR="0062697A">
        <w:rPr>
          <w:rFonts w:ascii="Times New Roman" w:hAnsi="Times New Roman" w:cs="Times New Roman"/>
        </w:rPr>
        <w:t xml:space="preserve"> found in </w:t>
      </w:r>
      <w:r w:rsidR="00854D9F">
        <w:rPr>
          <w:rFonts w:ascii="Times New Roman" w:hAnsi="Times New Roman" w:cs="Times New Roman"/>
        </w:rPr>
        <w:t xml:space="preserve">the </w:t>
      </w:r>
      <w:r w:rsidR="0062697A">
        <w:rPr>
          <w:rFonts w:ascii="Times New Roman" w:hAnsi="Times New Roman" w:cs="Times New Roman"/>
        </w:rPr>
        <w:t>10</w:t>
      </w:r>
      <w:r w:rsidR="00854D9F">
        <w:rPr>
          <w:rFonts w:ascii="Times New Roman" w:hAnsi="Times New Roman" w:cs="Times New Roman"/>
        </w:rPr>
        <w:t>th</w:t>
      </w:r>
      <w:r w:rsidR="0062697A">
        <w:rPr>
          <w:rFonts w:ascii="Times New Roman" w:hAnsi="Times New Roman" w:cs="Times New Roman"/>
        </w:rPr>
        <w:t xml:space="preserve"> </w:t>
      </w:r>
      <w:r w:rsidR="0062697A" w:rsidRPr="008444C0">
        <w:rPr>
          <w:rFonts w:ascii="Times New Roman" w:hAnsi="Times New Roman" w:cs="Times New Roman"/>
        </w:rPr>
        <w:t>week</w:t>
      </w:r>
      <w:r w:rsidR="00854D9F">
        <w:rPr>
          <w:rFonts w:ascii="Times New Roman" w:hAnsi="Times New Roman" w:cs="Times New Roman"/>
        </w:rPr>
        <w:t xml:space="preserve"> of infection</w:t>
      </w:r>
      <w:r w:rsidR="0062697A">
        <w:rPr>
          <w:rFonts w:ascii="Times New Roman" w:hAnsi="Times New Roman" w:cs="Times New Roman"/>
        </w:rPr>
        <w:t xml:space="preserve"> and 57 proteins</w:t>
      </w:r>
      <w:r w:rsidR="0062697A" w:rsidRPr="0086206C">
        <w:rPr>
          <w:rFonts w:ascii="Times New Roman" w:hAnsi="Times New Roman" w:cs="Times New Roman"/>
        </w:rPr>
        <w:t xml:space="preserve"> were f</w:t>
      </w:r>
      <w:r w:rsidR="0062697A">
        <w:rPr>
          <w:rFonts w:ascii="Times New Roman" w:hAnsi="Times New Roman" w:cs="Times New Roman"/>
        </w:rPr>
        <w:t>ound in</w:t>
      </w:r>
      <w:r w:rsidR="00854D9F">
        <w:rPr>
          <w:rFonts w:ascii="Times New Roman" w:hAnsi="Times New Roman" w:cs="Times New Roman"/>
        </w:rPr>
        <w:t xml:space="preserve"> the</w:t>
      </w:r>
      <w:r w:rsidR="0062697A">
        <w:rPr>
          <w:rFonts w:ascii="Times New Roman" w:hAnsi="Times New Roman" w:cs="Times New Roman"/>
        </w:rPr>
        <w:t xml:space="preserve"> 12</w:t>
      </w:r>
      <w:r w:rsidR="00854D9F">
        <w:rPr>
          <w:rFonts w:ascii="Times New Roman" w:hAnsi="Times New Roman" w:cs="Times New Roman"/>
        </w:rPr>
        <w:t>th</w:t>
      </w:r>
      <w:r w:rsidR="0062697A">
        <w:rPr>
          <w:rFonts w:ascii="Times New Roman" w:hAnsi="Times New Roman" w:cs="Times New Roman"/>
        </w:rPr>
        <w:t xml:space="preserve"> </w:t>
      </w:r>
      <w:r w:rsidR="0062697A" w:rsidRPr="008444C0">
        <w:rPr>
          <w:rFonts w:ascii="Times New Roman" w:hAnsi="Times New Roman" w:cs="Times New Roman"/>
        </w:rPr>
        <w:t>week</w:t>
      </w:r>
      <w:r w:rsidR="00854D9F">
        <w:rPr>
          <w:rFonts w:ascii="Times New Roman" w:hAnsi="Times New Roman" w:cs="Times New Roman"/>
        </w:rPr>
        <w:t xml:space="preserve"> of infection</w:t>
      </w:r>
      <w:r w:rsidR="001C47EA">
        <w:rPr>
          <w:rFonts w:ascii="Times New Roman" w:hAnsi="Times New Roman" w:cs="Times New Roman"/>
        </w:rPr>
        <w:t xml:space="preserve">. </w:t>
      </w:r>
    </w:p>
    <w:p w14:paraId="0AD18A95" w14:textId="77777777" w:rsidR="002C4FC7" w:rsidRPr="008444C0" w:rsidRDefault="002C4FC7">
      <w:pPr>
        <w:rPr>
          <w:rFonts w:ascii="Times New Roman" w:hAnsi="Times New Roman" w:cs="Times New Roman"/>
        </w:rPr>
      </w:pPr>
    </w:p>
    <w:tbl>
      <w:tblPr>
        <w:tblW w:w="10044" w:type="dxa"/>
        <w:jc w:val="center"/>
        <w:tblBorders>
          <w:top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5"/>
        <w:gridCol w:w="2381"/>
        <w:gridCol w:w="1768"/>
        <w:gridCol w:w="1814"/>
        <w:gridCol w:w="624"/>
        <w:gridCol w:w="624"/>
        <w:gridCol w:w="624"/>
        <w:gridCol w:w="624"/>
      </w:tblGrid>
      <w:tr w:rsidR="00E76B9B" w:rsidRPr="00390649" w14:paraId="073C1BE8" w14:textId="18930FD4" w:rsidTr="004213C7">
        <w:trPr>
          <w:trHeight w:val="680"/>
          <w:jc w:val="center"/>
        </w:trPr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62508F" w14:textId="77777777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Predicted</w:t>
            </w: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  <w:t>Function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667A" w14:textId="77777777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Identified Protein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18B5" w14:textId="77777777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Accession Number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C9AF0D" w14:textId="23B83E70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Subcellular </w:t>
            </w: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="009B72DE"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</w:t>
            </w: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ocalization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2A4A" w14:textId="60C47C99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  <w:r w:rsidR="006A6FD2">
              <w:rPr>
                <w:rFonts w:ascii="Times New Roman" w:eastAsia="新細明體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t</w:t>
            </w:r>
            <w:r w:rsidR="006A6FD2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24F0" w14:textId="6CECE8EC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  <w:r w:rsidR="006A6FD2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CCAD" w14:textId="57B0A2CA" w:rsidR="00E76B9B" w:rsidRPr="00390649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064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</w:t>
            </w:r>
            <w:r w:rsidR="006A6FD2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D93F" w14:textId="6BF79AAB" w:rsidR="00E76B9B" w:rsidRPr="000B3CEF" w:rsidRDefault="00E76B9B" w:rsidP="004213C7">
            <w:pPr>
              <w:widowControl/>
              <w:jc w:val="both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SecP</w:t>
            </w:r>
            <w:r w:rsidR="00035844" w:rsidRPr="000B3CEF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</w:tr>
      <w:tr w:rsidR="00A215C2" w:rsidRPr="003C6EB4" w14:paraId="57048640" w14:textId="21AF9D50" w:rsidTr="004213C7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5AD7" w14:textId="5C6727B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AF7D" w14:textId="4C2E514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epsilon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2FE5" w14:textId="7299768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Q9U491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23BB" w14:textId="3E8A870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97F9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F988" w14:textId="110CE6B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BA96" w14:textId="0FB837D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E0B6" w14:textId="6651EE7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</w:tr>
      <w:tr w:rsidR="00A215C2" w:rsidRPr="003C6EB4" w14:paraId="1FB05F3E" w14:textId="5A15F407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39F20CF" w14:textId="5A6740A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ABAA40D" w14:textId="3AC5ABE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epsilon 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534746C" w14:textId="13DF7B4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Q95W36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86303B7" w14:textId="5751311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9924AF7" w14:textId="125E763E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52A425" w14:textId="67886E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70050B" w14:textId="7101AC0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7E5C87" w14:textId="5575AD50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487D192" w14:textId="7DA68C82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C4289D7" w14:textId="46283AC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FAEDF6A" w14:textId="24C8894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14-3-3 protein homolog 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2BDA4F8" w14:textId="6AF2D5E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Q26537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06EB887" w14:textId="773BBE6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A9E53D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CC38F7" w14:textId="1588FCA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7B23378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6D7755" w14:textId="42D459D1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66F1FF62" w14:textId="59C4A34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97F91C6" w14:textId="1064DF8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E083A8F" w14:textId="2D3A598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BB73CA" w14:textId="4D67E06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A0A3Q0KUT3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E55DF54" w14:textId="2C0FA78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657647" w14:textId="00C80BF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7756B1" w14:textId="46C43DB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45700F" w14:textId="5503905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DE8CC49" w14:textId="32EB6200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B181C2F" w14:textId="32025307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CDF3DF9" w14:textId="08DF3C9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B595E76" w14:textId="31EAE16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E89A903" w14:textId="48BE8BE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225B141" w14:textId="6C893C4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0DEA4C" w14:textId="6A510B5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FE23DBA" w14:textId="6FF824F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566D36C" w14:textId="0B097BC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C9C1AF" w14:textId="20B36E9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1E94012" w14:textId="658ECF7B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6FE071A" w14:textId="7723654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A63239F" w14:textId="786588A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85A66ED" w14:textId="021372C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P53471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F2B559C" w14:textId="59762BC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800E66" w14:textId="43470F9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B538E5" w14:textId="19963348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E547ADE" w14:textId="793A90B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FA49AC" w14:textId="538B3E5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2227602A" w14:textId="3A9CAD43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C4BE4A8" w14:textId="23F2715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68FCD16" w14:textId="306774C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ADP-ribosylation factor-like protein 5B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5BB867A" w14:textId="55F6D12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A0A3Q0KK11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622ED15" w14:textId="0E7767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EE14B8" w14:textId="2D4AC72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9DCBBB" w14:textId="23BE9EE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9DAC8E" w14:textId="62E2A9E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F1CBE1" w14:textId="034181F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5B3503C" w14:textId="1A2D741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BA0F489" w14:textId="26F341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8D21E56" w14:textId="123386A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Albumin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FE298AB" w14:textId="5BE8121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Q95VB7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307A046" w14:textId="32A46FF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Extracellular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9C9A90" w14:textId="7318377B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0E246FA" w14:textId="6849B2A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3C9B54B" w14:textId="525DD34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3CDB3C" w14:textId="7CB08386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3831681E" w14:textId="6D9FBD0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B19D38E" w14:textId="5D2B0AE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8D5CC8B" w14:textId="3E2F87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C2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D14E827" w14:textId="3B685C5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A0A3Q0KKP8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61B2371" w14:textId="517EE59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2B88E1" w14:textId="5F086D3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2F0FFC" w14:textId="03729F0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84EDC4" w14:textId="5F4B034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A27364" w14:textId="36BF1636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BE11A15" w14:textId="2D560FA3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A7427DB" w14:textId="574DE1D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529D80C" w14:textId="4E331DD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Cadherin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15215E2" w14:textId="336F3B2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A0A3Q0KR77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51E4A8D" w14:textId="30F0E2A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1F000D" w14:textId="35E75C5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51E416" w14:textId="07CD2D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6A81961" w14:textId="5CE0CFA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E25B9B" w14:textId="708D405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676B1771" w14:textId="50363A5F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25B26A20" w14:textId="61DE99A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89E26F0" w14:textId="7D42D61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648B2CE" w14:textId="1978F66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E007F12" w14:textId="5178F7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17C7A7" w14:textId="647A72B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F534403" w14:textId="3C6C1840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864E19C" w14:textId="6F0F97F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2FF231" w14:textId="352D5BE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5CCB7921" w14:textId="45FC0F7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26F3B7F" w14:textId="33B86DC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04A2AC3" w14:textId="3D4BC69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Calmodulin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8575A73" w14:textId="7572CC3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E9LZR7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A35BEEC" w14:textId="15E0CCD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EA5912" w14:textId="011EA68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B67F29C" w14:textId="23011BB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D33A2B" w14:textId="3B9268B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B6B41E2" w14:textId="5702737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5CC3BE7A" w14:textId="19AEA265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4F2D4E9" w14:textId="4557952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2DEB406" w14:textId="053DF89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FERM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AD5206" w14:textId="6F12674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A0A5K4F1E6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8309628" w14:textId="59BB62C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AFD5E8A" w14:textId="503A07A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209E16" w14:textId="7BF0A45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5D968B" w14:textId="59DDB94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465498F" w14:textId="40DA935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A957C94" w14:textId="0BB0F30A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C6F2BC1" w14:textId="4C00CAC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FEE785C" w14:textId="04EE2A7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A8C34D1" w14:textId="7DD13CD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A0A3Q0KVK3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FD31623" w14:textId="0191437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04F8E3" w14:textId="5D0BFC40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CCCA78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0804BAB" w14:textId="01190A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E399F0" w14:textId="28F88D7E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DA1B931" w14:textId="27D3E4D9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3D9254A" w14:textId="55714D6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C785476" w14:textId="2D3EBFF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F4CFEC6" w14:textId="2F2F1B5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C1M1H8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7D6A57A" w14:textId="4B61C17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973853" w14:textId="4F3863C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589D6C" w14:textId="2DC005D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9C06D6" w14:textId="79BAF50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BF07F9" w14:textId="08EC6560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0E54B18C" w14:textId="041D26A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04A6F8F" w14:textId="76B338F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2A683DC" w14:textId="5BCB73D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H2B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91D70A2" w14:textId="212B384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G4V6E9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976B352" w14:textId="02F9840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CA1AAB" w14:textId="651061B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6DEFB6" w14:textId="5807471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91C792" w14:textId="4E6D0D3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A21D8E" w14:textId="5D72AD1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2AA904EF" w14:textId="0A733FC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22BFCFB" w14:textId="549D3FA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C952112" w14:textId="4D67848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0227AFF" w14:textId="46E8127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C4QBN1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5D538BE" w14:textId="0A87A14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FEE9C07" w14:textId="54423ED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FE48B90" w14:textId="0F96B90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CAF70B" w14:textId="26182AF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7431D8" w14:textId="6A4F137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F8D18C8" w14:textId="1D1C3A5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12F1A05" w14:textId="2FA1026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705F972" w14:textId="3985015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Histone H4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B3F7D21" w14:textId="6904488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Q9GSS8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DB0386D" w14:textId="787D051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71747B" w14:textId="6F385911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78E6614" w14:textId="12FA924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EEED79" w14:textId="5B4D9D4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191D7D" w14:textId="306ABFA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030ECB3A" w14:textId="66D6A49B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22FC785D" w14:textId="4EE5FD7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A25B1B" w14:textId="69251BC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LTD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18DF40C" w14:textId="656DAA5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A0A5K4FB57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DD85703" w14:textId="6857122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8EE215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7843139" w14:textId="3EB603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611946" w14:textId="505E5B9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13436F" w14:textId="582F7C21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06EA2536" w14:textId="685276D7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99711A3" w14:textId="683A769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38C8271" w14:textId="502F81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MICOS complex subunit MIC10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0750CEF" w14:textId="66EBFC3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A0A146MJ03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57DE52C" w14:textId="344A08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CD933E" w14:textId="4A72A1DE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E96653A" w14:textId="596249C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B62248" w14:textId="694E036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4E178C" w14:textId="21062AA8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31FB4ED" w14:textId="007CB6DF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FA249CE" w14:textId="25E4FC1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FF63EB9" w14:textId="7275E4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Nucleolar pre-ribosomal-associated protein 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4D125B5" w14:textId="2BE5D31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A0A3Q0KQS6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A07D2C" w14:textId="6D3CEA5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EEFAD2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190B41" w14:textId="50E7171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7D18299" w14:textId="419B197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8BF416" w14:textId="68094A1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BB7C752" w14:textId="132CE71C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26CC622" w14:textId="5CA8BC4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1F9DE9F" w14:textId="0340EE0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actin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9DE2C30" w14:textId="6D592D2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G4VLW1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B5210A6" w14:textId="444ECC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655674D" w14:textId="32FD34A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568DB3F" w14:textId="2E92C46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AFFDC4" w14:textId="3EE0D9E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A72809" w14:textId="40DA91A6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7E1482D6" w14:textId="021E6A7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4667DC4" w14:textId="504BBE2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AF38E09" w14:textId="62550F9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9CD433" w14:textId="641D8AC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G4VBW4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78575B4" w14:textId="665EF29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0157AE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8D6728" w14:textId="33E0B92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7BB452B" w14:textId="76C51D8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596215" w14:textId="0AFFF19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13E0D01" w14:textId="119803C0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3EC4952" w14:textId="04CB515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C5B91D" w14:textId="02E21B6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alpha-actinin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E5B5DC9" w14:textId="393A6C4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A0A3Q0KE94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229B01A" w14:textId="32E5801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455A53F" w14:textId="4C95A61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B12685" w14:textId="74553A3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B1FA4D7" w14:textId="3CD6F4A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803B4DC" w14:textId="407BAA9B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62F8DA44" w14:textId="6BB30FF3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48591DE" w14:textId="06FB2DC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339B575" w14:textId="07A1FAD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cyln2 (Cytoplasmic linker protein-115) (Clip-115)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7F3321B" w14:textId="12F337B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A0A3Q0KGG5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7D5FF2B" w14:textId="3501742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AAC16E" w14:textId="215A7292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CB6444" w14:textId="7B01AFB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1D24D3D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BE9CA0B" w14:textId="11F4438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251C410F" w14:textId="44FFA36D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FDA4D79" w14:textId="6D18CCB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4DB14F0" w14:textId="17F9F13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rab15, 13, 10, 1, 35, 5, and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3BF304E" w14:textId="11E8ABC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A0A3Q0KV72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ACD038" w14:textId="6AF51C5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8BCAA72" w14:textId="2643EA4B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E3906F" w14:textId="49A2E5E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28D4EE" w14:textId="1483B02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7D89CD" w14:textId="43CD7AF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7089CF0" w14:textId="507D3450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7F8B025" w14:textId="6B73627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A8A682A" w14:textId="6578052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rab9 and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ACADC3E" w14:textId="0B60226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G4V6R4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36FE6D9" w14:textId="43CE655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6F8191B" w14:textId="5D3765A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E7E778" w14:textId="1B13408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A7A515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750334" w14:textId="285FF1C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67D0733E" w14:textId="129C4B3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0795BC2" w14:textId="44969B7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AC200A4" w14:textId="2F26E90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sorting nexin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F9F3AEA" w14:textId="40AA08C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G4V6X9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AA40AB6" w14:textId="3106642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3BAA93" w14:textId="0F63A9A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60BCE06" w14:textId="19FF89E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DEBA980" w14:textId="37821B7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D26DF1" w14:textId="0E1652D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4A059AD8" w14:textId="0AAB6D1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2E1F04F" w14:textId="60D6414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0CCD7EB" w14:textId="04C1455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Rab-related GTP-binding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D844EAC" w14:textId="094B263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Q26554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7CB29DF" w14:textId="6F69102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81246ED" w14:textId="23E435F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037AFB0" w14:textId="3FA9289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5BD89D" w14:textId="46194C2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91EB89" w14:textId="5E443CD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C43713E" w14:textId="741027E0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4123386" w14:textId="1692101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94F7A76" w14:textId="586B267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Spectrin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919F874" w14:textId="402FB22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A0A5K4F8H0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5D5015" w14:textId="02680A6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D61C95" w14:textId="4D49072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1349A3" w14:textId="4D2E983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5FCACF6" w14:textId="31303669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841C6E" w14:textId="57144F1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14238FD" w14:textId="0866EA09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25C23B9" w14:textId="7C80F68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3D36600" w14:textId="0C04D88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FFCAFCB" w14:textId="06503F3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C4Q4S5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BF0D582" w14:textId="6E27882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3BE977" w14:textId="572F8C8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786334" w14:textId="65CDBC4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F82AE16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5D66ED" w14:textId="5ACC7B9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79B505FD" w14:textId="319B048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490FFCD" w14:textId="7A7EC2F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9B236A9" w14:textId="02C2643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4E7CD69" w14:textId="5BF47EE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G4VKY4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BBFEAB7" w14:textId="7FC774A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9C69D0" w14:textId="6A9FF2B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9429CD" w14:textId="64C4297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14841F" w14:textId="58D4D6BF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1D939F" w14:textId="630F60E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998AFCB" w14:textId="419B4357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0B3A2D6" w14:textId="6C0AEF8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67AC32E" w14:textId="775F415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alpha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E9EBAF0" w14:textId="65757BD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Q26595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A767384" w14:textId="002F4F6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D3A38C2" w14:textId="4170BB6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DA07851" w14:textId="2277FB4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348F6B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B6EED77" w14:textId="539AF9A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1384B94" w14:textId="6BACF80D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19CD61D" w14:textId="7A93C78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8CEE86E" w14:textId="4021EE7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beta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B7B241" w14:textId="4C6C39F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C4QIC0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3E4FD6" w14:textId="6D2C0A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89B7FB" w14:textId="46B9D6C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164001B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465098A" w14:textId="344502E0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2BC52E" w14:textId="0D58894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1B8CD23C" w14:textId="6874B143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7B84CBF" w14:textId="1259D2B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4652F5F" w14:textId="01995AE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Tubulin beta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8D7569B" w14:textId="309CF2F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G4VHK8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226555" w14:textId="13FA342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Cytoskeleton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A962C5E" w14:textId="5812579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30FEB7" w14:textId="6C2BBD6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A8BA40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FE082F" w14:textId="746F97C8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0D734B99" w14:textId="1681EA1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46A1580" w14:textId="1AF5A68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4C790D6" w14:textId="0C4C304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70C4A92" w14:textId="112D7D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G4M0P7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D957B03" w14:textId="523F4A4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9CEFDE" w14:textId="543D78B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AADFF4" w14:textId="6FE2C64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5E7858" w14:textId="167BE22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3BA69A" w14:textId="1B60D3A6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626E6648" w14:textId="0957EB5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B27E468" w14:textId="5D01452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472299E" w14:textId="1D7059C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Vasa-like DEAD-box RNA helicase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AB38950" w14:textId="625282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I6SIZ7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4A77FA8" w14:textId="34D2A13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D90F58" w14:textId="204B5A6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A2E8F77" w14:textId="54D0A1D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42A2AA" w14:textId="62DCDFE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675D2D" w14:textId="5348F77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0F2A9972" w14:textId="478E0C25" w:rsidTr="000C2E58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056B751" w14:textId="14C7D6E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9C36C20" w14:textId="2B8DEC5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cell division cycle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917EF54" w14:textId="495A69E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A0A5K4F8X3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6452BFA" w14:textId="3EAF1F0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6B4F415" w14:textId="1CD49E2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704906F" w14:textId="4290939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525E51E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9D36DDE" w14:textId="25DF42E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2A019446" w14:textId="2C16A51E" w:rsidTr="000C2E58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4D5BF0" w14:textId="518BD93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08DC" w14:textId="50FA052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Cadherin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D7BB" w14:textId="51890E2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A0A5K4F4W8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0BC8" w14:textId="6DBF552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D265" w14:textId="713955E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4543" w14:textId="3FA10E9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C347" w14:textId="0A030D48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4D84" w14:textId="4061C93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2F7C3758" w14:textId="6F7B7EBE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1AAC" w14:textId="5BA81ED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Enzymatic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F8C5" w14:textId="7D5099D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Succinate--CoA ligase [ADP/GDP-forming] subunit alpha, mitochondrial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97EC" w14:textId="37E2F44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G4VI16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2A67" w14:textId="36BC21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79F4" w14:textId="0F7B835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3285" w14:textId="46D1A8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10F4" w14:textId="7440809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250D" w14:textId="6B45363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FCF6C50" w14:textId="5363D07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B63F9B8" w14:textId="1C79451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56FDE03" w14:textId="1AD3EBE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Matrix metallopeptidase-7 (M10 family)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FA4EE95" w14:textId="6AE751A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A0A3Q0KP46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561ADA2" w14:textId="258DBD1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Extracellular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4F0214" w14:textId="514F1B8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0FBE7E" w14:textId="0FDDEF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0B99C1" w14:textId="5900990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163A83" w14:textId="4A0DD44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648FCF79" w14:textId="08EDAE9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37AFFCC" w14:textId="735D7A1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0B3FA91" w14:textId="4E98D59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NADH dehydrogenase [ubiquinone] flavoprotein 1,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3A07520" w14:textId="2FB5D9E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A0A3Q0KC95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DBA2E8E" w14:textId="212EDF9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98E6EF" w14:textId="61D136B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E047A7" w14:textId="6A603FE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298990" w14:textId="77D9584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8F467D" w14:textId="0BBBB1D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4A015E99" w14:textId="7CBDFE25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C173948" w14:textId="6420ED2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1FD87AE" w14:textId="3ABBC1D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Glutathione S-transferase class-mu 28 kDa isozyme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64ACFE4" w14:textId="4226511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P09792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F1621B6" w14:textId="0A3F7E1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F1832B0" w14:textId="460D65F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5D4F2B" w14:textId="3F82A8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B31E87" w14:textId="6ECDF49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A70F43" w14:textId="72DA630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D4F9967" w14:textId="66005DAC" w:rsidTr="00B83314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196E495" w14:textId="5E36476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4CBE92C" w14:textId="0BA0EE9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CTP synthase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DBCE393" w14:textId="5FB7E8A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A0A5K4F3N0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27346C8" w14:textId="7CD404A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B6F5254" w14:textId="6F18894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8B63B1C" w14:textId="296EDCB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2064570" w14:textId="42CC14F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5A2B03B" w14:textId="72A47E5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AAF8008" w14:textId="76F50BB8" w:rsidTr="00B83314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BCF9AE" w14:textId="635F407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6C50" w14:textId="293B400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coproporphyrinogen oxidase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2CAD" w14:textId="7879F76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A0A3Q0KRI2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CD19" w14:textId="65586E0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39A1" w14:textId="1C1C2DF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D7F1" w14:textId="64F93D5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F52B" w14:textId="1228F414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4A70" w14:textId="4FA59C6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46200639" w14:textId="028A4F0A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8879" w14:textId="59758B5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Metabolic process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746F" w14:textId="786E741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Dihydrolipoyllysine-residue succinyltransferase component of 2-oxoglutarate dehydrogenase complex, mitochondrial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7E25" w14:textId="0B4CC61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A0A5K4F4M9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37A5" w14:textId="62A7209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857D" w14:textId="40997D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F05E" w14:textId="5B7E9F0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0577" w14:textId="6EFD341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6C5C" w14:textId="5FD518A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F7FAD9B" w14:textId="16F8AEE0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59B9BD6" w14:textId="31D26C3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DB6467F" w14:textId="19CC09C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CAD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BB433C" w14:textId="79C179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A0A3Q0KU51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F0F5179" w14:textId="428C609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B598C1" w14:textId="60A883F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B1D917" w14:textId="5A564E8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E20AF1" w14:textId="3C1081F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CA933F" w14:textId="6AAC16C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EBE850A" w14:textId="4D77471B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2033E55B" w14:textId="708E4D9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1F2A9EE" w14:textId="13D7348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Glutamate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56DC914" w14:textId="1583EA8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G4LYZ1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FC7F841" w14:textId="4C8948B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8BCD59" w14:textId="1C8617A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51B35D" w14:textId="5F46DA8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5ABD12" w14:textId="3C39697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141D8E" w14:textId="28E83DE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478CA2AC" w14:textId="5077BE0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E0289CF" w14:textId="1E43DBB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26D7BA8" w14:textId="04EA65C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Isocitrate dehydrogenase [NADP]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D2D8B04" w14:textId="650306A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A0A3Q0KRX7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73AC7A9" w14:textId="3917275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0A6282" w14:textId="39397A0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A71CCF9" w14:textId="6D0BFC3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D14BB2" w14:textId="7FD8C736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5199F9" w14:textId="07CA1D9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44FF0EC3" w14:textId="518E773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94989AE" w14:textId="2C5011E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533D951" w14:textId="1F00456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Isocitrate dehydrogenase [NADP]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124AAB5" w14:textId="3E43C30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A0A5K4EW27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B590A8" w14:textId="7538B73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E7B71FF" w14:textId="7A7F6BB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D1177B" w14:textId="2906321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7EAD58" w14:textId="5AA5DB7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CCAC6A" w14:textId="1DE243A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2B7C04B6" w14:textId="0DDD0EA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7E63349" w14:textId="16CBCDB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54A2A9F" w14:textId="39EDAB4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Malate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51EAF5" w14:textId="51B7194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G4VBJ0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6AF80A3" w14:textId="3E0B7D9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E6B991" w14:textId="0F9A2FB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69CD0A" w14:textId="2926718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8EBB88B" w14:textId="42DF0CC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13AA60" w14:textId="7729C08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E4BE277" w14:textId="4022ADA5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FCD79CE" w14:textId="23A0D16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8C6BCD0" w14:textId="0EBE540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Pyruvate carboxylase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B463D66" w14:textId="5E1987C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A0A3Q0KND4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0AE309E" w14:textId="203D6B0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8C10F0" w14:textId="630417F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72A49F" w14:textId="2F1883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E225502" w14:textId="5A6E09E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240120" w14:textId="5CAF781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6980CEB4" w14:textId="1561F1A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03BF820" w14:textId="6B8E656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7AAB811" w14:textId="4C3FD5D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Aspartate aminotransferase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B645937" w14:textId="66E145A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A0A5K4EG06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3BF622E" w14:textId="736BDB0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0265853" w14:textId="52A510D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174B49" w14:textId="52A3D8A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AFEEEA" w14:textId="6E88855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6D2DC0" w14:textId="1FB484C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140A944F" w14:textId="66D1BBF2" w:rsidTr="004C4E4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D86B2D3" w14:textId="50D4624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386FD8E" w14:textId="3794EB0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CB9ED33" w14:textId="0629AA8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A7UAX6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CDBBB5" w14:textId="21BE2A0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6A6E418" w14:textId="312E1EE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B8968A6" w14:textId="5163C8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18092ED" w14:textId="2EA2B3B9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C917A39" w14:textId="4796C66E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3D6091C6" w14:textId="62795B31" w:rsidTr="004C4E42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E845A1" w14:textId="7ECC0DF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34C4" w14:textId="11CD849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ornithine aminotransferase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FFAC" w14:textId="6F9FEEF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A7UAX7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335D" w14:textId="1031937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545F" w14:textId="5619EC1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9556" w14:textId="37CDF9E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A909" w14:textId="03B29A1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78DC" w14:textId="68C391E8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208AC8A6" w14:textId="3F32E582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38EA" w14:textId="6D5B704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36A1" w14:textId="5D8C9A6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Chorein_N domain-containing protein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C596" w14:textId="3232564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A0A5K4FEM2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D226" w14:textId="627992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E0A8" w14:textId="6CFFED7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799B" w14:textId="3146225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EA5B" w14:textId="6AA0F05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5DA1" w14:textId="15E3B84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F6B4A71" w14:textId="509DFE6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7405602" w14:textId="6D250C8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304C10" w14:textId="3C9230B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DIX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9E2EAA3" w14:textId="2CCBE13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G4LX28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1504D79" w14:textId="117853E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B90821" w14:textId="2930193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579A66B" w14:textId="3544722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F214D6" w14:textId="1DDB2E5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1637E6" w14:textId="5759F74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07A89560" w14:textId="12F7B70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213D3BA" w14:textId="415E5B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DAE5804" w14:textId="4DB593E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titin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4737C4E" w14:textId="799CCFB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A0A5K4EM68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D74708F" w14:textId="20A24BC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0F0EF1" w14:textId="2EE7C49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BD0A17" w14:textId="0D40C18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A390CB1" w14:textId="084CCAB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A8B159" w14:textId="150897F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670BEF8" w14:textId="43E4BD03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97748E2" w14:textId="5BF2C45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033EB1B" w14:textId="64B6DEB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CUB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2CF3EF5" w14:textId="0ED7706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A0A5K4F1G2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3AEEFCE" w14:textId="2C85831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329185" w14:textId="1903391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058A70" w14:textId="2BCDE18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9CAC79" w14:textId="2BB0F2A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918A3B" w14:textId="512BA95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697B9904" w14:textId="1AEFABC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E5AF927" w14:textId="0B62430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3150478" w14:textId="539A7F2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DUF1619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8592504" w14:textId="63DAA8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A0A5K4FEM0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EEDF7DA" w14:textId="5BA4852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4A212A" w14:textId="3C763AD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8E72039" w14:textId="5194E90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CC0DFE" w14:textId="58BBC24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41703E" w14:textId="72A5244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2C2C56CC" w14:textId="216EF46C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5AA2BE2" w14:textId="53B210B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C6267E0" w14:textId="3BC20DB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DUF3453 domain-containing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637CFFE" w14:textId="580125F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A0A5K4F907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6333863" w14:textId="3D44855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6070421" w14:textId="08BB7DD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3661D8" w14:textId="4F1429F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547EF9" w14:textId="1BD7A64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97F8B0" w14:textId="3751D3B0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69AB08F8" w14:textId="76622F8B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C0AA84D" w14:textId="7138775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FE763CA" w14:textId="46136B3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AEC4A12" w14:textId="4F55F88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A0A5K4FC32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5E280F7" w14:textId="0C1D4F8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7A30E9" w14:textId="5B818EF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3B348CA" w14:textId="1456832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FC47AB" w14:textId="55F25EC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56669B" w14:textId="0D7EB7A1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6332D1F9" w14:textId="79E4F01A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18408EE" w14:textId="1E4791F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1576F73" w14:textId="68E1B94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Prohibitin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25B5237" w14:textId="159DD3C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G4VS58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46DCDBC" w14:textId="209687B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37AA99F" w14:textId="5A6E366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CA0A36" w14:textId="5129593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8F67E19" w14:textId="3A4F95D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508609" w14:textId="6EDE4F71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45638751" w14:textId="3C5CB14C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2FAE1AF8" w14:textId="3AB845B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54D69F2" w14:textId="1EDB60E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sarg904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5E63830" w14:textId="4396A04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G4V6I2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C066A06" w14:textId="0277FE9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1E20D4" w14:textId="25EB378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DE24C7" w14:textId="3A6A5A3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035D63D" w14:textId="4F51C22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68A3E0" w14:textId="76BFB2C0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71AF9FD2" w14:textId="6C156A7A" w:rsidTr="001E5EAA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64B0678" w14:textId="4A5851A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743ED7A" w14:textId="6824FBD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3FA50E3" w14:textId="6E329C1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A0A5K4F9R4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4FE0011" w14:textId="3BB14A9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F55395B" w14:textId="1B87A14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864634" w14:textId="2B06389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1401354" w14:textId="604460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2326092" w14:textId="430082F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17FFE3F2" w14:textId="59074D78" w:rsidTr="001E5EAA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9332DF" w14:textId="3941666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9152" w14:textId="296A949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B774" w14:textId="0E8FC9F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A0A3Q0KKZ9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AD9D" w14:textId="504D996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3D06" w14:textId="085C667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D29D" w14:textId="63BBBC3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BD28" w14:textId="34304EB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8591" w14:textId="6D66073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4C485059" w14:textId="4577F606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6D57" w14:textId="6EF8CD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Oxidoreductase activity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85CF" w14:textId="38BD101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NADH dehydrogenase [ubiquinone] iron-sulfur protein 3, mitochondrial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42EB" w14:textId="7B83EC0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A0A3Q0KJ51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20B6" w14:textId="7A120D1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E32D" w14:textId="790C3EE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EEF8" w14:textId="34E5BC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6DB9" w14:textId="6C71AF5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0C94" w14:textId="4E6A843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51D67EA" w14:textId="1F3AD8EA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D3F4438" w14:textId="68B6F34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F28E2AC" w14:textId="53D5985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Succinate dehydrogenase [ubiquinone] flavoprotein subunit,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E8CC184" w14:textId="797472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G4LY63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E8C769" w14:textId="51DD0D1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36D4B3" w14:textId="38900B0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8A8A6E" w14:textId="011D0CA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ED68AB" w14:textId="052AE7F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D51F44" w14:textId="7577718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6556739D" w14:textId="3237477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42871B9" w14:textId="4DA06D3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E9F8779" w14:textId="4A349A7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Choline dehydrogenase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91CE873" w14:textId="6649FA3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A0A5K4F0H9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50E6629" w14:textId="08E7F10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71F953" w14:textId="696FD76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76DB78" w14:textId="12F7995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1CE36CE" w14:textId="3FC1650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1936C1" w14:textId="1466C24F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08FB861D" w14:textId="3CB28BAA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09E3549" w14:textId="1E8AE98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06F16E7" w14:textId="280ACD2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Peroxiredoxin, Prx3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0CE462E" w14:textId="18E6D6A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G4LXH7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671745" w14:textId="363CD13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1F493A0" w14:textId="783C83C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ED027A1" w14:textId="449902C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8D48C5" w14:textId="3D0D364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2D7C04" w14:textId="716EEBD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471AB38F" w14:textId="5427C0A9" w:rsidTr="00BB007F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454C626" w14:textId="522E380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4281D0" w14:textId="6A7ADCA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aldehyde dehydrogenase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97AD285" w14:textId="3D8F0E2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G4VN20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7EAF682" w14:textId="672C75A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BFFA9ED" w14:textId="2FAB4451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A26B4A1" w14:textId="412C28F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9EC3B90" w14:textId="18BBC9C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6B5CA32" w14:textId="5996417B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0900E47" w14:textId="51132BE3" w:rsidTr="00BB007F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675528" w14:textId="52298AF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C210" w14:textId="32CD933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Glutathione transferase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B42E" w14:textId="35B39D7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A0A5K4FAQ2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36C9" w14:textId="611AF53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69FA" w14:textId="623DE45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750F" w14:textId="7B6EDC7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A719" w14:textId="59FB0C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6471" w14:textId="25350D8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D12BC38" w14:textId="554BFA95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A1B7" w14:textId="275A9DB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Protein folding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E74A" w14:textId="3FF9AA9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Calreticulin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B463" w14:textId="6D1E053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A0A3Q0KDW8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FDC6" w14:textId="12769EC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7D87" w14:textId="657505D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93C3" w14:textId="63C7A67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7303" w14:textId="7D49857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0564" w14:textId="003460A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31D7EE43" w14:textId="47DD67E0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2CBA9F4" w14:textId="283BD36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43C7E9" w14:textId="1A3CFD8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Endoplasmin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559206B" w14:textId="0140A82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Q9NHY5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73D7C7D" w14:textId="139C4B4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DDBC86" w14:textId="6E0006D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19636D9" w14:textId="1F42C75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C2F854" w14:textId="5FE56ED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BD6BA8" w14:textId="7D9783F4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54046FCF" w14:textId="198F6F5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3DC5F33" w14:textId="1A2AAD7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83CFFB7" w14:textId="629D6AC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72B07AA" w14:textId="160C84E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G4VQK1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8D1EC16" w14:textId="0AA8ED5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5ACDFA" w14:textId="1847505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E9CBC52" w14:textId="175DB87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F18117" w14:textId="7085943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4F20708" w14:textId="7A5E5D7E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214A1B8C" w14:textId="097F500B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94230FD" w14:textId="724D0A9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B5E3D1E" w14:textId="0F9D5ED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epsilon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95B6E42" w14:textId="172924B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G4VF75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3A1A2F6" w14:textId="2DB2245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F567B2" w14:textId="6F70D9A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397F792" w14:textId="5864C59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801890F" w14:textId="0EEB10C3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DF3E94D" w14:textId="537CC41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46E256FB" w14:textId="3291442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30F84E7" w14:textId="109C94C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56A70D9" w14:textId="42EA987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T-complex protein 1 subunit eta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F783A5C" w14:textId="5A34392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A0A3Q0KPW4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26382EA" w14:textId="676B77F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EA1F3EC" w14:textId="3729A0A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6175EF3" w14:textId="5303E4F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A295A6" w14:textId="0455A60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D53E76E" w14:textId="5108F68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097D3CE" w14:textId="52B1D0C9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42FA3F0" w14:textId="62040B2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2B11656" w14:textId="1E355B5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Peptidyl-prolyl cis-trans isomerase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EB2CDAA" w14:textId="3DCD2A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G4VFQ0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C88C63A" w14:textId="726E9A8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29863F" w14:textId="688B6C9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20FFD60" w14:textId="47D310C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78013A" w14:textId="0737E6F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D3CE23" w14:textId="02A1F5A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6507FA4A" w14:textId="42C5838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BA55D6D" w14:textId="502BC85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1FE0567" w14:textId="39DAE57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kDa heat shock protein,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21FBFD" w14:textId="0045748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G4VML2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7CCDBE6" w14:textId="08C200A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91CC8DE" w14:textId="27CC9C1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52BCF9" w14:textId="6F8E12F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1286B82" w14:textId="387ABFC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B125E7" w14:textId="2ECF3CC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06B47DFA" w14:textId="01BE501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E19CDE2" w14:textId="3AB21CF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EFC519C" w14:textId="40079AE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70 kDa protein homolog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0D3A6E9" w14:textId="7D7EAB1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P08418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2B71F4D" w14:textId="60ACCC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387AC1" w14:textId="6022AC0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CA1747" w14:textId="474920D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EBF57C" w14:textId="2D2F3B4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5353EBC" w14:textId="37CDBC8B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8F693EA" w14:textId="5F00435F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551A4D4" w14:textId="5E0DAAE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82D3E05" w14:textId="3513FC2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AB119F6" w14:textId="2AA8FCD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A0A5K4F1Y0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73DCB88" w14:textId="4EEB940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8B60017" w14:textId="48268CB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2E4A78" w14:textId="09F1BB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EBCECF" w14:textId="19C32C58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69C6A5" w14:textId="6FDD372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2B46A42E" w14:textId="3FD81C3F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695481B" w14:textId="4D637B0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7FC1450" w14:textId="400B1B0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HSP60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CA43F77" w14:textId="5A2A17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Q8MXA4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23A27A" w14:textId="0F7278F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61D11E3" w14:textId="77BA06A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441D10" w14:textId="3596729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1BC25B" w14:textId="67B7F2A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FC0B34" w14:textId="4EE3881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04319D7" w14:textId="51279FCC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0154DD4" w14:textId="7C746E9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C57A50A" w14:textId="17A9E1B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Heat shock protein HSP60, putative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636779" w14:textId="31275A6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A0A3Q0KC41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5854394" w14:textId="4B9FC89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7E6E90" w14:textId="424CDF7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64766F" w14:textId="1A26BC5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205E49" w14:textId="5B152296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CDE7D1" w14:textId="42DF2B1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A2E122E" w14:textId="03D6C34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9430992" w14:textId="19C3CB5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BD31649" w14:textId="532420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C0AA5E5" w14:textId="64D8026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A0A3Q0KHG3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F8AFE96" w14:textId="76EFE12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558367" w14:textId="6B9DB0F1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9EE821" w14:textId="7DF20F2B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3BE812" w14:textId="4A3CF2D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42C936" w14:textId="409C807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EA2F578" w14:textId="0005032E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47C4854" w14:textId="075D51E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EEF7B49" w14:textId="2E44B78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4595EE8" w14:textId="6F047C8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A0A5K4F5D3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39ADDBF" w14:textId="6611F67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39BEB3" w14:textId="528B1D70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D55E2D1" w14:textId="025FC28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EB6DA0" w14:textId="3467CBA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D97D25" w14:textId="2FEFD2D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A655280" w14:textId="4D86DA82" w:rsidTr="006D64EA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CAFCE58" w14:textId="221CD23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F8BBFF6" w14:textId="6B586B9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 (Hsp70)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F5030D6" w14:textId="49D52F5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A0A3Q0KK62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26E4DE0" w14:textId="3FD88C4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CAE2C77" w14:textId="58576F5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0ECC3E0" w14:textId="2D583CF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6232F68" w14:textId="2D28BFE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EDE8A1C" w14:textId="70EC2A48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4145B43" w14:textId="564248B8" w:rsidTr="006D64EA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1ADBEE" w14:textId="46B8FE5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14BA" w14:textId="2EC0249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heat shock protein 70 (Hsp70)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E030" w14:textId="201F7B8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G4V910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6941" w14:textId="4E44DCB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B7F6" w14:textId="5D73B54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0793" w14:textId="78EC5C2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5684" w14:textId="72B20F9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BDB3" w14:textId="0D7E187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</w:p>
        </w:tc>
      </w:tr>
      <w:tr w:rsidR="00A215C2" w:rsidRPr="003C6EB4" w14:paraId="70846BAC" w14:textId="59617722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EE03" w14:textId="0896BF3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Regulation of biological process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A64E" w14:textId="7DFA081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Mediator of RNA polymerase II transcription subunit 8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E788" w14:textId="167B974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G4VHF6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4D82" w14:textId="2994E62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4CDE" w14:textId="504F631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B5EC" w14:textId="5D441E8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C6F9" w14:textId="1099C7F8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06B1" w14:textId="70792F6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2CC589DD" w14:textId="0902BEA7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2323883E" w14:textId="3712A8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52E7596" w14:textId="6E8FE7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Non-specific serine/threonine protein kinase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261C4C7" w14:textId="73D302D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A0A3Q0KBX5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BC6AC21" w14:textId="6812EA5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C663C8" w14:textId="38B44A5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EEA887" w14:textId="25F3A3B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C417B7" w14:textId="0EDC432E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CE84B3" w14:textId="54D69AFE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277D868" w14:textId="6E262DB9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146BE06" w14:textId="61DD68A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1F4C4C0" w14:textId="177A572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60S ribosomal protein L12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62CA1B0" w14:textId="6D71939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G4V9G5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943AFAA" w14:textId="6475C64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B6C541" w14:textId="1545628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BA26CF" w14:textId="21E16D6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6F7EA9" w14:textId="765C31E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5ADA5C" w14:textId="7311BAD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02778A1A" w14:textId="3DFE2C74" w:rsidTr="000C3F74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AB5F794" w14:textId="0603F7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1E7D4E4" w14:textId="5405533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Elongation factor 1-alpha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5DEE66E" w14:textId="3563671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G4VAD2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33AB4E5" w14:textId="7413894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E3A921B" w14:textId="7F72B8B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803D246" w14:textId="0FC067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5A6B7AC" w14:textId="635FB77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7E11F39" w14:textId="002C174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0D6CF431" w14:textId="17501D21" w:rsidTr="000C3F74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F9CA5B" w14:textId="614465F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E6C5" w14:textId="05EEC84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tRNA-intron lyase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D8A6" w14:textId="2A9FDB3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A0A5K4F0S0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4446" w14:textId="58FBE5A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27E5" w14:textId="52A6562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669" w14:textId="031629C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3927" w14:textId="43B685D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734D" w14:textId="666210A1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48775AF2" w14:textId="254CBD4B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BD84" w14:textId="03BBA8C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Signal transduction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46E5" w14:textId="430CA9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Phosphatidylinositol-4,5-bisphosphate 3-kinase catalytic subunit alpha PI3K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A625" w14:textId="6283067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A0A3Q0KRX5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A319" w14:textId="0299F28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BEC4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2005" w14:textId="03627BF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5035" w14:textId="74396D1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ECC6" w14:textId="3721971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419C99A" w14:textId="76100B2F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25E8C8C9" w14:textId="0284709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E6B9CCF" w14:textId="1943787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adenylate kinase 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16BB094" w14:textId="3CD739E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A0A3Q0KGQ7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B61EF84" w14:textId="337A36F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2E54F3" w14:textId="729AD05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7DB861" w14:textId="5D92346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1753BB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F3F563" w14:textId="6FE002A0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593F078B" w14:textId="2993E4BC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C5815B4" w14:textId="2DDFA87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A455E7F" w14:textId="0215E8B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Guanine nucleotide-binding protein G(S)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247329C" w14:textId="1CBA3BD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C4QDC6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06D69E9" w14:textId="2AAC701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84BDF3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77F6DC" w14:textId="384DFF03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84618C3" w14:textId="233CF7E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430A538" w14:textId="2DD765A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0E0FBF23" w14:textId="7B4A5C3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2115428" w14:textId="784EE11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DD67B9D" w14:textId="34D9A44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gtp-binding protein (I) alpha-2 subunit, gnai2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8512441" w14:textId="318BEC7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G4VHF0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BE8B2DF" w14:textId="6CF8FEF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22E602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DEC220" w14:textId="6841B72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ECA38F1" w14:textId="0AB04C7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EF73DEF" w14:textId="4CA3FC6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4212C46C" w14:textId="4DD7CBCC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D2455DE" w14:textId="051EADA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5FEE94F" w14:textId="59F441C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rap1 and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F49565C" w14:textId="215CE5F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G4VE67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B82FF62" w14:textId="60E1D42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B8C2507" w14:textId="5294A8BE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752987" w14:textId="2C1A734A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BC6EB6C" w14:textId="0DC5B7C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425DBC" w14:textId="3D02CC0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204408C9" w14:textId="50547BE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50635E1" w14:textId="04F9191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A4DDFFD" w14:textId="613271B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rho2 GTPase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896D249" w14:textId="21C4DE0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G4V9A8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D0E3182" w14:textId="1DF152D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48E0CCA" w14:textId="4E03FDF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88D5C94" w14:textId="0A32A9E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256046" w14:textId="54ABB23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EB3458" w14:textId="47772ECB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6A3F4C01" w14:textId="1C43ED9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6D11C163" w14:textId="63455CE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5D34DFE9" w14:textId="4F3D6CF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trimeric G-protein alpha o subunit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07ECBAE" w14:textId="78CDAAE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A0A3Q0KCR4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B58AA7A" w14:textId="506EE90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90E31D" w14:textId="7E58504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8658C60" w14:textId="39EDCFD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C72B99" w14:textId="734B09A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E0558F" w14:textId="02A1C65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6EA567E" w14:textId="66665A78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953A246" w14:textId="7708FA6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8851E16" w14:textId="5CFC8BC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Ras family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5E016D8" w14:textId="2F05F1F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A0A5K4F3V1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0D9490A" w14:textId="4411EB4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D3E60B" w14:textId="7E7C164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2CEC90" w14:textId="1F5A781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7C55D6" w14:textId="6CBCE6A3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8F5C097" w14:textId="70EBE446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E6C44DF" w14:textId="2B4F3EDA" w:rsidTr="00BD72C4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5705005B" w14:textId="2E7C2D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5EB8211" w14:textId="79673B7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Rho2 GTPase</w:t>
            </w:r>
          </w:p>
        </w:tc>
        <w:tc>
          <w:tcPr>
            <w:tcW w:w="17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6E9AC4D" w14:textId="589DA1C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Q8I8A1</w:t>
            </w: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D83F5FE" w14:textId="5BD9A4C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A80D9F4" w14:textId="694368F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C3646D2" w14:textId="64D10310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947D6AE" w14:textId="69F418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403BCBB" w14:textId="528DC3B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2D405BE9" w14:textId="7EA9BD14" w:rsidTr="00BD72C4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9B1148" w14:textId="6CF88AA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AAC8" w14:textId="447D96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Trimeric G-protein alpha o subunit</w:t>
            </w: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9A43" w14:textId="44AE7D9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Q8IT62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F3D9" w14:textId="55DA30F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C13F" w14:textId="6174DB5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5991" w14:textId="7DB14E0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D4B0" w14:textId="58A26EC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2294" w14:textId="71CFB20D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70C9783" w14:textId="15F01CD8" w:rsidTr="00A215C2">
        <w:trPr>
          <w:trHeight w:val="340"/>
          <w:jc w:val="center"/>
        </w:trPr>
        <w:tc>
          <w:tcPr>
            <w:tcW w:w="15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D2D0" w14:textId="06ACDF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2EE3" w14:textId="3F1FB16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alpha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6C38" w14:textId="3CCC1CB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G4VLJ0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6B34" w14:textId="071DCCE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5F9D" w14:textId="68B05B2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ECF1" w14:textId="24DE88C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AA67" w14:textId="2FD4D7D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E485" w14:textId="283ABF8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5BF5D1CB" w14:textId="0F95841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91D4438" w14:textId="17F3E82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72CF0B0E" w14:textId="0952204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ATP synthase subunit beta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BE81BE3" w14:textId="3933C26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A0A3Q0KEM2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2829A6C" w14:textId="32B6663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6AFB99" w14:textId="0406369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E42F8AB" w14:textId="5A62D34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4A9B07" w14:textId="1C50DDB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2A2C64" w14:textId="360C980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189A7A8F" w14:textId="5EF0BAE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007E2DF2" w14:textId="031F19B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03B53E30" w14:textId="562DDD0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Clathrin heavy chain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B1F5D6D" w14:textId="726CE35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A0A3Q0KQD5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D500774" w14:textId="059D5E6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3ADA76" w14:textId="37CA3993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DBBB3C" w14:textId="45FDBA6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AAA285" w14:textId="7777777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B29AB39" w14:textId="456A81C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17BC9725" w14:textId="04D879BD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795C730C" w14:textId="5B2AFFC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6AB68EEA" w14:textId="46F8F60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Exportin-2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8959513" w14:textId="53D38B5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A0A3Q0KLC3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D84F397" w14:textId="5F2508B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819ABC" w14:textId="2ACC5E6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19DE96" w14:textId="641B030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7CF47D" w14:textId="7B51557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BC2AA3" w14:textId="3ADD42E5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5811B9E3" w14:textId="76A7B9B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8FF1772" w14:textId="1BA3AE9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2D334250" w14:textId="35572BA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283BEFF" w14:textId="2E0EC24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A0A3Q0KLP2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342FE80" w14:textId="4A7B7BC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2A4161" w14:textId="7E48AD6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1AE7A6" w14:textId="0A4C608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F35BB19" w14:textId="692D1E9C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578839" w14:textId="2299B82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E7C72A9" w14:textId="5C2C0405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3B1528BC" w14:textId="716DCF4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5C88406" w14:textId="767B2CD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87D97D8" w14:textId="6518FAB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G4VGA5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537261E" w14:textId="31B479D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FBE0EEA" w14:textId="21AEAEF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4EDB75" w14:textId="150AFD09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45F70A" w14:textId="6D4411B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2304D0" w14:textId="246BB3F9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3161E12F" w14:textId="5088B296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74781BB" w14:textId="1CB5399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D48AF96" w14:textId="55D738C6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Sodium/potassium-transporting ATPase subunit alpha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884E05E" w14:textId="4043071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Q95WT4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CA02593" w14:textId="72527B5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CE77C8" w14:textId="28D6FD3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D60567" w14:textId="256429F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29A20C7" w14:textId="2A27641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E83C65" w14:textId="09674E1C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3B3FC77E" w14:textId="2B0DAA14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3089088" w14:textId="6F6E762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4A9D7DAF" w14:textId="5B68A357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ADP/ATP translocase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6EB78F8" w14:textId="73F6AFE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A0A3Q0KI71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28C8620" w14:textId="4D01699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027721" w14:textId="4A3BCE6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A11058" w14:textId="62E9110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FCD444" w14:textId="223E63C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67F570" w14:textId="13EB68D3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  <w:tr w:rsidR="00A215C2" w:rsidRPr="003C6EB4" w14:paraId="74D29F96" w14:textId="002BFBB0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18D505B7" w14:textId="7BB8518B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F490842" w14:textId="70F7F39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Multidrug and toxin extrusion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FCEB074" w14:textId="6A780AA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A0A3Q0KMD5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754423B" w14:textId="132B96C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67DC773" w14:textId="0A44420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593D7A" w14:textId="3B90AEB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983BB9" w14:textId="388A8EF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381036" w14:textId="69F14DA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16B595D8" w14:textId="261A011F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F4131A1" w14:textId="691D407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1319DC4F" w14:textId="3CCAAAB4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Phosphate carrier protein, mitochondrial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2258EF9" w14:textId="2C1F02C5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G4V6T6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5EAE336" w14:textId="46109AA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F1B7904" w14:textId="5444E2E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BFE6598" w14:textId="71C2C1B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8C5B92" w14:textId="578F6479" w:rsidR="00A215C2" w:rsidRPr="003C6EB4" w:rsidRDefault="00A215C2" w:rsidP="004213C7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A1EAB3" w14:textId="48208AE2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7A8E97A7" w14:textId="62A1E351" w:rsidTr="00A215C2">
        <w:trPr>
          <w:trHeight w:val="340"/>
          <w:jc w:val="center"/>
        </w:trPr>
        <w:tc>
          <w:tcPr>
            <w:tcW w:w="1585" w:type="dxa"/>
            <w:vMerge/>
            <w:shd w:val="clear" w:color="auto" w:fill="auto"/>
            <w:noWrap/>
            <w:vAlign w:val="center"/>
          </w:tcPr>
          <w:p w14:paraId="4F423784" w14:textId="224043D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  <w:noWrap/>
            <w:vAlign w:val="center"/>
            <w:hideMark/>
          </w:tcPr>
          <w:p w14:paraId="3A5897B3" w14:textId="13A03D2D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Putative tricarboxylate transport protein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3C07236" w14:textId="4928AB11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A0A5K4EQY2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8EA66B2" w14:textId="085CFD3E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Membrane associated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37295DB" w14:textId="319DB04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EBA835" w14:textId="097FA18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A0D531" w14:textId="76B4421C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1F8DC4" w14:textId="2D3A7CE7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</w:t>
            </w:r>
          </w:p>
        </w:tc>
      </w:tr>
      <w:tr w:rsidR="00A215C2" w:rsidRPr="003C6EB4" w14:paraId="52BF5A12" w14:textId="7FA6D59E" w:rsidTr="00A215C2">
        <w:trPr>
          <w:trHeight w:val="340"/>
          <w:jc w:val="center"/>
        </w:trPr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5CE0BF" w14:textId="16778B0A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DBA0" w14:textId="0E45920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539A" w14:textId="45B193B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G4VMW9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29EA" w14:textId="3C166333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Cytosol / Nucleus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D04C" w14:textId="41E86602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C8BA" w14:textId="4CBE4E18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3C6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6E99" w14:textId="3BC6BCDF" w:rsidR="00A215C2" w:rsidRPr="003C6EB4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B40D" w14:textId="15F435AA" w:rsidR="00A215C2" w:rsidRPr="000B3CEF" w:rsidRDefault="00A215C2" w:rsidP="004213C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B3CE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</w:tr>
    </w:tbl>
    <w:p w14:paraId="081EDDFB" w14:textId="7A212296" w:rsidR="00E76B9B" w:rsidRDefault="00E76B9B"/>
    <w:p w14:paraId="6438C196" w14:textId="38A70265" w:rsidR="00E9240B" w:rsidRPr="00E9240B" w:rsidRDefault="00E9240B">
      <w:pPr>
        <w:rPr>
          <w:rFonts w:ascii="Times New Roman" w:hAnsi="Times New Roman" w:cs="Times New Roman"/>
          <w:sz w:val="20"/>
          <w:szCs w:val="20"/>
        </w:rPr>
      </w:pPr>
      <w:r w:rsidRPr="00E9240B">
        <w:rPr>
          <w:rFonts w:ascii="Times New Roman" w:hAnsi="Times New Roman" w:cs="Times New Roman"/>
          <w:sz w:val="20"/>
          <w:szCs w:val="20"/>
        </w:rPr>
        <w:t>“X” represents the protein found in the specific infection time.</w:t>
      </w:r>
    </w:p>
    <w:p w14:paraId="6DA2B5C7" w14:textId="06B2792C" w:rsidR="00C93AB4" w:rsidRPr="00E9240B" w:rsidRDefault="00C93AB4" w:rsidP="00035844">
      <w:pPr>
        <w:pStyle w:val="a9"/>
        <w:numPr>
          <w:ilvl w:val="0"/>
          <w:numId w:val="1"/>
        </w:numPr>
        <w:ind w:leftChars="0"/>
        <w:jc w:val="both"/>
        <w:rPr>
          <w:rFonts w:ascii="Times New Roman" w:hAnsi="Times New Roman" w:cs="Times New Roman"/>
          <w:sz w:val="20"/>
          <w:szCs w:val="20"/>
        </w:rPr>
      </w:pPr>
      <w:r w:rsidRPr="00E9240B">
        <w:rPr>
          <w:rFonts w:ascii="Times New Roman" w:hAnsi="Times New Roman" w:cs="Times New Roman"/>
          <w:sz w:val="20"/>
          <w:szCs w:val="20"/>
        </w:rPr>
        <w:t>The prediction by secretome P (SecP) on the likelihood of the protein being secreted via the classical (SP) or</w:t>
      </w:r>
      <w:r w:rsidR="00CF4490" w:rsidRPr="00E9240B">
        <w:rPr>
          <w:rFonts w:ascii="Times New Roman" w:hAnsi="Times New Roman" w:cs="Times New Roman"/>
          <w:sz w:val="20"/>
          <w:szCs w:val="20"/>
        </w:rPr>
        <w:t xml:space="preserve"> non-classical </w:t>
      </w:r>
      <w:r w:rsidRPr="00E9240B">
        <w:rPr>
          <w:rFonts w:ascii="Times New Roman" w:hAnsi="Times New Roman" w:cs="Times New Roman"/>
          <w:sz w:val="20"/>
          <w:szCs w:val="20"/>
        </w:rPr>
        <w:t>(NC), or not predicted to be secreted (−)</w:t>
      </w:r>
      <w:r w:rsidR="00CF4490" w:rsidRPr="00E9240B">
        <w:rPr>
          <w:rFonts w:ascii="Times New Roman" w:hAnsi="Times New Roman" w:cs="Times New Roman"/>
          <w:sz w:val="20"/>
          <w:szCs w:val="20"/>
        </w:rPr>
        <w:t>.</w:t>
      </w:r>
    </w:p>
    <w:sectPr w:rsidR="00C93AB4" w:rsidRPr="00E9240B" w:rsidSect="00A215C2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6654D" w14:textId="77777777" w:rsidR="00BB514F" w:rsidRDefault="00BB514F" w:rsidP="009B72DE">
      <w:r>
        <w:separator/>
      </w:r>
    </w:p>
  </w:endnote>
  <w:endnote w:type="continuationSeparator" w:id="0">
    <w:p w14:paraId="1A384383" w14:textId="77777777" w:rsidR="00BB514F" w:rsidRDefault="00BB514F" w:rsidP="009B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3CE82" w14:textId="77777777" w:rsidR="00BB514F" w:rsidRDefault="00BB514F" w:rsidP="009B72DE">
      <w:r>
        <w:separator/>
      </w:r>
    </w:p>
  </w:footnote>
  <w:footnote w:type="continuationSeparator" w:id="0">
    <w:p w14:paraId="1D9113CD" w14:textId="77777777" w:rsidR="00BB514F" w:rsidRDefault="00BB514F" w:rsidP="009B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90923"/>
    <w:multiLevelType w:val="hybridMultilevel"/>
    <w:tmpl w:val="2CAABEF8"/>
    <w:lvl w:ilvl="0" w:tplc="9872DFB2">
      <w:numFmt w:val="bullet"/>
      <w:lvlText w:val="*"/>
      <w:lvlJc w:val="left"/>
      <w:pPr>
        <w:ind w:left="360" w:hanging="360"/>
      </w:pPr>
      <w:rPr>
        <w:rFonts w:ascii="Times New Roman" w:eastAsia="新細明體" w:hAnsi="Times New Roman" w:cs="Times New Roman" w:hint="default"/>
        <w:b/>
        <w:color w:val="000000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9B"/>
    <w:rsid w:val="00035844"/>
    <w:rsid w:val="000B3CEF"/>
    <w:rsid w:val="00144682"/>
    <w:rsid w:val="00190D34"/>
    <w:rsid w:val="001C47EA"/>
    <w:rsid w:val="0023754F"/>
    <w:rsid w:val="00244365"/>
    <w:rsid w:val="002C4FC7"/>
    <w:rsid w:val="002E7B4B"/>
    <w:rsid w:val="00390649"/>
    <w:rsid w:val="003C6EB4"/>
    <w:rsid w:val="003F35CC"/>
    <w:rsid w:val="004213C7"/>
    <w:rsid w:val="00454289"/>
    <w:rsid w:val="0062697A"/>
    <w:rsid w:val="006555EA"/>
    <w:rsid w:val="006A6FD2"/>
    <w:rsid w:val="008444C0"/>
    <w:rsid w:val="00854D9F"/>
    <w:rsid w:val="0086206C"/>
    <w:rsid w:val="008B2872"/>
    <w:rsid w:val="00975DA7"/>
    <w:rsid w:val="009B25FF"/>
    <w:rsid w:val="009B72DE"/>
    <w:rsid w:val="00A215C2"/>
    <w:rsid w:val="00B6755D"/>
    <w:rsid w:val="00BA0237"/>
    <w:rsid w:val="00BB514F"/>
    <w:rsid w:val="00BE4E6B"/>
    <w:rsid w:val="00C93711"/>
    <w:rsid w:val="00C93AB4"/>
    <w:rsid w:val="00CF4490"/>
    <w:rsid w:val="00E021D3"/>
    <w:rsid w:val="00E165D8"/>
    <w:rsid w:val="00E76B9B"/>
    <w:rsid w:val="00E9240B"/>
    <w:rsid w:val="00ED285B"/>
    <w:rsid w:val="00F100CB"/>
    <w:rsid w:val="00F7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840C2"/>
  <w15:chartTrackingRefBased/>
  <w15:docId w15:val="{C1D0E505-DEB5-4254-AF4E-10A66551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6B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76B9B"/>
    <w:rPr>
      <w:color w:val="954F72"/>
      <w:u w:val="single"/>
    </w:rPr>
  </w:style>
  <w:style w:type="paragraph" w:customStyle="1" w:styleId="msonormal0">
    <w:name w:val="msonormal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3">
    <w:name w:val="xl63"/>
    <w:basedOn w:val="a"/>
    <w:rsid w:val="00E76B9B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4">
    <w:name w:val="xl64"/>
    <w:basedOn w:val="a"/>
    <w:rsid w:val="00E76B9B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b/>
      <w:bCs/>
      <w:kern w:val="0"/>
      <w:szCs w:val="24"/>
    </w:rPr>
  </w:style>
  <w:style w:type="paragraph" w:customStyle="1" w:styleId="xl65">
    <w:name w:val="xl65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/>
      <w:bCs/>
      <w:kern w:val="0"/>
      <w:szCs w:val="24"/>
    </w:rPr>
  </w:style>
  <w:style w:type="paragraph" w:customStyle="1" w:styleId="xl66">
    <w:name w:val="xl66"/>
    <w:basedOn w:val="a"/>
    <w:rsid w:val="00E76B9B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b/>
      <w:bCs/>
      <w:color w:val="000000"/>
      <w:kern w:val="0"/>
      <w:szCs w:val="24"/>
    </w:rPr>
  </w:style>
  <w:style w:type="paragraph" w:customStyle="1" w:styleId="xl67">
    <w:name w:val="xl67"/>
    <w:basedOn w:val="a"/>
    <w:rsid w:val="00E76B9B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68">
    <w:name w:val="xl68"/>
    <w:basedOn w:val="a"/>
    <w:rsid w:val="00E76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/>
      <w:bCs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9B7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B72D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B7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B72DE"/>
    <w:rPr>
      <w:sz w:val="20"/>
      <w:szCs w:val="20"/>
    </w:rPr>
  </w:style>
  <w:style w:type="paragraph" w:styleId="a9">
    <w:name w:val="List Paragraph"/>
    <w:basedOn w:val="a"/>
    <w:uiPriority w:val="34"/>
    <w:qFormat/>
    <w:rsid w:val="00035844"/>
    <w:pPr>
      <w:ind w:leftChars="200" w:left="480"/>
    </w:pPr>
  </w:style>
  <w:style w:type="paragraph" w:styleId="aa">
    <w:name w:val="Revision"/>
    <w:hidden/>
    <w:uiPriority w:val="99"/>
    <w:semiHidden/>
    <w:rsid w:val="00854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5</Pages>
  <Words>1198</Words>
  <Characters>6829</Characters>
  <Application>Microsoft Office Word</Application>
  <DocSecurity>0</DocSecurity>
  <Lines>56</Lines>
  <Paragraphs>16</Paragraphs>
  <ScaleCrop>false</ScaleCrop>
  <Company>LG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陳盈州</dc:creator>
  <cp:keywords/>
  <dc:description/>
  <cp:lastModifiedBy>Bon-Office</cp:lastModifiedBy>
  <cp:revision>22</cp:revision>
  <dcterms:created xsi:type="dcterms:W3CDTF">2022-12-26T08:51:00Z</dcterms:created>
  <dcterms:modified xsi:type="dcterms:W3CDTF">2023-03-06T08:16:00Z</dcterms:modified>
</cp:coreProperties>
</file>