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media/image1.jpeg" ContentType="image/jpeg"/>
  <Override PartName="/word/media/image8.png" ContentType="image/png"/>
  <Override PartName="/word/media/image2.png" ContentType="image/png"/>
  <Override PartName="/word/media/image3.png" ContentType="image/png"/>
  <Override PartName="/word/media/image6.jpeg" ContentType="image/jpeg"/>
  <Override PartName="/word/media/image4.png" ContentType="image/png"/>
  <Override PartName="/word/media/image5.jpeg" ContentType="image/jpeg"/>
  <Override PartName="/word/media/image7.png" ContentType="image/png"/>
  <Override PartName="/word/media/image9.png" ContentType="image/png"/>
  <Override PartName="/word/media/image10.png" ContentType="image/png"/>
  <Override PartName="/word/settings.xml" ContentType="application/vnd.openxmlformats-officedocument.wordprocessingml.settings+xml"/>
  <Override PartName="/word/styles.xml" ContentType="application/vnd.openxmlformats-officedocument.wordprocessingml.styles+xml"/>
  <Override PartName="/word/fontTable.xml" ContentType="application/vnd.openxmlformats-officedocument.wordprocessingml.fontTable+xml"/>
  <Override PartName="/word/_rels/document.xml.rels" ContentType="application/vnd.openxmlformats-package.relationships+xml"/>
  <Override PartName="/word/theme/theme1.xml" ContentType="application/vnd.openxmlformats-officedocument.theme+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Override PartName="/_rels/.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1"/>
        <w:spacing w:lineRule="auto" w:line="240" w:before="480" w:after="120"/>
        <w:rPr>
          <w:b/>
          <w:sz w:val="24"/>
          <w:szCs w:val="24"/>
        </w:rPr>
      </w:pPr>
      <w:r>
        <w:rPr>
          <w:b/>
          <w:sz w:val="24"/>
          <w:szCs w:val="24"/>
        </w:rPr>
        <w:t>Supplemental material for:</w:t>
      </w:r>
    </w:p>
    <w:p>
      <w:pPr>
        <w:pStyle w:val="Normal1"/>
        <w:spacing w:lineRule="auto" w:line="240" w:before="0" w:after="360"/>
        <w:ind w:right="-324" w:hanging="0"/>
        <w:rPr>
          <w:rFonts w:ascii="Palatino Linotype" w:hAnsi="Palatino Linotype" w:eastAsia="Palatino Linotype" w:cs="Palatino Linotype"/>
          <w:b/>
          <w:sz w:val="20"/>
          <w:szCs w:val="20"/>
        </w:rPr>
      </w:pPr>
      <w:r>
        <w:rPr>
          <w:rFonts w:eastAsia="Palatino Linotype" w:cs="Palatino Linotype" w:ascii="Palatino Linotype" w:hAnsi="Palatino Linotype"/>
          <w:b/>
          <w:sz w:val="20"/>
          <w:szCs w:val="20"/>
        </w:rPr>
        <w:t xml:space="preserve">Johanna Forero-Rodríguez </w:t>
      </w:r>
      <w:r>
        <w:rPr>
          <w:rFonts w:eastAsia="Palatino Linotype" w:cs="Palatino Linotype" w:ascii="Palatino Linotype" w:hAnsi="Palatino Linotype"/>
          <w:b/>
          <w:sz w:val="20"/>
          <w:szCs w:val="20"/>
          <w:vertAlign w:val="superscript"/>
        </w:rPr>
        <w:t>1,2</w:t>
      </w:r>
      <w:r>
        <w:rPr>
          <w:rFonts w:eastAsia="Palatino Linotype" w:cs="Palatino Linotype" w:ascii="Palatino Linotype" w:hAnsi="Palatino Linotype"/>
          <w:b/>
          <w:sz w:val="20"/>
          <w:szCs w:val="20"/>
        </w:rPr>
        <w:t xml:space="preserve">, Johannes Zimmermann </w:t>
      </w:r>
      <w:r>
        <w:rPr>
          <w:rFonts w:eastAsia="Palatino Linotype" w:cs="Palatino Linotype" w:ascii="Palatino Linotype" w:hAnsi="Palatino Linotype"/>
          <w:b/>
          <w:sz w:val="20"/>
          <w:szCs w:val="20"/>
          <w:vertAlign w:val="superscript"/>
        </w:rPr>
        <w:t>2</w:t>
      </w:r>
      <w:r>
        <w:rPr>
          <w:rFonts w:eastAsia="Palatino Linotype" w:cs="Palatino Linotype" w:ascii="Palatino Linotype" w:hAnsi="Palatino Linotype"/>
          <w:b/>
          <w:sz w:val="20"/>
          <w:szCs w:val="20"/>
        </w:rPr>
        <w:t xml:space="preserve">, Jan Taubenheim </w:t>
      </w:r>
      <w:r>
        <w:rPr>
          <w:rFonts w:eastAsia="Palatino Linotype" w:cs="Palatino Linotype" w:ascii="Palatino Linotype" w:hAnsi="Palatino Linotype"/>
          <w:b/>
          <w:sz w:val="20"/>
          <w:szCs w:val="20"/>
          <w:vertAlign w:val="superscript"/>
        </w:rPr>
        <w:t>2</w:t>
      </w:r>
      <w:r>
        <w:rPr>
          <w:rFonts w:eastAsia="Palatino Linotype" w:cs="Palatino Linotype" w:ascii="Palatino Linotype" w:hAnsi="Palatino Linotype"/>
          <w:b/>
          <w:sz w:val="20"/>
          <w:szCs w:val="20"/>
        </w:rPr>
        <w:t xml:space="preserve">, Natalia Arias-Rodríguez </w:t>
      </w:r>
      <w:r>
        <w:rPr>
          <w:rFonts w:eastAsia="Palatino Linotype" w:cs="Palatino Linotype" w:ascii="Palatino Linotype" w:hAnsi="Palatino Linotype"/>
          <w:b/>
          <w:sz w:val="20"/>
          <w:szCs w:val="20"/>
          <w:vertAlign w:val="superscript"/>
        </w:rPr>
        <w:t>1</w:t>
      </w:r>
      <w:r>
        <w:rPr>
          <w:rFonts w:eastAsia="Palatino Linotype" w:cs="Palatino Linotype" w:ascii="Palatino Linotype" w:hAnsi="Palatino Linotype"/>
          <w:b/>
          <w:sz w:val="20"/>
          <w:szCs w:val="20"/>
        </w:rPr>
        <w:t xml:space="preserve">, Juan David Caicedo-Narvaez </w:t>
      </w:r>
      <w:r>
        <w:rPr>
          <w:rFonts w:eastAsia="Palatino Linotype" w:cs="Palatino Linotype" w:ascii="Palatino Linotype" w:hAnsi="Palatino Linotype"/>
          <w:b/>
          <w:sz w:val="20"/>
          <w:szCs w:val="20"/>
          <w:vertAlign w:val="superscript"/>
        </w:rPr>
        <w:t>1,6</w:t>
      </w:r>
      <w:r>
        <w:rPr>
          <w:rFonts w:eastAsia="Palatino Linotype" w:cs="Palatino Linotype" w:ascii="Palatino Linotype" w:hAnsi="Palatino Linotype"/>
          <w:b/>
          <w:sz w:val="20"/>
          <w:szCs w:val="20"/>
        </w:rPr>
        <w:t xml:space="preserve">, Lena Best </w:t>
      </w:r>
      <w:r>
        <w:rPr>
          <w:rFonts w:eastAsia="Palatino Linotype" w:cs="Palatino Linotype" w:ascii="Palatino Linotype" w:hAnsi="Palatino Linotype"/>
          <w:b/>
          <w:sz w:val="20"/>
          <w:szCs w:val="20"/>
          <w:vertAlign w:val="superscript"/>
        </w:rPr>
        <w:t>2</w:t>
      </w:r>
      <w:r>
        <w:rPr>
          <w:rFonts w:eastAsia="Palatino Linotype" w:cs="Palatino Linotype" w:ascii="Palatino Linotype" w:hAnsi="Palatino Linotype"/>
          <w:b/>
          <w:sz w:val="20"/>
          <w:szCs w:val="20"/>
        </w:rPr>
        <w:t xml:space="preserve">, Cindy V. Mendieta </w:t>
      </w:r>
      <w:r>
        <w:rPr>
          <w:rFonts w:eastAsia="Palatino Linotype" w:cs="Palatino Linotype" w:ascii="Palatino Linotype" w:hAnsi="Palatino Linotype"/>
          <w:b/>
          <w:sz w:val="20"/>
          <w:szCs w:val="20"/>
          <w:vertAlign w:val="superscript"/>
        </w:rPr>
        <w:t>3,4</w:t>
      </w:r>
      <w:r>
        <w:rPr>
          <w:rFonts w:eastAsia="Palatino Linotype" w:cs="Palatino Linotype" w:ascii="Palatino Linotype" w:hAnsi="Palatino Linotype"/>
          <w:b/>
          <w:sz w:val="20"/>
          <w:szCs w:val="20"/>
        </w:rPr>
        <w:t xml:space="preserve">, Julieth López-Castiblanco </w:t>
      </w:r>
      <w:r>
        <w:rPr>
          <w:rFonts w:eastAsia="Palatino Linotype" w:cs="Palatino Linotype" w:ascii="Palatino Linotype" w:hAnsi="Palatino Linotype"/>
          <w:b/>
          <w:sz w:val="20"/>
          <w:szCs w:val="20"/>
          <w:vertAlign w:val="superscript"/>
        </w:rPr>
        <w:t>1</w:t>
      </w:r>
      <w:r>
        <w:rPr>
          <w:rFonts w:eastAsia="Palatino Linotype" w:cs="Palatino Linotype" w:ascii="Palatino Linotype" w:hAnsi="Palatino Linotype"/>
          <w:b/>
          <w:sz w:val="20"/>
          <w:szCs w:val="20"/>
        </w:rPr>
        <w:t xml:space="preserve">, Laura Alejandra Gómez-Muñoz </w:t>
      </w:r>
      <w:r>
        <w:rPr>
          <w:rFonts w:eastAsia="Palatino Linotype" w:cs="Palatino Linotype" w:ascii="Palatino Linotype" w:hAnsi="Palatino Linotype"/>
          <w:b/>
          <w:sz w:val="20"/>
          <w:szCs w:val="20"/>
          <w:vertAlign w:val="superscript"/>
        </w:rPr>
        <w:t>6,7</w:t>
      </w:r>
      <w:r>
        <w:rPr>
          <w:rFonts w:eastAsia="Palatino Linotype" w:cs="Palatino Linotype" w:ascii="Palatino Linotype" w:hAnsi="Palatino Linotype"/>
          <w:b/>
          <w:sz w:val="20"/>
          <w:szCs w:val="20"/>
        </w:rPr>
        <w:t xml:space="preserve"> , Janneth Gonzalez-Santos </w:t>
      </w:r>
      <w:r>
        <w:rPr>
          <w:rFonts w:eastAsia="Palatino Linotype" w:cs="Palatino Linotype" w:ascii="Palatino Linotype" w:hAnsi="Palatino Linotype"/>
          <w:b/>
          <w:sz w:val="20"/>
          <w:szCs w:val="20"/>
          <w:vertAlign w:val="superscript"/>
        </w:rPr>
        <w:t>5</w:t>
      </w:r>
      <w:r>
        <w:rPr>
          <w:rFonts w:eastAsia="Palatino Linotype" w:cs="Palatino Linotype" w:ascii="Palatino Linotype" w:hAnsi="Palatino Linotype"/>
          <w:b/>
          <w:sz w:val="20"/>
          <w:szCs w:val="20"/>
        </w:rPr>
        <w:t xml:space="preserve">, Humberto Arboleda </w:t>
      </w:r>
      <w:r>
        <w:rPr>
          <w:rFonts w:eastAsia="Palatino Linotype" w:cs="Palatino Linotype" w:ascii="Palatino Linotype" w:hAnsi="Palatino Linotype"/>
          <w:b/>
          <w:sz w:val="20"/>
          <w:szCs w:val="20"/>
          <w:vertAlign w:val="superscript"/>
        </w:rPr>
        <w:t>7</w:t>
      </w:r>
      <w:r>
        <w:rPr>
          <w:rFonts w:eastAsia="Palatino Linotype" w:cs="Palatino Linotype" w:ascii="Palatino Linotype" w:hAnsi="Palatino Linotype"/>
          <w:b/>
          <w:sz w:val="20"/>
          <w:szCs w:val="20"/>
        </w:rPr>
        <w:t xml:space="preserve">, William Fernandez </w:t>
      </w:r>
      <w:r>
        <w:rPr>
          <w:rFonts w:eastAsia="Palatino Linotype" w:cs="Palatino Linotype" w:ascii="Palatino Linotype" w:hAnsi="Palatino Linotype"/>
          <w:b/>
          <w:sz w:val="20"/>
          <w:szCs w:val="20"/>
          <w:vertAlign w:val="superscript"/>
        </w:rPr>
        <w:t>6,7</w:t>
      </w:r>
      <w:r>
        <w:rPr>
          <w:rFonts w:eastAsia="Palatino Linotype" w:cs="Palatino Linotype" w:ascii="Palatino Linotype" w:hAnsi="Palatino Linotype"/>
          <w:b/>
          <w:sz w:val="20"/>
          <w:szCs w:val="20"/>
        </w:rPr>
        <w:t xml:space="preserve">, Christoph Kaleta </w:t>
      </w:r>
      <w:r>
        <w:rPr>
          <w:rFonts w:eastAsia="Palatino Linotype" w:cs="Palatino Linotype" w:ascii="Palatino Linotype" w:hAnsi="Palatino Linotype"/>
          <w:b/>
          <w:sz w:val="20"/>
          <w:szCs w:val="20"/>
          <w:vertAlign w:val="superscript"/>
        </w:rPr>
        <w:t>2,#</w:t>
      </w:r>
      <w:r>
        <w:rPr>
          <w:rFonts w:eastAsia="Palatino Linotype" w:cs="Palatino Linotype" w:ascii="Palatino Linotype" w:hAnsi="Palatino Linotype"/>
          <w:b/>
          <w:sz w:val="20"/>
          <w:szCs w:val="20"/>
        </w:rPr>
        <w:t xml:space="preserve">, Andrés Pinzón </w:t>
      </w:r>
      <w:r>
        <w:rPr>
          <w:rFonts w:eastAsia="Palatino Linotype" w:cs="Palatino Linotype" w:ascii="Palatino Linotype" w:hAnsi="Palatino Linotype"/>
          <w:b/>
          <w:sz w:val="20"/>
          <w:szCs w:val="20"/>
          <w:vertAlign w:val="superscript"/>
        </w:rPr>
        <w:t>1,#</w:t>
      </w:r>
      <w:r>
        <w:rPr>
          <w:rFonts w:eastAsia="Palatino Linotype" w:cs="Palatino Linotype" w:ascii="Palatino Linotype" w:hAnsi="Palatino Linotype"/>
          <w:b/>
          <w:sz w:val="20"/>
          <w:szCs w:val="20"/>
        </w:rPr>
        <w:t>.</w:t>
      </w:r>
    </w:p>
    <w:tbl>
      <w:tblPr>
        <w:tblStyle w:val="Table1"/>
        <w:tblpPr w:vertAnchor="page" w:horzAnchor="margin" w:leftFromText="198" w:rightFromText="198" w:tblpX="496" w:tblpY="1277"/>
        <w:tblW w:w="2410" w:type="dxa"/>
        <w:jc w:val="left"/>
        <w:tblInd w:w="0" w:type="dxa"/>
        <w:tblLayout w:type="fixed"/>
        <w:tblCellMar>
          <w:top w:w="0" w:type="dxa"/>
          <w:left w:w="108" w:type="dxa"/>
          <w:bottom w:w="0" w:type="dxa"/>
          <w:right w:w="108" w:type="dxa"/>
        </w:tblCellMar>
        <w:tblLook w:val="0400"/>
      </w:tblPr>
      <w:tblGrid>
        <w:gridCol w:w="2410"/>
      </w:tblGrid>
      <w:tr>
        <w:trPr/>
        <w:tc>
          <w:tcPr>
            <w:tcW w:w="2410" w:type="dxa"/>
            <w:tcBorders/>
            <w:shd w:fill="auto" w:val="clear"/>
          </w:tcPr>
          <w:p>
            <w:pPr>
              <w:pStyle w:val="Normal1"/>
              <w:widowControl w:val="false"/>
              <w:spacing w:lineRule="auto" w:line="240" w:before="0" w:after="120"/>
              <w:ind w:right="113" w:hanging="0"/>
              <w:rPr>
                <w:rFonts w:ascii="Palatino Linotype" w:hAnsi="Palatino Linotype" w:eastAsia="Palatino Linotype" w:cs="Palatino Linotype"/>
                <w:sz w:val="14"/>
                <w:szCs w:val="14"/>
              </w:rPr>
            </w:pPr>
            <w:r>
              <w:rPr>
                <w:rFonts w:eastAsia="Palatino Linotype" w:cs="Palatino Linotype" w:ascii="Palatino Linotype" w:hAnsi="Palatino Linotype"/>
                <w:sz w:val="14"/>
                <w:szCs w:val="14"/>
              </w:rPr>
            </w:r>
          </w:p>
        </w:tc>
      </w:tr>
    </w:tbl>
    <w:p>
      <w:pPr>
        <w:pStyle w:val="Normal1"/>
        <w:spacing w:lineRule="auto" w:line="240"/>
        <w:ind w:left="1275" w:hanging="195"/>
        <w:rPr>
          <w:rFonts w:ascii="Palatino Linotype" w:hAnsi="Palatino Linotype" w:eastAsia="Palatino Linotype" w:cs="Palatino Linotype"/>
          <w:sz w:val="16"/>
          <w:szCs w:val="16"/>
        </w:rPr>
      </w:pPr>
      <w:r/>
      <w:r>
        <w:rPr>
          <w:rFonts w:eastAsia="Palatino Linotype" w:cs="Palatino Linotype" w:ascii="Palatino Linotype" w:hAnsi="Palatino Linotype"/>
          <w:sz w:val="16"/>
          <w:szCs w:val="16"/>
          <w:vertAlign w:val="superscript"/>
        </w:rPr>
        <w:t>1</w:t>
      </w:r>
      <w:r>
        <w:rPr>
          <w:rFonts w:eastAsia="Palatino Linotype" w:cs="Palatino Linotype" w:ascii="Palatino Linotype" w:hAnsi="Palatino Linotype"/>
          <w:sz w:val="16"/>
          <w:szCs w:val="16"/>
        </w:rPr>
        <w:tab/>
        <w:t>Bioinformatics and Systems biology Research Group, Genetic Institute, Universidad Nacional de Colombia, Bogotá, Colombia.</w:t>
      </w:r>
    </w:p>
    <w:p>
      <w:pPr>
        <w:pStyle w:val="Normal1"/>
        <w:spacing w:lineRule="auto" w:line="240"/>
        <w:ind w:left="1275" w:hanging="195"/>
        <w:rPr>
          <w:rFonts w:ascii="Palatino Linotype" w:hAnsi="Palatino Linotype" w:eastAsia="Palatino Linotype" w:cs="Palatino Linotype"/>
          <w:sz w:val="16"/>
          <w:szCs w:val="16"/>
        </w:rPr>
      </w:pPr>
      <w:r>
        <w:rPr>
          <w:rFonts w:eastAsia="Palatino Linotype" w:cs="Palatino Linotype" w:ascii="Palatino Linotype" w:hAnsi="Palatino Linotype"/>
          <w:sz w:val="16"/>
          <w:szCs w:val="16"/>
          <w:vertAlign w:val="superscript"/>
        </w:rPr>
        <w:t>2</w:t>
      </w:r>
      <w:r>
        <w:rPr>
          <w:rFonts w:eastAsia="Palatino Linotype" w:cs="Palatino Linotype" w:ascii="Palatino Linotype" w:hAnsi="Palatino Linotype"/>
          <w:sz w:val="16"/>
          <w:szCs w:val="16"/>
        </w:rPr>
        <w:tab/>
        <w:t>Research Group Medical Systems Biology, Institute of Experimental Medicine, Christian-Albrechts-Universität zu Kiel, Germany.</w:t>
      </w:r>
    </w:p>
    <w:p>
      <w:pPr>
        <w:pStyle w:val="Normal1"/>
        <w:spacing w:lineRule="auto" w:line="240"/>
        <w:ind w:left="1275" w:hanging="195"/>
        <w:rPr>
          <w:rFonts w:ascii="Palatino Linotype" w:hAnsi="Palatino Linotype" w:eastAsia="Palatino Linotype" w:cs="Palatino Linotype"/>
          <w:sz w:val="16"/>
          <w:szCs w:val="16"/>
        </w:rPr>
      </w:pPr>
      <w:r>
        <w:rPr>
          <w:rFonts w:eastAsia="Palatino Linotype" w:cs="Palatino Linotype" w:ascii="Palatino Linotype" w:hAnsi="Palatino Linotype"/>
          <w:sz w:val="16"/>
          <w:szCs w:val="16"/>
          <w:vertAlign w:val="superscript"/>
        </w:rPr>
        <w:t>3</w:t>
      </w:r>
      <w:r>
        <w:rPr>
          <w:rFonts w:eastAsia="Palatino Linotype" w:cs="Palatino Linotype" w:ascii="Palatino Linotype" w:hAnsi="Palatino Linotype"/>
          <w:sz w:val="16"/>
          <w:szCs w:val="16"/>
        </w:rPr>
        <w:tab/>
        <w:t>PhD Program in Clinical Epidemiology, Department of Clinical Epidemiology and Biostatistics, Faculty of Medicine, Pontificia Universidad Javeriana, Bogotá, Colombia.</w:t>
      </w:r>
    </w:p>
    <w:p>
      <w:pPr>
        <w:pStyle w:val="Normal1"/>
        <w:spacing w:lineRule="auto" w:line="240"/>
        <w:ind w:left="1275" w:hanging="195"/>
        <w:rPr>
          <w:rFonts w:ascii="Palatino Linotype" w:hAnsi="Palatino Linotype" w:eastAsia="Palatino Linotype" w:cs="Palatino Linotype"/>
          <w:sz w:val="16"/>
          <w:szCs w:val="16"/>
        </w:rPr>
      </w:pPr>
      <w:r>
        <w:rPr>
          <w:rFonts w:eastAsia="Palatino Linotype" w:cs="Palatino Linotype" w:ascii="Palatino Linotype" w:hAnsi="Palatino Linotype"/>
          <w:sz w:val="16"/>
          <w:szCs w:val="16"/>
          <w:vertAlign w:val="superscript"/>
        </w:rPr>
        <w:t xml:space="preserve">4      </w:t>
      </w:r>
      <w:r>
        <w:rPr>
          <w:rFonts w:eastAsia="Palatino Linotype" w:cs="Palatino Linotype" w:ascii="Palatino Linotype" w:hAnsi="Palatino Linotype"/>
          <w:sz w:val="16"/>
          <w:szCs w:val="16"/>
        </w:rPr>
        <w:t>Department of Nutrition and Biochemistry, Pontificia Universidad Javeriana, Bogotá, Colombia.</w:t>
      </w:r>
    </w:p>
    <w:p>
      <w:pPr>
        <w:pStyle w:val="Normal1"/>
        <w:spacing w:lineRule="auto" w:line="240"/>
        <w:ind w:left="1275" w:hanging="195"/>
        <w:rPr>
          <w:rFonts w:ascii="Palatino Linotype" w:hAnsi="Palatino Linotype" w:eastAsia="Palatino Linotype" w:cs="Palatino Linotype"/>
          <w:sz w:val="16"/>
          <w:szCs w:val="16"/>
        </w:rPr>
      </w:pPr>
      <w:r>
        <w:rPr>
          <w:rFonts w:eastAsia="Palatino Linotype" w:cs="Palatino Linotype" w:ascii="Palatino Linotype" w:hAnsi="Palatino Linotype"/>
          <w:sz w:val="16"/>
          <w:szCs w:val="16"/>
          <w:vertAlign w:val="superscript"/>
        </w:rPr>
        <w:t>5</w:t>
      </w:r>
      <w:r>
        <w:rPr>
          <w:rFonts w:eastAsia="Palatino Linotype" w:cs="Palatino Linotype" w:ascii="Palatino Linotype" w:hAnsi="Palatino Linotype"/>
          <w:sz w:val="16"/>
          <w:szCs w:val="16"/>
        </w:rPr>
        <w:tab/>
        <w:t>Structural Biochemistry and Bioinformatics Laboratory, Pontificia Universidad Javeriana, Bogotá, Colombia.</w:t>
      </w:r>
    </w:p>
    <w:p>
      <w:pPr>
        <w:pStyle w:val="Normal1"/>
        <w:spacing w:lineRule="auto" w:line="240"/>
        <w:ind w:left="1275" w:hanging="195"/>
        <w:rPr>
          <w:rFonts w:ascii="Palatino Linotype" w:hAnsi="Palatino Linotype" w:eastAsia="Palatino Linotype" w:cs="Palatino Linotype"/>
          <w:sz w:val="16"/>
          <w:szCs w:val="16"/>
        </w:rPr>
      </w:pPr>
      <w:r>
        <w:rPr>
          <w:rFonts w:eastAsia="Palatino Linotype" w:cs="Palatino Linotype" w:ascii="Palatino Linotype" w:hAnsi="Palatino Linotype"/>
          <w:sz w:val="16"/>
          <w:szCs w:val="16"/>
          <w:vertAlign w:val="superscript"/>
        </w:rPr>
        <w:t>6</w:t>
      </w:r>
      <w:r>
        <w:rPr>
          <w:rFonts w:eastAsia="Palatino Linotype" w:cs="Palatino Linotype" w:ascii="Palatino Linotype" w:hAnsi="Palatino Linotype"/>
          <w:sz w:val="16"/>
          <w:szCs w:val="16"/>
        </w:rPr>
        <w:tab/>
        <w:t>Neurosciences Research Group, Genetic Institute, Universidad Nacional de Colombia, Bogotá, Colombia.</w:t>
      </w:r>
    </w:p>
    <w:p>
      <w:pPr>
        <w:pStyle w:val="Normal1"/>
        <w:spacing w:lineRule="auto" w:line="240"/>
        <w:ind w:left="1275" w:hanging="195"/>
        <w:rPr>
          <w:rFonts w:ascii="Palatino Linotype" w:hAnsi="Palatino Linotype" w:eastAsia="Palatino Linotype" w:cs="Palatino Linotype"/>
          <w:sz w:val="16"/>
          <w:szCs w:val="16"/>
        </w:rPr>
      </w:pPr>
      <w:r>
        <w:rPr>
          <w:rFonts w:eastAsia="Palatino Linotype" w:cs="Palatino Linotype" w:ascii="Palatino Linotype" w:hAnsi="Palatino Linotype"/>
          <w:sz w:val="16"/>
          <w:szCs w:val="16"/>
          <w:vertAlign w:val="superscript"/>
        </w:rPr>
        <w:t>7</w:t>
      </w:r>
      <w:r>
        <w:rPr>
          <w:rFonts w:eastAsia="Palatino Linotype" w:cs="Palatino Linotype" w:ascii="Palatino Linotype" w:hAnsi="Palatino Linotype"/>
          <w:sz w:val="16"/>
          <w:szCs w:val="16"/>
        </w:rPr>
        <w:tab/>
        <w:t>Cell Death Research Groups, Medical School and Genetic Institute, Universidad Nacional de Colombia, Bogotá, Colombia.</w:t>
      </w:r>
    </w:p>
    <w:p>
      <w:pPr>
        <w:pStyle w:val="Normal1"/>
        <w:spacing w:lineRule="auto" w:line="240"/>
        <w:ind w:left="1275" w:hanging="195"/>
        <w:rPr>
          <w:rFonts w:ascii="Palatino Linotype" w:hAnsi="Palatino Linotype" w:eastAsia="Palatino Linotype" w:cs="Palatino Linotype"/>
          <w:sz w:val="16"/>
          <w:szCs w:val="16"/>
        </w:rPr>
      </w:pPr>
      <w:r>
        <w:rPr>
          <w:rFonts w:eastAsia="Palatino Linotype" w:cs="Palatino Linotype" w:ascii="Palatino Linotype" w:hAnsi="Palatino Linotype"/>
          <w:sz w:val="16"/>
          <w:szCs w:val="16"/>
          <w:vertAlign w:val="superscript"/>
        </w:rPr>
        <w:t>#</w:t>
      </w:r>
      <w:r>
        <w:rPr>
          <w:rFonts w:eastAsia="Palatino Linotype" w:cs="Palatino Linotype" w:ascii="Palatino Linotype" w:hAnsi="Palatino Linotype"/>
          <w:sz w:val="16"/>
          <w:szCs w:val="16"/>
        </w:rPr>
        <w:tab/>
        <w:t>These authors jointly supervised this work</w:t>
      </w:r>
    </w:p>
    <w:p>
      <w:pPr>
        <w:pStyle w:val="Normal1"/>
        <w:spacing w:lineRule="auto" w:line="240"/>
        <w:ind w:left="1275" w:hanging="195"/>
        <w:rPr>
          <w:rFonts w:ascii="Palatino Linotype" w:hAnsi="Palatino Linotype" w:eastAsia="Palatino Linotype" w:cs="Palatino Linotype"/>
          <w:sz w:val="16"/>
          <w:szCs w:val="16"/>
        </w:rPr>
      </w:pPr>
      <w:r>
        <w:rPr>
          <w:rFonts w:eastAsia="Palatino Linotype" w:cs="Palatino Linotype" w:ascii="Palatino Linotype" w:hAnsi="Palatino Linotype"/>
          <w:b/>
          <w:sz w:val="16"/>
          <w:szCs w:val="16"/>
        </w:rPr>
        <w:t>*</w:t>
      </w:r>
      <w:r>
        <w:rPr>
          <w:rFonts w:eastAsia="Palatino Linotype" w:cs="Palatino Linotype" w:ascii="Palatino Linotype" w:hAnsi="Palatino Linotype"/>
          <w:sz w:val="16"/>
          <w:szCs w:val="16"/>
        </w:rPr>
        <w:tab/>
        <w:t xml:space="preserve">Correspondence: Andrés Pinzón </w:t>
      </w:r>
      <w:r>
        <w:rPr>
          <w:rFonts w:eastAsia="Palatino Linotype" w:cs="Palatino Linotype" w:ascii="Palatino Linotype" w:hAnsi="Palatino Linotype"/>
          <w:sz w:val="16"/>
          <w:szCs w:val="16"/>
          <w:vertAlign w:val="superscript"/>
        </w:rPr>
        <w:t>1, #</w:t>
      </w:r>
      <w:r>
        <w:rPr>
          <w:rFonts w:eastAsia="Palatino Linotype" w:cs="Palatino Linotype" w:ascii="Palatino Linotype" w:hAnsi="Palatino Linotype"/>
          <w:sz w:val="16"/>
          <w:szCs w:val="16"/>
        </w:rPr>
        <w:t xml:space="preserve">, Research Group Bioinformatics and Systems Biology, Instituto de Genética, Universidad Nacional de Colombia, Bogotá, Colombia. Email: ampinzonv@unal.edu.co and Christoph Kaleta </w:t>
      </w:r>
      <w:r>
        <w:rPr>
          <w:rFonts w:eastAsia="Palatino Linotype" w:cs="Palatino Linotype" w:ascii="Palatino Linotype" w:hAnsi="Palatino Linotype"/>
          <w:sz w:val="16"/>
          <w:szCs w:val="16"/>
          <w:vertAlign w:val="superscript"/>
        </w:rPr>
        <w:t>2, #</w:t>
      </w:r>
      <w:r>
        <w:rPr>
          <w:rFonts w:eastAsia="Palatino Linotype" w:cs="Palatino Linotype" w:ascii="Palatino Linotype" w:hAnsi="Palatino Linotype"/>
          <w:sz w:val="16"/>
          <w:szCs w:val="16"/>
        </w:rPr>
        <w:t xml:space="preserve"> Research Group Medical Systems Biology, Institute of Experimental Medicine, Christian-Albrechts-Universität zu Kiel, Germany. Email: c.kaleta@iem.uni-kiel.de.</w:t>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sz w:val="24"/>
          <w:szCs w:val="24"/>
        </w:rPr>
      </w:pPr>
      <w:r>
        <w:rPr>
          <w:sz w:val="24"/>
          <w:szCs w:val="24"/>
        </w:rPr>
      </w:r>
    </w:p>
    <w:p>
      <w:pPr>
        <w:pStyle w:val="Normal1"/>
        <w:widowControl w:val="false"/>
        <w:jc w:val="both"/>
        <w:rPr>
          <w:sz w:val="24"/>
          <w:szCs w:val="24"/>
        </w:rPr>
      </w:pPr>
      <w:r>
        <w:rPr>
          <w:sz w:val="24"/>
          <w:szCs w:val="24"/>
        </w:rPr>
      </w:r>
    </w:p>
    <w:p>
      <w:pPr>
        <w:pStyle w:val="Heading4"/>
        <w:keepLines w:val="false"/>
        <w:spacing w:lineRule="auto" w:line="240" w:before="120" w:after="120"/>
        <w:jc w:val="both"/>
        <w:rPr>
          <w:b/>
          <w:color w:val="000000"/>
        </w:rPr>
      </w:pPr>
      <w:bookmarkStart w:id="0" w:name="_heading=h.1y810tw"/>
      <w:bookmarkEnd w:id="0"/>
      <w:r>
        <w:rPr>
          <w:b/>
          <w:color w:val="000000"/>
        </w:rPr>
        <w:t>Correlation analysis between dietary variables and significative differential abundant zOTUs</w:t>
      </w:r>
    </w:p>
    <w:p>
      <w:pPr>
        <w:pStyle w:val="Normal1"/>
        <w:spacing w:lineRule="auto" w:line="240" w:before="0" w:after="200"/>
        <w:jc w:val="both"/>
        <w:rPr>
          <w:rFonts w:ascii="Palatino Linotype" w:hAnsi="Palatino Linotype" w:eastAsia="Palatino Linotype" w:cs="Palatino Linotype"/>
          <w:sz w:val="20"/>
          <w:szCs w:val="20"/>
        </w:rPr>
      </w:pPr>
      <w:r>
        <w:rPr>
          <w:rFonts w:eastAsia="Palatino Linotype" w:cs="Palatino Linotype" w:ascii="Palatino Linotype" w:hAnsi="Palatino Linotype"/>
          <w:sz w:val="20"/>
          <w:szCs w:val="20"/>
        </w:rPr>
        <w:t xml:space="preserve">To identify if there are dietary contributors to the presence of the significant differential zOTUS in the context of PD Additionally, we assessed correlations between the 65 dietary variables and the six differentially abundant zOTUS. 37 nutrients had non-significant correlations after correction regarding the bacterial families, the remaining nutrients did not show statistical significance. The </w:t>
      </w:r>
      <w:r>
        <w:rPr>
          <w:rFonts w:eastAsia="Palatino Linotype" w:cs="Palatino Linotype" w:ascii="Palatino Linotype" w:hAnsi="Palatino Linotype"/>
          <w:i/>
          <w:sz w:val="20"/>
          <w:szCs w:val="20"/>
        </w:rPr>
        <w:t>Family: Lachnospiraceae Genus: Clostridium_XlVa</w:t>
      </w:r>
      <w:r>
        <w:rPr>
          <w:rFonts w:eastAsia="Palatino Linotype" w:cs="Palatino Linotype" w:ascii="Palatino Linotype" w:hAnsi="Palatino Linotype"/>
          <w:sz w:val="20"/>
          <w:szCs w:val="20"/>
        </w:rPr>
        <w:t xml:space="preserve">, correlates with trans fatty acids and fiber rather than protein. </w:t>
      </w:r>
      <w:r>
        <w:rPr>
          <w:rFonts w:eastAsia="Palatino Linotype" w:cs="Palatino Linotype" w:ascii="Palatino Linotype" w:hAnsi="Palatino Linotype"/>
          <w:i/>
          <w:sz w:val="20"/>
          <w:szCs w:val="20"/>
        </w:rPr>
        <w:t>Genus: Intestinibacter</w:t>
      </w:r>
      <w:r>
        <w:rPr>
          <w:rFonts w:eastAsia="Palatino Linotype" w:cs="Palatino Linotype" w:ascii="Palatino Linotype" w:hAnsi="Palatino Linotype"/>
          <w:sz w:val="20"/>
          <w:szCs w:val="20"/>
        </w:rPr>
        <w:t xml:space="preserve">, correlates with vitamin K, vitamin D, and sodium and has a negative correlation with ascorbic acid. Family: </w:t>
      </w:r>
      <w:r>
        <w:rPr>
          <w:rFonts w:eastAsia="Palatino Linotype" w:cs="Palatino Linotype" w:ascii="Palatino Linotype" w:hAnsi="Palatino Linotype"/>
          <w:i/>
          <w:sz w:val="20"/>
          <w:szCs w:val="20"/>
        </w:rPr>
        <w:t>Lactobacillaceae</w:t>
      </w:r>
      <w:r>
        <w:rPr>
          <w:rFonts w:eastAsia="Palatino Linotype" w:cs="Palatino Linotype" w:ascii="Palatino Linotype" w:hAnsi="Palatino Linotype"/>
          <w:sz w:val="20"/>
          <w:szCs w:val="20"/>
        </w:rPr>
        <w:t xml:space="preserve">, Genus: </w:t>
      </w:r>
      <w:r>
        <w:rPr>
          <w:rFonts w:eastAsia="Palatino Linotype" w:cs="Palatino Linotype" w:ascii="Palatino Linotype" w:hAnsi="Palatino Linotype"/>
          <w:i/>
          <w:sz w:val="20"/>
          <w:szCs w:val="20"/>
        </w:rPr>
        <w:t>Lactobacillus</w:t>
      </w:r>
      <w:r>
        <w:rPr>
          <w:rFonts w:eastAsia="Palatino Linotype" w:cs="Palatino Linotype" w:ascii="Palatino Linotype" w:hAnsi="Palatino Linotype"/>
          <w:sz w:val="20"/>
          <w:szCs w:val="20"/>
        </w:rPr>
        <w:t xml:space="preserve"> is positively correlated with cholesterol and carbohydrate intakes. </w:t>
      </w:r>
      <w:r>
        <w:rPr>
          <w:rFonts w:eastAsia="Palatino Linotype" w:cs="Palatino Linotype" w:ascii="Palatino Linotype" w:hAnsi="Palatino Linotype"/>
          <w:i/>
          <w:sz w:val="20"/>
          <w:szCs w:val="20"/>
        </w:rPr>
        <w:t xml:space="preserve">Genus: Streptococcus (zOTU 31) </w:t>
      </w:r>
      <w:r>
        <w:rPr>
          <w:rFonts w:eastAsia="Palatino Linotype" w:cs="Palatino Linotype" w:ascii="Palatino Linotype" w:hAnsi="Palatino Linotype"/>
          <w:sz w:val="20"/>
          <w:szCs w:val="20"/>
        </w:rPr>
        <w:t>correlates with diets rich in caffeine, vitamin A, and vitamin E. The</w:t>
      </w:r>
      <w:r>
        <w:rPr>
          <w:rFonts w:eastAsia="Palatino Linotype" w:cs="Palatino Linotype" w:ascii="Palatino Linotype" w:hAnsi="Palatino Linotype"/>
          <w:i/>
          <w:sz w:val="20"/>
          <w:szCs w:val="20"/>
        </w:rPr>
        <w:t xml:space="preserve"> Genus: Streptococcus </w:t>
      </w:r>
      <w:r>
        <w:rPr>
          <w:rFonts w:eastAsia="Palatino Linotype" w:cs="Palatino Linotype" w:ascii="Palatino Linotype" w:hAnsi="Palatino Linotype"/>
          <w:sz w:val="20"/>
          <w:szCs w:val="20"/>
        </w:rPr>
        <w:t xml:space="preserve">, correlates with cholesterol and carbohydrates. Finally, the </w:t>
      </w:r>
      <w:r>
        <w:rPr>
          <w:rFonts w:eastAsia="Palatino Linotype" w:cs="Palatino Linotype" w:ascii="Palatino Linotype" w:hAnsi="Palatino Linotype"/>
          <w:i/>
          <w:sz w:val="20"/>
          <w:szCs w:val="20"/>
        </w:rPr>
        <w:t>Genus: Akkermansia ,</w:t>
      </w:r>
      <w:r>
        <w:rPr>
          <w:rFonts w:eastAsia="Palatino Linotype" w:cs="Palatino Linotype" w:ascii="Palatino Linotype" w:hAnsi="Palatino Linotype"/>
          <w:sz w:val="20"/>
          <w:szCs w:val="20"/>
        </w:rPr>
        <w:t xml:space="preserve"> correlates with rich in amino acids, carbohydrates, fiber, potassium, magnesium, stearic acid, total fat, copper, and vitamins (vitamin A and thiamine) (Supplementary Table 4, Supplementary Figure 1). These findings show that although there are no significant values, could indicate possible dietary compounds that may influence the bacterial gut composition.</w:t>
      </w:r>
    </w:p>
    <w:p>
      <w:pPr>
        <w:pStyle w:val="Normal1"/>
        <w:spacing w:lineRule="auto" w:line="276" w:before="0" w:after="200"/>
        <w:rPr>
          <w:rFonts w:ascii="Times New Roman" w:hAnsi="Times New Roman" w:eastAsia="Times New Roman" w:cs="Times New Roman"/>
          <w:b/>
          <w:sz w:val="24"/>
          <w:szCs w:val="24"/>
        </w:rPr>
      </w:pPr>
      <w:r>
        <w:rPr/>
        <w:drawing>
          <wp:inline distT="0" distB="0" distL="0" distR="0">
            <wp:extent cx="6373495" cy="1821180"/>
            <wp:effectExtent l="0" t="0" r="0" b="0"/>
            <wp:docPr id="1" name="image1.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g" descr=""/>
                    <pic:cNvPicPr>
                      <a:picLocks noChangeAspect="1" noChangeArrowheads="1"/>
                    </pic:cNvPicPr>
                  </pic:nvPicPr>
                  <pic:blipFill>
                    <a:blip r:embed="rId2"/>
                    <a:srcRect l="0" t="11255" r="6603" b="41775"/>
                    <a:stretch>
                      <a:fillRect/>
                    </a:stretch>
                  </pic:blipFill>
                  <pic:spPr bwMode="auto">
                    <a:xfrm>
                      <a:off x="0" y="0"/>
                      <a:ext cx="6373495" cy="1821180"/>
                    </a:xfrm>
                    <a:prstGeom prst="rect">
                      <a:avLst/>
                    </a:prstGeom>
                  </pic:spPr>
                </pic:pic>
              </a:graphicData>
            </a:graphic>
          </wp:inline>
        </w:drawing>
      </w:r>
    </w:p>
    <w:p>
      <w:pPr>
        <w:pStyle w:val="Normal1"/>
        <w:spacing w:lineRule="auto" w:line="276" w:before="0" w:after="200"/>
        <w:rPr>
          <w:rFonts w:ascii="Palatino Linotype" w:hAnsi="Palatino Linotype" w:eastAsia="Palatino Linotype" w:cs="Palatino Linotype"/>
          <w:sz w:val="20"/>
          <w:szCs w:val="20"/>
        </w:rPr>
      </w:pPr>
      <w:r>
        <w:rPr>
          <w:rFonts w:eastAsia="Times New Roman" w:cs="Times New Roman" w:ascii="Times New Roman" w:hAnsi="Times New Roman"/>
          <w:b/>
          <w:sz w:val="24"/>
          <w:szCs w:val="24"/>
        </w:rPr>
        <w:t>Supplementary Figure 1.</w:t>
      </w:r>
      <w:r>
        <w:rPr>
          <w:rFonts w:eastAsia="Times New Roman" w:cs="Times New Roman" w:ascii="Times New Roman" w:hAnsi="Times New Roman"/>
          <w:sz w:val="24"/>
          <w:szCs w:val="24"/>
        </w:rPr>
        <w:t xml:space="preserve"> </w:t>
      </w:r>
      <w:r>
        <w:rPr>
          <w:rFonts w:eastAsia="Palatino Linotype" w:cs="Palatino Linotype" w:ascii="Palatino Linotype" w:hAnsi="Palatino Linotype"/>
          <w:sz w:val="20"/>
          <w:szCs w:val="20"/>
        </w:rPr>
        <w:t>Heat map representing the correlation analysis performed between nutritional information and the main zOTUS.</w:t>
      </w:r>
    </w:p>
    <w:p>
      <w:pPr>
        <w:pStyle w:val="Normal1"/>
        <w:spacing w:lineRule="auto" w:line="276" w:before="0" w:after="200"/>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276" w:before="0" w:after="200"/>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spacing w:lineRule="auto" w:line="276" w:before="0" w:after="20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276" w:before="0" w:after="20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276" w:before="0" w:after="20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276" w:before="0" w:after="20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276" w:before="0" w:after="20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276" w:before="0" w:after="200"/>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Heading5"/>
        <w:spacing w:lineRule="auto" w:line="360" w:before="0" w:after="0"/>
        <w:jc w:val="both"/>
        <w:rPr>
          <w:rFonts w:ascii="Times New Roman" w:hAnsi="Times New Roman" w:eastAsia="Times New Roman" w:cs="Times New Roman"/>
          <w:b/>
          <w:color w:val="000000"/>
          <w:sz w:val="24"/>
          <w:szCs w:val="24"/>
        </w:rPr>
      </w:pPr>
      <w:bookmarkStart w:id="1" w:name="_heading=h.30j0zll"/>
      <w:bookmarkEnd w:id="1"/>
      <w:r>
        <w:rPr/>
        <w:drawing>
          <wp:inline distT="0" distB="0" distL="0" distR="0">
            <wp:extent cx="5055235" cy="3159125"/>
            <wp:effectExtent l="0" t="0" r="0" b="0"/>
            <wp:docPr id="2" name="image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7.png" descr=""/>
                    <pic:cNvPicPr>
                      <a:picLocks noChangeAspect="1" noChangeArrowheads="1"/>
                    </pic:cNvPicPr>
                  </pic:nvPicPr>
                  <pic:blipFill>
                    <a:blip r:embed="rId3"/>
                    <a:stretch>
                      <a:fillRect/>
                    </a:stretch>
                  </pic:blipFill>
                  <pic:spPr bwMode="auto">
                    <a:xfrm>
                      <a:off x="0" y="0"/>
                      <a:ext cx="5055235" cy="3159125"/>
                    </a:xfrm>
                    <a:prstGeom prst="rect">
                      <a:avLst/>
                    </a:prstGeom>
                  </pic:spPr>
                </pic:pic>
              </a:graphicData>
            </a:graphic>
          </wp:inline>
        </w:drawing>
      </w:r>
    </w:p>
    <w:p>
      <w:pPr>
        <w:pStyle w:val="Heading5"/>
        <w:spacing w:lineRule="auto" w:line="360" w:before="0" w:after="0"/>
        <w:jc w:val="both"/>
        <w:rPr>
          <w:rFonts w:ascii="Palatino Linotype" w:hAnsi="Palatino Linotype" w:eastAsia="Palatino Linotype" w:cs="Palatino Linotype"/>
          <w:color w:val="000000"/>
          <w:sz w:val="20"/>
          <w:szCs w:val="20"/>
        </w:rPr>
      </w:pPr>
      <w:bookmarkStart w:id="2" w:name="_heading=h.1fob9te"/>
      <w:bookmarkEnd w:id="2"/>
      <w:r>
        <w:rPr>
          <w:rFonts w:eastAsia="Times New Roman" w:cs="Times New Roman" w:ascii="Times New Roman" w:hAnsi="Times New Roman"/>
          <w:b/>
          <w:color w:val="000000"/>
          <w:sz w:val="24"/>
          <w:szCs w:val="24"/>
        </w:rPr>
        <w:t xml:space="preserve">Supplementary Figure 2. </w:t>
      </w:r>
      <w:r>
        <w:rPr>
          <w:rFonts w:eastAsia="Palatino Linotype" w:cs="Palatino Linotype" w:ascii="Palatino Linotype" w:hAnsi="Palatino Linotype"/>
          <w:color w:val="000000"/>
          <w:sz w:val="20"/>
          <w:szCs w:val="20"/>
        </w:rPr>
        <w:t xml:space="preserve">Representation of the top 20 dietary metabolites </w:t>
      </w:r>
      <w:r>
        <w:rPr>
          <w:rFonts w:eastAsia="Palatino Linotype" w:cs="Palatino Linotype" w:ascii="Palatino Linotype" w:hAnsi="Palatino Linotype"/>
          <w:color w:val="000000"/>
          <w:sz w:val="20"/>
          <w:szCs w:val="20"/>
        </w:rPr>
        <w:t>acting as contributors</w:t>
      </w:r>
      <w:r>
        <w:rPr>
          <w:rFonts w:eastAsia="Palatino Linotype" w:cs="Palatino Linotype" w:ascii="Palatino Linotype" w:hAnsi="Palatino Linotype"/>
          <w:color w:val="000000"/>
          <w:sz w:val="20"/>
          <w:szCs w:val="20"/>
        </w:rPr>
        <w:t xml:space="preserve"> to the variation of PD patients and controls in Dimension 1. The main taxpayers are above the threshold indicated as a red line. </w:t>
      </w:r>
    </w:p>
    <w:p>
      <w:pPr>
        <w:pStyle w:val="Normal1"/>
        <w:rPr/>
      </w:pPr>
      <w:r>
        <w:rPr/>
      </w:r>
    </w:p>
    <w:p>
      <w:pPr>
        <w:pStyle w:val="Heading5"/>
        <w:spacing w:lineRule="auto" w:line="360" w:before="0" w:after="0"/>
        <w:jc w:val="both"/>
        <w:rPr>
          <w:rFonts w:ascii="Times New Roman" w:hAnsi="Times New Roman" w:eastAsia="Times New Roman" w:cs="Times New Roman"/>
          <w:color w:val="000000"/>
          <w:sz w:val="24"/>
          <w:szCs w:val="24"/>
        </w:rPr>
      </w:pPr>
      <w:r>
        <w:rPr>
          <w:rFonts w:eastAsia="Times New Roman" w:cs="Times New Roman" w:ascii="Times New Roman" w:hAnsi="Times New Roman"/>
          <w:color w:val="000000"/>
          <w:sz w:val="24"/>
          <w:szCs w:val="24"/>
        </w:rPr>
      </w:r>
      <w:bookmarkStart w:id="3" w:name="_heading=h.3znysh7"/>
      <w:bookmarkStart w:id="4" w:name="_heading=h.3znysh7"/>
      <w:bookmarkEnd w:id="4"/>
    </w:p>
    <w:p>
      <w:pPr>
        <w:pStyle w:val="Heading5"/>
        <w:spacing w:lineRule="auto" w:line="360" w:before="0" w:after="0"/>
        <w:jc w:val="both"/>
        <w:rPr>
          <w:rFonts w:ascii="Times New Roman" w:hAnsi="Times New Roman" w:eastAsia="Times New Roman" w:cs="Times New Roman"/>
          <w:b/>
          <w:color w:val="000000"/>
          <w:sz w:val="24"/>
          <w:szCs w:val="24"/>
        </w:rPr>
      </w:pPr>
      <w:bookmarkStart w:id="5" w:name="_heading=h.2et92p0"/>
      <w:bookmarkEnd w:id="5"/>
      <w:r>
        <w:rPr/>
        <w:drawing>
          <wp:inline distT="0" distB="0" distL="0" distR="0">
            <wp:extent cx="4986655" cy="3116580"/>
            <wp:effectExtent l="0" t="0" r="0" b="0"/>
            <wp:docPr id="3" name="image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png" descr=""/>
                    <pic:cNvPicPr>
                      <a:picLocks noChangeAspect="1" noChangeArrowheads="1"/>
                    </pic:cNvPicPr>
                  </pic:nvPicPr>
                  <pic:blipFill>
                    <a:blip r:embed="rId4"/>
                    <a:stretch>
                      <a:fillRect/>
                    </a:stretch>
                  </pic:blipFill>
                  <pic:spPr bwMode="auto">
                    <a:xfrm>
                      <a:off x="0" y="0"/>
                      <a:ext cx="4986655" cy="3116580"/>
                    </a:xfrm>
                    <a:prstGeom prst="rect">
                      <a:avLst/>
                    </a:prstGeom>
                  </pic:spPr>
                </pic:pic>
              </a:graphicData>
            </a:graphic>
          </wp:inline>
        </w:drawing>
      </w:r>
      <w:r>
        <w:rPr>
          <w:rFonts w:eastAsia="Times New Roman" w:cs="Times New Roman" w:ascii="Times New Roman" w:hAnsi="Times New Roman"/>
          <w:b/>
          <w:color w:val="000000"/>
          <w:sz w:val="24"/>
          <w:szCs w:val="24"/>
        </w:rPr>
        <w:t xml:space="preserve">  </w:t>
      </w:r>
    </w:p>
    <w:p>
      <w:pPr>
        <w:pStyle w:val="Heading5"/>
        <w:spacing w:lineRule="auto" w:line="360" w:before="0" w:after="0"/>
        <w:jc w:val="both"/>
        <w:rPr>
          <w:rFonts w:ascii="Palatino Linotype" w:hAnsi="Palatino Linotype" w:eastAsia="Palatino Linotype" w:cs="Palatino Linotype"/>
          <w:color w:val="000000"/>
          <w:sz w:val="20"/>
          <w:szCs w:val="20"/>
        </w:rPr>
      </w:pPr>
      <w:bookmarkStart w:id="6" w:name="_heading=h.tyjcwt"/>
      <w:bookmarkEnd w:id="6"/>
      <w:r>
        <w:rPr>
          <w:rFonts w:eastAsia="Times New Roman" w:cs="Times New Roman" w:ascii="Times New Roman" w:hAnsi="Times New Roman"/>
          <w:b/>
          <w:color w:val="000000"/>
          <w:sz w:val="24"/>
          <w:szCs w:val="24"/>
        </w:rPr>
        <w:t>Supplementary Figure 3</w:t>
      </w:r>
      <w:r>
        <w:rPr>
          <w:rFonts w:eastAsia="Times New Roman" w:cs="Times New Roman" w:ascii="Times New Roman" w:hAnsi="Times New Roman"/>
          <w:color w:val="000000"/>
          <w:sz w:val="24"/>
          <w:szCs w:val="24"/>
        </w:rPr>
        <w:t xml:space="preserve">. </w:t>
      </w:r>
      <w:r>
        <w:rPr>
          <w:rFonts w:eastAsia="Palatino Linotype" w:cs="Palatino Linotype" w:ascii="Palatino Linotype" w:hAnsi="Palatino Linotype"/>
          <w:color w:val="000000"/>
          <w:sz w:val="20"/>
          <w:szCs w:val="20"/>
        </w:rPr>
        <w:t xml:space="preserve">Representation of the top 20 dietary metabolites, </w:t>
      </w:r>
      <w:r>
        <w:rPr>
          <w:rFonts w:eastAsia="Palatino Linotype" w:cs="Palatino Linotype" w:ascii="Palatino Linotype" w:hAnsi="Palatino Linotype"/>
          <w:color w:val="000000"/>
          <w:sz w:val="20"/>
          <w:szCs w:val="20"/>
        </w:rPr>
        <w:t xml:space="preserve">acting as contributors </w:t>
      </w:r>
      <w:r>
        <w:rPr>
          <w:rFonts w:eastAsia="Palatino Linotype" w:cs="Palatino Linotype" w:ascii="Palatino Linotype" w:hAnsi="Palatino Linotype"/>
          <w:color w:val="000000"/>
          <w:sz w:val="20"/>
          <w:szCs w:val="20"/>
        </w:rPr>
        <w:t>to the variation in PD patients and controls in Dimension 2.</w:t>
      </w:r>
    </w:p>
    <w:p>
      <w:pPr>
        <w:pStyle w:val="Heading5"/>
        <w:spacing w:lineRule="auto" w:line="360" w:before="0" w:after="0"/>
        <w:jc w:val="both"/>
        <w:rPr>
          <w:rFonts w:ascii="Times New Roman" w:hAnsi="Times New Roman" w:eastAsia="Times New Roman" w:cs="Times New Roman"/>
          <w:color w:val="000000"/>
          <w:sz w:val="24"/>
          <w:szCs w:val="24"/>
        </w:rPr>
      </w:pPr>
      <w:bookmarkStart w:id="7" w:name="_heading=h.3dy6vkm"/>
      <w:bookmarkEnd w:id="7"/>
      <w:r>
        <w:rPr>
          <w:rFonts w:eastAsia="Palatino Linotype" w:cs="Palatino Linotype" w:ascii="Palatino Linotype" w:hAnsi="Palatino Linotype"/>
          <w:color w:val="000000"/>
          <w:sz w:val="20"/>
          <w:szCs w:val="20"/>
        </w:rPr>
        <w:t>The main taxpayers are above the threshold indicated as a red line.</w:t>
      </w:r>
    </w:p>
    <w:p>
      <w:pPr>
        <w:pStyle w:val="Normal1"/>
        <w:spacing w:lineRule="auto" w:line="360"/>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spacing w:lineRule="auto" w:line="276" w:before="0" w:after="200"/>
        <w:jc w:val="both"/>
        <w:rPr>
          <w:rFonts w:ascii="Palatino Linotype" w:hAnsi="Palatino Linotype" w:eastAsia="Palatino Linotype" w:cs="Palatino Linotype"/>
          <w:sz w:val="20"/>
          <w:szCs w:val="20"/>
        </w:rPr>
      </w:pPr>
      <w:r>
        <w:rPr/>
        <w:drawing>
          <wp:inline distT="0" distB="0" distL="0" distR="0">
            <wp:extent cx="5572125" cy="4686300"/>
            <wp:effectExtent l="0" t="0" r="0" b="0"/>
            <wp:docPr id="4" name="image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9.png" descr=""/>
                    <pic:cNvPicPr>
                      <a:picLocks noChangeAspect="1" noChangeArrowheads="1"/>
                    </pic:cNvPicPr>
                  </pic:nvPicPr>
                  <pic:blipFill>
                    <a:blip r:embed="rId5"/>
                    <a:stretch>
                      <a:fillRect/>
                    </a:stretch>
                  </pic:blipFill>
                  <pic:spPr bwMode="auto">
                    <a:xfrm>
                      <a:off x="0" y="0"/>
                      <a:ext cx="5572125" cy="4686300"/>
                    </a:xfrm>
                    <a:prstGeom prst="rect">
                      <a:avLst/>
                    </a:prstGeom>
                  </pic:spPr>
                </pic:pic>
              </a:graphicData>
            </a:graphic>
          </wp:inline>
        </w:drawing>
      </w:r>
      <w:r>
        <w:rPr>
          <w:rFonts w:eastAsia="Times New Roman" w:cs="Times New Roman" w:ascii="Times New Roman" w:hAnsi="Times New Roman"/>
          <w:b/>
          <w:sz w:val="24"/>
          <w:szCs w:val="24"/>
        </w:rPr>
        <w:t>Supplementary Figure 4.</w:t>
      </w:r>
      <w:r>
        <w:rPr>
          <w:rFonts w:eastAsia="Times New Roman" w:cs="Times New Roman" w:ascii="Times New Roman" w:hAnsi="Times New Roman"/>
          <w:sz w:val="24"/>
          <w:szCs w:val="24"/>
        </w:rPr>
        <w:t xml:space="preserve"> </w:t>
      </w:r>
      <w:r>
        <w:rPr>
          <w:rFonts w:eastAsia="Palatino Linotype" w:cs="Palatino Linotype" w:ascii="Palatino Linotype" w:hAnsi="Palatino Linotype"/>
          <w:sz w:val="20"/>
          <w:szCs w:val="20"/>
        </w:rPr>
        <w:t>Rarefaction curve based on the number of zOTUs found in each of the samples at different sequencing depths. After the depth of rarefaction.</w:t>
      </w:r>
    </w:p>
    <w:p>
      <w:pPr>
        <w:pStyle w:val="Heading5"/>
        <w:spacing w:lineRule="auto" w:line="360" w:before="0" w:after="0"/>
        <w:jc w:val="both"/>
        <w:rPr>
          <w:color w:val="000000"/>
          <w:sz w:val="24"/>
          <w:szCs w:val="24"/>
        </w:rPr>
      </w:pPr>
      <w:r>
        <w:rPr>
          <w:color w:val="000000"/>
          <w:sz w:val="24"/>
          <w:szCs w:val="24"/>
        </w:rPr>
      </w:r>
      <w:bookmarkStart w:id="8" w:name="_heading=h.1t3h5sf"/>
      <w:bookmarkStart w:id="9" w:name="_heading=h.1t3h5sf"/>
      <w:bookmarkEnd w:id="9"/>
    </w:p>
    <w:p>
      <w:pPr>
        <w:pStyle w:val="Heading5"/>
        <w:spacing w:lineRule="auto" w:line="360" w:before="0" w:after="0"/>
        <w:jc w:val="center"/>
        <w:rPr>
          <w:b/>
          <w:color w:val="000000"/>
        </w:rPr>
      </w:pPr>
      <w:bookmarkStart w:id="10" w:name="_heading=h.4d34og8"/>
      <w:bookmarkEnd w:id="10"/>
      <w:r>
        <w:rPr/>
        <w:drawing>
          <wp:inline distT="0" distB="0" distL="0" distR="0">
            <wp:extent cx="5731510" cy="3581400"/>
            <wp:effectExtent l="0" t="0" r="0" b="0"/>
            <wp:docPr id="5" name="image5.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5.jpg" descr=""/>
                    <pic:cNvPicPr>
                      <a:picLocks noChangeAspect="1" noChangeArrowheads="1"/>
                    </pic:cNvPicPr>
                  </pic:nvPicPr>
                  <pic:blipFill>
                    <a:blip r:embed="rId6"/>
                    <a:stretch>
                      <a:fillRect/>
                    </a:stretch>
                  </pic:blipFill>
                  <pic:spPr bwMode="auto">
                    <a:xfrm>
                      <a:off x="0" y="0"/>
                      <a:ext cx="5731510" cy="3581400"/>
                    </a:xfrm>
                    <a:prstGeom prst="rect">
                      <a:avLst/>
                    </a:prstGeom>
                  </pic:spPr>
                </pic:pic>
              </a:graphicData>
            </a:graphic>
          </wp:inline>
        </w:drawing>
      </w:r>
    </w:p>
    <w:p>
      <w:pPr>
        <w:pStyle w:val="Normal1"/>
        <w:spacing w:lineRule="auto" w:line="360"/>
        <w:jc w:val="both"/>
        <w:rPr>
          <w:sz w:val="24"/>
          <w:szCs w:val="24"/>
        </w:rPr>
      </w:pPr>
      <w:r>
        <w:rPr>
          <w:rFonts w:eastAsia="Times New Roman" w:cs="Times New Roman" w:ascii="Times New Roman" w:hAnsi="Times New Roman"/>
          <w:b/>
          <w:sz w:val="24"/>
          <w:szCs w:val="24"/>
        </w:rPr>
        <w:t xml:space="preserve">Supplementary </w:t>
      </w:r>
      <w:r>
        <w:rPr>
          <w:b/>
        </w:rPr>
        <w:t>Figura 5.</w:t>
      </w:r>
      <w:r>
        <w:rPr>
          <w:b/>
          <w:sz w:val="24"/>
          <w:szCs w:val="24"/>
        </w:rPr>
        <w:t xml:space="preserve"> </w:t>
      </w:r>
      <w:r>
        <w:rPr>
          <w:rFonts w:eastAsia="Palatino Linotype" w:cs="Palatino Linotype" w:ascii="Palatino Linotype" w:hAnsi="Palatino Linotype"/>
          <w:sz w:val="20"/>
          <w:szCs w:val="20"/>
        </w:rPr>
        <w:t>Heatmap of the relative abundance of Phylum in patients with PD and healthy controls. Each group is composed of 25 participants.</w:t>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spacing w:lineRule="auto" w:line="360"/>
        <w:jc w:val="both"/>
        <w:rPr>
          <w:rFonts w:ascii="Times New Roman" w:hAnsi="Times New Roman" w:eastAsia="Times New Roman" w:cs="Times New Roman"/>
          <w:sz w:val="24"/>
          <w:szCs w:val="24"/>
        </w:rPr>
      </w:pPr>
      <w:r>
        <w:rPr/>
        <w:drawing>
          <wp:inline distT="0" distB="0" distL="0" distR="0">
            <wp:extent cx="5562600" cy="3823970"/>
            <wp:effectExtent l="0" t="0" r="0" b="0"/>
            <wp:docPr id="6" name="image3.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g" descr=""/>
                    <pic:cNvPicPr>
                      <a:picLocks noChangeAspect="1" noChangeArrowheads="1"/>
                    </pic:cNvPicPr>
                  </pic:nvPicPr>
                  <pic:blipFill>
                    <a:blip r:embed="rId7"/>
                    <a:stretch>
                      <a:fillRect/>
                    </a:stretch>
                  </pic:blipFill>
                  <pic:spPr bwMode="auto">
                    <a:xfrm>
                      <a:off x="0" y="0"/>
                      <a:ext cx="5562600" cy="3823970"/>
                    </a:xfrm>
                    <a:prstGeom prst="rect">
                      <a:avLst/>
                    </a:prstGeom>
                  </pic:spPr>
                </pic:pic>
              </a:graphicData>
            </a:graphic>
          </wp:inline>
        </w:drawing>
      </w:r>
    </w:p>
    <w:p>
      <w:pPr>
        <w:pStyle w:val="Normal1"/>
        <w:spacing w:lineRule="auto" w:line="360"/>
        <w:jc w:val="both"/>
        <w:rPr>
          <w:rFonts w:ascii="Times New Roman" w:hAnsi="Times New Roman" w:eastAsia="Times New Roman" w:cs="Times New Roman"/>
          <w:sz w:val="24"/>
          <w:szCs w:val="24"/>
        </w:rPr>
      </w:pPr>
      <w:r>
        <w:rPr>
          <w:rFonts w:eastAsia="Times New Roman" w:cs="Times New Roman" w:ascii="Times New Roman" w:hAnsi="Times New Roman"/>
          <w:b/>
          <w:sz w:val="24"/>
          <w:szCs w:val="24"/>
        </w:rPr>
        <w:t>Supplementary Figure 6.</w:t>
      </w:r>
      <w:r>
        <w:rPr>
          <w:rFonts w:eastAsia="Palatino Linotype" w:cs="Palatino Linotype" w:ascii="Palatino Linotype" w:hAnsi="Palatino Linotype"/>
          <w:sz w:val="20"/>
          <w:szCs w:val="20"/>
        </w:rPr>
        <w:t xml:space="preserve"> NMDS representation of the relationship of bacterial composition in PD patients and control groups. The composition of the samples was compared using the Bray Curtis distances with the normalized abundances.</w:t>
      </w:r>
    </w:p>
    <w:p>
      <w:pPr>
        <w:pStyle w:val="Normal1"/>
        <w:spacing w:lineRule="auto" w:line="360"/>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Heading5"/>
        <w:spacing w:lineRule="auto" w:line="360" w:before="0" w:after="0"/>
        <w:jc w:val="both"/>
        <w:rPr>
          <w:rFonts w:ascii="Times New Roman" w:hAnsi="Times New Roman" w:eastAsia="Times New Roman" w:cs="Times New Roman"/>
          <w:sz w:val="24"/>
          <w:szCs w:val="24"/>
        </w:rPr>
      </w:pPr>
      <w:bookmarkStart w:id="11" w:name="_heading=h.2s8eyo1"/>
      <w:bookmarkEnd w:id="11"/>
      <w:r>
        <w:rPr/>
        <w:drawing>
          <wp:inline distT="0" distB="0" distL="0" distR="0">
            <wp:extent cx="5731510" cy="3898900"/>
            <wp:effectExtent l="0" t="0" r="0" b="0"/>
            <wp:docPr id="7"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png" descr=""/>
                    <pic:cNvPicPr>
                      <a:picLocks noChangeAspect="1" noChangeArrowheads="1"/>
                    </pic:cNvPicPr>
                  </pic:nvPicPr>
                  <pic:blipFill>
                    <a:blip r:embed="rId8"/>
                    <a:stretch>
                      <a:fillRect/>
                    </a:stretch>
                  </pic:blipFill>
                  <pic:spPr bwMode="auto">
                    <a:xfrm>
                      <a:off x="0" y="0"/>
                      <a:ext cx="5731510" cy="3898900"/>
                    </a:xfrm>
                    <a:prstGeom prst="rect">
                      <a:avLst/>
                    </a:prstGeom>
                  </pic:spPr>
                </pic:pic>
              </a:graphicData>
            </a:graphic>
          </wp:inline>
        </w:drawing>
      </w:r>
    </w:p>
    <w:p>
      <w:pPr>
        <w:pStyle w:val="Normal1"/>
        <w:spacing w:lineRule="auto" w:line="360"/>
        <w:jc w:val="both"/>
        <w:rPr>
          <w:rFonts w:ascii="Palatino Linotype" w:hAnsi="Palatino Linotype" w:eastAsia="Palatino Linotype" w:cs="Palatino Linotype"/>
          <w:sz w:val="20"/>
          <w:szCs w:val="20"/>
        </w:rPr>
      </w:pPr>
      <w:r>
        <w:rPr>
          <w:rFonts w:eastAsia="Times New Roman" w:cs="Times New Roman" w:ascii="Times New Roman" w:hAnsi="Times New Roman"/>
          <w:b/>
          <w:sz w:val="24"/>
          <w:szCs w:val="24"/>
        </w:rPr>
        <w:t>Supplementary Figure 7.</w:t>
      </w:r>
      <w:r>
        <w:rPr>
          <w:rFonts w:eastAsia="Palatino Linotype" w:cs="Palatino Linotype" w:ascii="Palatino Linotype" w:hAnsi="Palatino Linotype"/>
          <w:sz w:val="20"/>
          <w:szCs w:val="20"/>
        </w:rPr>
        <w:t xml:space="preserve"> The bar graph represents the concentration of short-chain fatty acids in the metabolic reconstruction simulations of PD patients and controls. mM concentration of the 12H simulation in each participant belonging to each group, PD patients (blackberry) and controls (pink).</w:t>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rFonts w:eastAsia="Times New Roman" w:cs="Times New Roman" w:ascii="Times New Roman" w:hAnsi="Times New Roman"/>
          <w:b/>
          <w:sz w:val="24"/>
          <w:szCs w:val="24"/>
        </w:rPr>
      </w:r>
    </w:p>
    <w:p>
      <w:pPr>
        <w:pStyle w:val="Normal1"/>
        <w:jc w:val="both"/>
        <w:rPr>
          <w:rFonts w:ascii="Times New Roman" w:hAnsi="Times New Roman" w:eastAsia="Times New Roman" w:cs="Times New Roman"/>
          <w:b/>
          <w:sz w:val="24"/>
          <w:szCs w:val="24"/>
        </w:rPr>
      </w:pPr>
      <w:r>
        <w:rPr/>
        <w:drawing>
          <wp:inline distT="0" distB="0" distL="0" distR="0">
            <wp:extent cx="5896610" cy="3281680"/>
            <wp:effectExtent l="0" t="0" r="0" b="0"/>
            <wp:docPr id="8" name="image10.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0.png" descr=""/>
                    <pic:cNvPicPr>
                      <a:picLocks noChangeAspect="1" noChangeArrowheads="1"/>
                    </pic:cNvPicPr>
                  </pic:nvPicPr>
                  <pic:blipFill>
                    <a:blip r:embed="rId9"/>
                    <a:stretch>
                      <a:fillRect/>
                    </a:stretch>
                  </pic:blipFill>
                  <pic:spPr bwMode="auto">
                    <a:xfrm>
                      <a:off x="0" y="0"/>
                      <a:ext cx="5896610" cy="3281680"/>
                    </a:xfrm>
                    <a:prstGeom prst="rect">
                      <a:avLst/>
                    </a:prstGeom>
                  </pic:spPr>
                </pic:pic>
              </a:graphicData>
            </a:graphic>
          </wp:inline>
        </w:drawing>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Palatino Linotype" w:hAnsi="Palatino Linotype" w:eastAsia="Palatino Linotype" w:cs="Palatino Linotype"/>
          <w:sz w:val="20"/>
          <w:szCs w:val="20"/>
        </w:rPr>
      </w:pPr>
      <w:r>
        <w:rPr>
          <w:rFonts w:eastAsia="Times New Roman" w:cs="Times New Roman" w:ascii="Times New Roman" w:hAnsi="Times New Roman"/>
          <w:b/>
          <w:sz w:val="24"/>
          <w:szCs w:val="24"/>
        </w:rPr>
        <w:t xml:space="preserve">Supplementary Figure 8. </w:t>
      </w:r>
      <w:r>
        <w:rPr>
          <w:rFonts w:eastAsia="Palatino Linotype" w:cs="Palatino Linotype" w:ascii="Palatino Linotype" w:hAnsi="Palatino Linotype"/>
          <w:sz w:val="20"/>
          <w:szCs w:val="20"/>
        </w:rPr>
        <w:t>Differential metabolite-consuming bacteria in silico between phenotypes. Top 10 of the largest consumers of 3-Methyl-2-Oxovaleric Acid, Myristic Acid, Indole, Fructose, Phenylacetic Acid and N-acetylneuraminic acid. The percentage of consumption for each organism is indicated for the first ten consumers.</w:t>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drawing>
          <wp:inline distT="0" distB="0" distL="0" distR="0">
            <wp:extent cx="5993130" cy="2757805"/>
            <wp:effectExtent l="0" t="0" r="0" b="0"/>
            <wp:docPr id="9"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png" descr=""/>
                    <pic:cNvPicPr>
                      <a:picLocks noChangeAspect="1" noChangeArrowheads="1"/>
                    </pic:cNvPicPr>
                  </pic:nvPicPr>
                  <pic:blipFill>
                    <a:blip r:embed="rId10"/>
                    <a:stretch>
                      <a:fillRect/>
                    </a:stretch>
                  </pic:blipFill>
                  <pic:spPr bwMode="auto">
                    <a:xfrm>
                      <a:off x="0" y="0"/>
                      <a:ext cx="5993130" cy="2757805"/>
                    </a:xfrm>
                    <a:prstGeom prst="rect">
                      <a:avLst/>
                    </a:prstGeom>
                  </pic:spPr>
                </pic:pic>
              </a:graphicData>
            </a:graphic>
          </wp:inline>
        </w:drawing>
      </w:r>
    </w:p>
    <w:p>
      <w:pPr>
        <w:pStyle w:val="Normal1"/>
        <w:jc w:val="both"/>
        <w:rPr>
          <w:rFonts w:ascii="Palatino Linotype" w:hAnsi="Palatino Linotype" w:eastAsia="Palatino Linotype" w:cs="Palatino Linotype"/>
          <w:sz w:val="20"/>
          <w:szCs w:val="20"/>
        </w:rPr>
      </w:pPr>
      <w:r>
        <w:rPr>
          <w:rFonts w:eastAsia="Times New Roman" w:cs="Times New Roman" w:ascii="Times New Roman" w:hAnsi="Times New Roman"/>
          <w:b/>
          <w:sz w:val="24"/>
          <w:szCs w:val="24"/>
        </w:rPr>
        <w:t>Supplementary Figure 9.</w:t>
      </w:r>
      <w:r>
        <w:rPr>
          <w:rFonts w:eastAsia="Palatino Linotype" w:cs="Palatino Linotype" w:ascii="Palatino Linotype" w:hAnsi="Palatino Linotype"/>
          <w:i/>
          <w:sz w:val="20"/>
          <w:szCs w:val="20"/>
        </w:rPr>
        <w:t xml:space="preserve"> In silico</w:t>
      </w:r>
      <w:r>
        <w:rPr>
          <w:rFonts w:eastAsia="Palatino Linotype" w:cs="Palatino Linotype" w:ascii="Palatino Linotype" w:hAnsi="Palatino Linotype"/>
          <w:sz w:val="20"/>
          <w:szCs w:val="20"/>
        </w:rPr>
        <w:t xml:space="preserve"> short-chain fatty acid-consuming bacteria between phenotypes. The percentage of consumption and production for each organism is indicated for the first ten organisms.</w:t>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drawing>
          <wp:inline distT="0" distB="0" distL="0" distR="0">
            <wp:extent cx="6070600" cy="3035300"/>
            <wp:effectExtent l="0" t="0" r="0" b="0"/>
            <wp:docPr id="10" name="image8.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8.png" descr=""/>
                    <pic:cNvPicPr>
                      <a:picLocks noChangeAspect="1" noChangeArrowheads="1"/>
                    </pic:cNvPicPr>
                  </pic:nvPicPr>
                  <pic:blipFill>
                    <a:blip r:embed="rId11"/>
                    <a:stretch>
                      <a:fillRect/>
                    </a:stretch>
                  </pic:blipFill>
                  <pic:spPr bwMode="auto">
                    <a:xfrm>
                      <a:off x="0" y="0"/>
                      <a:ext cx="6070600" cy="3035300"/>
                    </a:xfrm>
                    <a:prstGeom prst="rect">
                      <a:avLst/>
                    </a:prstGeom>
                  </pic:spPr>
                </pic:pic>
              </a:graphicData>
            </a:graphic>
          </wp:inline>
        </w:drawing>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b/>
          <w:sz w:val="24"/>
          <w:szCs w:val="24"/>
        </w:rPr>
        <w:t>Supplementary Figure 10.</w:t>
      </w:r>
      <w:r>
        <w:rPr>
          <w:rFonts w:eastAsia="Times New Roman" w:cs="Times New Roman" w:ascii="Times New Roman" w:hAnsi="Times New Roman"/>
          <w:i/>
          <w:sz w:val="24"/>
          <w:szCs w:val="24"/>
        </w:rPr>
        <w:t xml:space="preserve"> In silico</w:t>
      </w:r>
      <w:r>
        <w:rPr>
          <w:rFonts w:eastAsia="Times New Roman" w:cs="Times New Roman" w:ascii="Times New Roman" w:hAnsi="Times New Roman"/>
          <w:sz w:val="24"/>
          <w:szCs w:val="24"/>
        </w:rPr>
        <w:t xml:space="preserve"> short-chain fatty acid-producing bacteria between phenotypes. The percentage of consumption and production for each organism is indicated for the first ten organisms.</w:t>
      </w:r>
    </w:p>
    <w:p>
      <w:pPr>
        <w:pStyle w:val="Normal1"/>
        <w:jc w:val="both"/>
        <w:rPr>
          <w:rFonts w:ascii="Times New Roman" w:hAnsi="Times New Roman" w:eastAsia="Times New Roman" w:cs="Times New Roman"/>
          <w:sz w:val="24"/>
          <w:szCs w:val="24"/>
        </w:rPr>
      </w:pPr>
      <w:r>
        <w:rPr>
          <w:rFonts w:eastAsia="Times New Roman" w:cs="Times New Roman" w:ascii="Times New Roman" w:hAnsi="Times New Roman"/>
          <w:sz w:val="24"/>
          <w:szCs w:val="24"/>
        </w:rPr>
      </w:r>
    </w:p>
    <w:sectPr>
      <w:type w:val="nextPage"/>
      <w:pgSz w:w="11906" w:h="16838"/>
      <w:pgMar w:left="1440" w:right="1440" w:gutter="0" w:header="0" w:top="1440" w:footer="0" w:bottom="1440"/>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Liberation Sans">
    <w:altName w:val="Arial"/>
    <w:charset w:val="00"/>
    <w:family w:val="swiss"/>
    <w:pitch w:val="variable"/>
  </w:font>
  <w:font w:name="Palatino Linotype">
    <w:charset w:val="00"/>
    <w:family w:val="roman"/>
    <w:pitch w:val="variable"/>
  </w:font>
</w:fonts>
</file>

<file path=word/settings.xml><?xml version="1.0" encoding="utf-8"?>
<w:settings xmlns:w="http://schemas.openxmlformats.org/wordprocessingml/2006/main">
  <w:zoom w:percent="100"/>
  <w:defaultTabStop w:val="720"/>
  <w:autoHyphenation w:val="true"/>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es-ES" w:eastAsia="zh-CN" w:bidi="hi-IN"/>
      </w:rPr>
    </w:rPrDefault>
    <w:pPrDefault>
      <w:pPr>
        <w:suppressAutoHyphens w:val="true"/>
      </w:pPr>
    </w:pPrDefault>
  </w:docDefaults>
  <w:style w:type="paragraph" w:styleId="Normal">
    <w:name w:val="Normal"/>
    <w:qFormat/>
    <w:pPr>
      <w:widowControl/>
      <w:bidi w:val="0"/>
      <w:spacing w:lineRule="auto" w:line="276" w:before="0" w:after="0"/>
      <w:jc w:val="left"/>
    </w:pPr>
    <w:rPr>
      <w:rFonts w:ascii="Arial" w:hAnsi="Arial" w:eastAsia="Arial" w:cs="Arial"/>
      <w:color w:val="auto"/>
      <w:kern w:val="0"/>
      <w:sz w:val="22"/>
      <w:szCs w:val="22"/>
      <w:lang w:val="es-ES" w:eastAsia="zh-CN" w:bidi="hi-IN"/>
    </w:rPr>
  </w:style>
  <w:style w:type="paragraph" w:styleId="Heading1">
    <w:name w:val="Heading 1"/>
    <w:basedOn w:val="Normal1"/>
    <w:next w:val="Normal1"/>
    <w:qFormat/>
    <w:pPr>
      <w:keepNext w:val="true"/>
      <w:keepLines/>
      <w:pageBreakBefore w:val="false"/>
      <w:spacing w:lineRule="auto" w:line="240" w:before="400" w:after="120"/>
    </w:pPr>
    <w:rPr>
      <w:sz w:val="40"/>
      <w:szCs w:val="40"/>
    </w:rPr>
  </w:style>
  <w:style w:type="paragraph" w:styleId="Heading2">
    <w:name w:val="Heading 2"/>
    <w:basedOn w:val="Normal1"/>
    <w:next w:val="Normal1"/>
    <w:qFormat/>
    <w:pPr>
      <w:keepNext w:val="true"/>
      <w:keepLines/>
      <w:pageBreakBefore w:val="false"/>
      <w:spacing w:lineRule="auto" w:line="240" w:before="360" w:after="120"/>
    </w:pPr>
    <w:rPr>
      <w:b w:val="false"/>
      <w:sz w:val="32"/>
      <w:szCs w:val="32"/>
    </w:rPr>
  </w:style>
  <w:style w:type="paragraph" w:styleId="Heading3">
    <w:name w:val="Heading 3"/>
    <w:basedOn w:val="Normal1"/>
    <w:next w:val="Normal1"/>
    <w:qFormat/>
    <w:pPr>
      <w:keepNext w:val="true"/>
      <w:keepLines/>
      <w:pageBreakBefore w:val="false"/>
      <w:spacing w:lineRule="auto" w:line="240" w:before="320" w:after="80"/>
    </w:pPr>
    <w:rPr>
      <w:b w:val="false"/>
      <w:color w:val="434343"/>
      <w:sz w:val="28"/>
      <w:szCs w:val="28"/>
    </w:rPr>
  </w:style>
  <w:style w:type="paragraph" w:styleId="Heading4">
    <w:name w:val="Heading 4"/>
    <w:basedOn w:val="Normal1"/>
    <w:next w:val="Normal1"/>
    <w:qFormat/>
    <w:pPr>
      <w:keepNext w:val="true"/>
      <w:keepLines/>
      <w:pageBreakBefore w:val="false"/>
      <w:spacing w:lineRule="auto" w:line="240" w:before="280" w:after="80"/>
    </w:pPr>
    <w:rPr>
      <w:color w:val="666666"/>
      <w:sz w:val="24"/>
      <w:szCs w:val="24"/>
    </w:rPr>
  </w:style>
  <w:style w:type="paragraph" w:styleId="Heading5">
    <w:name w:val="Heading 5"/>
    <w:basedOn w:val="Normal1"/>
    <w:next w:val="Normal1"/>
    <w:qFormat/>
    <w:pPr>
      <w:keepNext w:val="true"/>
      <w:keepLines/>
      <w:pageBreakBefore w:val="false"/>
      <w:spacing w:lineRule="auto" w:line="240" w:before="240" w:after="80"/>
    </w:pPr>
    <w:rPr>
      <w:color w:val="666666"/>
      <w:sz w:val="22"/>
      <w:szCs w:val="22"/>
    </w:rPr>
  </w:style>
  <w:style w:type="paragraph" w:styleId="Heading6">
    <w:name w:val="Heading 6"/>
    <w:basedOn w:val="Normal1"/>
    <w:next w:val="Normal1"/>
    <w:qFormat/>
    <w:pPr>
      <w:keepNext w:val="true"/>
      <w:keepLines/>
      <w:pageBreakBefore w:val="false"/>
      <w:spacing w:lineRule="auto" w:line="240" w:before="240" w:after="80"/>
    </w:pPr>
    <w:rPr>
      <w:i/>
      <w:color w:val="666666"/>
      <w:sz w:val="22"/>
      <w:szCs w:val="22"/>
    </w:rPr>
  </w:style>
  <w:style w:type="paragraph" w:styleId="Heading">
    <w:name w:val="Heading"/>
    <w:basedOn w:val="Normal"/>
    <w:next w:val="TextBody"/>
    <w:qFormat/>
    <w:pPr>
      <w:keepNext w:val="true"/>
      <w:spacing w:before="240" w:after="120"/>
    </w:pPr>
    <w:rPr>
      <w:rFonts w:ascii="Liberation Sans" w:hAnsi="Liberation Sans" w:eastAsia="Microsoft YaHei" w:cs="Lucida 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name w:val="Index"/>
    <w:basedOn w:val="Normal"/>
    <w:qFormat/>
    <w:pPr>
      <w:suppressLineNumbers/>
    </w:pPr>
    <w:rPr>
      <w:rFonts w:cs="Lucida Sans"/>
    </w:rPr>
  </w:style>
  <w:style w:type="paragraph" w:styleId="Normal1" w:default="1">
    <w:name w:val="LO-normal"/>
    <w:qFormat/>
    <w:pPr>
      <w:widowControl/>
      <w:bidi w:val="0"/>
      <w:spacing w:lineRule="auto" w:line="276" w:before="0" w:after="0"/>
      <w:jc w:val="left"/>
    </w:pPr>
    <w:rPr>
      <w:rFonts w:ascii="Arial" w:hAnsi="Arial" w:eastAsia="Arial" w:cs="Arial"/>
      <w:color w:val="auto"/>
      <w:kern w:val="0"/>
      <w:sz w:val="22"/>
      <w:szCs w:val="22"/>
      <w:lang w:val="es-ES" w:eastAsia="zh-CN" w:bidi="hi-IN"/>
    </w:rPr>
  </w:style>
  <w:style w:type="paragraph" w:styleId="Title">
    <w:name w:val="Title"/>
    <w:basedOn w:val="Normal1"/>
    <w:next w:val="Normal1"/>
    <w:qFormat/>
    <w:pPr>
      <w:keepNext w:val="true"/>
      <w:keepLines/>
      <w:pageBreakBefore w:val="false"/>
      <w:spacing w:lineRule="auto" w:line="240" w:before="0" w:after="60"/>
    </w:pPr>
    <w:rPr>
      <w:sz w:val="52"/>
      <w:szCs w:val="52"/>
    </w:rPr>
  </w:style>
  <w:style w:type="paragraph" w:styleId="Subtitle">
    <w:name w:val="Subtitle"/>
    <w:basedOn w:val="Normal1"/>
    <w:next w:val="Normal1"/>
    <w:qFormat/>
    <w:pPr>
      <w:keepNext w:val="true"/>
      <w:keepLines/>
      <w:pageBreakBefore w:val="false"/>
      <w:spacing w:lineRule="auto" w:line="240" w:before="0" w:after="320"/>
    </w:pPr>
    <w:rPr>
      <w:rFonts w:ascii="Arial" w:hAnsi="Arial" w:eastAsia="Arial" w:cs="Arial"/>
      <w:i w:val="false"/>
      <w:color w:val="666666"/>
      <w:sz w:val="30"/>
      <w:szCs w:val="30"/>
    </w:rPr>
  </w:style>
  <w:style w:type="paragraph" w:styleId="FrameContents">
    <w:name w:val="Frame Contents"/>
    <w:basedOn w:val="Normal"/>
    <w:qFormat/>
    <w:pPr/>
    <w:rPr/>
  </w:style>
  <w:style w:type="table" w:default="1" w:styleId="TableNormal">
    <w:name w:val="Table Normal"/>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fontTable" Target="fontTable.xml"/><Relationship Id="rId13" Type="http://schemas.openxmlformats.org/officeDocument/2006/relationships/settings" Target="settings.xml"/><Relationship Id="rId14" Type="http://schemas.openxmlformats.org/officeDocument/2006/relationships/theme" Target="theme/theme1.xml"/><Relationship Id="rId15"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ijRiPmodES4/DCWIm7c/9Kgqi2GQ==">CgMxLjAyCWguMXk4MTB0dzIJaC4zMGowemxsMgloLjFmb2I5dGUyCWguM3pueXNoNzIJaC4yZXQ5MnAwMghoLnR5amN3dDIJaC4zZHk2dmttMgloLjF0M2g1c2YyCWguNGQzNG9nODIJaC4yczhleW8xOAByITFrZHVBUXpjZjN5anhDMDV0YkgtaFc2S0I1cm5HYXlsRw==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
  <TotalTime>1</TotalTime>
  <Application>LibreOffice/7.5.9.2$Windows_X86_64 LibreOffice_project/cdeefe45c17511d326101eed8008ac4092f278a9</Application>
  <AppVersion>15.0000</AppVersion>
  <Pages>10</Pages>
  <Words>695</Words>
  <Characters>4518</Characters>
  <CharactersWithSpaces>5197</CharactersWithSpaces>
  <Paragraphs>33</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fi-FI</dc:language>
  <cp:lastModifiedBy/>
  <dcterms:modified xsi:type="dcterms:W3CDTF">2024-01-17T00:22:46Z</dcterms:modified>
  <cp:revision>1</cp:revision>
  <dc:subject/>
  <dc:title/>
</cp:coreProperties>
</file>