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A74" w:rsidRPr="005B2A74" w:rsidRDefault="005B2A74" w:rsidP="005B2A74">
      <w:pPr>
        <w:pStyle w:val="MDPI12title"/>
        <w:rPr>
          <w:sz w:val="24"/>
        </w:rPr>
      </w:pPr>
      <w:r w:rsidRPr="005B2A74">
        <w:rPr>
          <w:sz w:val="24"/>
        </w:rPr>
        <w:t>Supplementary Figures</w:t>
      </w:r>
    </w:p>
    <w:p w:rsidR="005B2A74" w:rsidRPr="005B2A74" w:rsidRDefault="005B2A74" w:rsidP="005B2A74">
      <w:pPr>
        <w:pStyle w:val="MDPI12title"/>
        <w:rPr>
          <w:sz w:val="24"/>
        </w:rPr>
      </w:pPr>
      <w:r w:rsidRPr="005B2A74">
        <w:rPr>
          <w:sz w:val="24"/>
        </w:rPr>
        <w:t xml:space="preserve">Proteomic characterization of </w:t>
      </w:r>
      <w:proofErr w:type="spellStart"/>
      <w:r w:rsidRPr="005B2A74">
        <w:rPr>
          <w:i/>
          <w:sz w:val="24"/>
        </w:rPr>
        <w:t>Armillaria</w:t>
      </w:r>
      <w:proofErr w:type="spellEnd"/>
      <w:r w:rsidRPr="005B2A74">
        <w:rPr>
          <w:i/>
          <w:sz w:val="24"/>
        </w:rPr>
        <w:t xml:space="preserve"> </w:t>
      </w:r>
      <w:proofErr w:type="spellStart"/>
      <w:r w:rsidRPr="005B2A74">
        <w:rPr>
          <w:i/>
          <w:sz w:val="24"/>
        </w:rPr>
        <w:t>mellea</w:t>
      </w:r>
      <w:proofErr w:type="spellEnd"/>
      <w:r w:rsidRPr="005B2A74">
        <w:rPr>
          <w:sz w:val="24"/>
        </w:rPr>
        <w:t xml:space="preserve"> reveals oxidative stress response mechanisms and altered secondary metabolism profiles. </w:t>
      </w:r>
      <w:bookmarkStart w:id="0" w:name="_GoBack"/>
      <w:bookmarkEnd w:id="0"/>
    </w:p>
    <w:p w:rsidR="005B2A74" w:rsidRPr="005B2A74" w:rsidRDefault="005B2A74" w:rsidP="005B2A74">
      <w:pPr>
        <w:pStyle w:val="MDPI52figure"/>
        <w:jc w:val="left"/>
        <w:rPr>
          <w:noProof/>
          <w:sz w:val="22"/>
          <w:lang w:val="en-IE" w:eastAsia="en-IE"/>
        </w:rPr>
      </w:pPr>
      <w:r w:rsidRPr="005B2A74">
        <w:rPr>
          <w:sz w:val="22"/>
        </w:rPr>
        <w:t xml:space="preserve">Cassandra Collins, Rachel Hurley, Nada </w:t>
      </w:r>
      <w:proofErr w:type="spellStart"/>
      <w:r w:rsidRPr="005B2A74">
        <w:rPr>
          <w:sz w:val="22"/>
        </w:rPr>
        <w:t>Alm</w:t>
      </w:r>
      <w:r w:rsidRPr="005B2A74">
        <w:rPr>
          <w:sz w:val="22"/>
        </w:rPr>
        <w:t>utlaqah</w:t>
      </w:r>
      <w:proofErr w:type="spellEnd"/>
      <w:r w:rsidRPr="005B2A74">
        <w:rPr>
          <w:sz w:val="22"/>
        </w:rPr>
        <w:t xml:space="preserve">, </w:t>
      </w:r>
      <w:r w:rsidRPr="005B2A74">
        <w:rPr>
          <w:sz w:val="22"/>
        </w:rPr>
        <w:t>Grainne O’Keeffe</w:t>
      </w:r>
      <w:r w:rsidRPr="005B2A74">
        <w:rPr>
          <w:sz w:val="22"/>
        </w:rPr>
        <w:t xml:space="preserve">, </w:t>
      </w:r>
      <w:r w:rsidRPr="005B2A74">
        <w:rPr>
          <w:sz w:val="22"/>
        </w:rPr>
        <w:t>Thomas M. Keane</w:t>
      </w:r>
      <w:r w:rsidRPr="005B2A74">
        <w:rPr>
          <w:sz w:val="22"/>
        </w:rPr>
        <w:t xml:space="preserve">, </w:t>
      </w:r>
      <w:r w:rsidRPr="005B2A74">
        <w:rPr>
          <w:sz w:val="22"/>
        </w:rPr>
        <w:t>David A. Fitzpatrick</w:t>
      </w:r>
      <w:r w:rsidRPr="005B2A74">
        <w:rPr>
          <w:sz w:val="22"/>
        </w:rPr>
        <w:t xml:space="preserve"> and Rebecca A. Owens</w:t>
      </w:r>
    </w:p>
    <w:p w:rsidR="005B2A74" w:rsidRDefault="005B2A74" w:rsidP="00A40303">
      <w:pPr>
        <w:pStyle w:val="MDPI52figure"/>
        <w:rPr>
          <w:noProof/>
          <w:lang w:val="en-IE" w:eastAsia="en-IE"/>
        </w:rPr>
      </w:pPr>
    </w:p>
    <w:p w:rsidR="005B2A74" w:rsidRDefault="005B2A74" w:rsidP="00A40303">
      <w:pPr>
        <w:pStyle w:val="MDPI52figure"/>
        <w:rPr>
          <w:noProof/>
          <w:lang w:val="en-IE" w:eastAsia="en-IE"/>
        </w:rPr>
      </w:pPr>
    </w:p>
    <w:p w:rsidR="00A40303" w:rsidRDefault="00A40303" w:rsidP="00A40303">
      <w:pPr>
        <w:pStyle w:val="MDPI52figure"/>
        <w:rPr>
          <w:noProof/>
          <w:lang w:val="en-IE" w:eastAsia="en-IE"/>
        </w:rPr>
      </w:pPr>
      <w:r>
        <w:rPr>
          <w:noProof/>
          <w:lang w:val="en-IE" w:eastAsia="en-IE" w:bidi="ar-SA"/>
        </w:rPr>
        <w:drawing>
          <wp:inline distT="0" distB="0" distL="0" distR="0" wp14:anchorId="41D4071D" wp14:editId="7E21C8E9">
            <wp:extent cx="5615940" cy="2723515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HPLC PDB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72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303" w:rsidRDefault="00A40303" w:rsidP="00A40303">
      <w:pPr>
        <w:autoSpaceDE w:val="0"/>
        <w:autoSpaceDN w:val="0"/>
        <w:adjustRightInd w:val="0"/>
        <w:spacing w:before="120" w:after="240" w:line="260" w:lineRule="atLeast"/>
        <w:ind w:left="425" w:right="425"/>
        <w:jc w:val="center"/>
        <w:rPr>
          <w:rFonts w:ascii="Palatino Linotype" w:hAnsi="Palatino Linotype"/>
          <w:b/>
          <w:noProof/>
          <w:sz w:val="18"/>
          <w:lang w:val="en-IE" w:eastAsia="en-IE"/>
        </w:rPr>
      </w:pPr>
      <w:r>
        <w:rPr>
          <w:rFonts w:ascii="Palatino Linotype" w:hAnsi="Palatino Linotype"/>
          <w:b/>
          <w:noProof/>
          <w:sz w:val="18"/>
          <w:lang w:val="en-IE" w:eastAsia="en-IE"/>
        </w:rPr>
        <w:t>(a)</w:t>
      </w:r>
    </w:p>
    <w:p w:rsidR="00A40303" w:rsidRDefault="00A40303" w:rsidP="00A40303">
      <w:pPr>
        <w:pStyle w:val="MDPI52figure"/>
      </w:pPr>
      <w:r>
        <w:rPr>
          <w:noProof/>
          <w:lang w:val="en-IE" w:eastAsia="en-IE" w:bidi="ar-SA"/>
        </w:rPr>
        <w:drawing>
          <wp:inline distT="0" distB="0" distL="0" distR="0" wp14:anchorId="712589A1" wp14:editId="481DD069">
            <wp:extent cx="5615940" cy="2720975"/>
            <wp:effectExtent l="0" t="0" r="381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HPLC PDA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72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303" w:rsidRPr="001F7553" w:rsidRDefault="00A40303" w:rsidP="00A40303">
      <w:pPr>
        <w:autoSpaceDE w:val="0"/>
        <w:autoSpaceDN w:val="0"/>
        <w:adjustRightInd w:val="0"/>
        <w:spacing w:before="120" w:after="240" w:line="260" w:lineRule="atLeast"/>
        <w:ind w:left="425" w:right="425"/>
        <w:jc w:val="center"/>
        <w:rPr>
          <w:rFonts w:ascii="Palatino Linotype" w:hAnsi="Palatino Linotype"/>
          <w:b/>
          <w:sz w:val="18"/>
          <w:lang w:bidi="en-US"/>
        </w:rPr>
      </w:pPr>
      <w:r>
        <w:rPr>
          <w:rFonts w:ascii="Palatino Linotype" w:hAnsi="Palatino Linotype"/>
          <w:b/>
          <w:noProof/>
          <w:sz w:val="18"/>
          <w:lang w:val="en-IE" w:eastAsia="en-IE"/>
        </w:rPr>
        <w:t>(b)</w:t>
      </w:r>
    </w:p>
    <w:p w:rsidR="00A40303" w:rsidRDefault="00A40303" w:rsidP="00A40303">
      <w:pPr>
        <w:pStyle w:val="MDPI51figurecaption"/>
      </w:pPr>
      <w:r>
        <w:rPr>
          <w:b/>
        </w:rPr>
        <w:t xml:space="preserve">Supplementary figure </w:t>
      </w:r>
      <w:r w:rsidR="004E3949">
        <w:rPr>
          <w:b/>
        </w:rPr>
        <w:t>S</w:t>
      </w:r>
      <w:r>
        <w:rPr>
          <w:b/>
        </w:rPr>
        <w:t>1</w:t>
      </w:r>
      <w:r w:rsidRPr="00E51881">
        <w:rPr>
          <w:b/>
        </w:rPr>
        <w:t>.</w:t>
      </w:r>
      <w:r w:rsidRPr="001F7553">
        <w:rPr>
          <w:b/>
        </w:rPr>
        <w:t xml:space="preserve"> </w:t>
      </w:r>
      <w:r w:rsidRPr="001F7553">
        <w:t>RP-HPLC</w:t>
      </w:r>
      <w:r>
        <w:t xml:space="preserve"> profiles of</w:t>
      </w:r>
      <w:r w:rsidR="008B0D04">
        <w:t xml:space="preserve"> </w:t>
      </w:r>
      <w:r>
        <w:t xml:space="preserve">metabolite extracts from (a) supernatant of liquid PDB cultures and (b) PDA </w:t>
      </w:r>
      <w:proofErr w:type="gramStart"/>
      <w:r>
        <w:t>solid state</w:t>
      </w:r>
      <w:proofErr w:type="gramEnd"/>
      <w:r>
        <w:t xml:space="preserve"> cultures of </w:t>
      </w:r>
      <w:r w:rsidRPr="001F7553">
        <w:rPr>
          <w:i/>
        </w:rPr>
        <w:t xml:space="preserve">A. </w:t>
      </w:r>
      <w:proofErr w:type="spellStart"/>
      <w:r w:rsidRPr="001F7553">
        <w:rPr>
          <w:i/>
        </w:rPr>
        <w:t>mellea</w:t>
      </w:r>
      <w:proofErr w:type="spellEnd"/>
      <w:r>
        <w:t xml:space="preserve">. UV trace </w:t>
      </w:r>
      <w:proofErr w:type="gramStart"/>
      <w:r>
        <w:t>was monitored</w:t>
      </w:r>
      <w:proofErr w:type="gramEnd"/>
      <w:r>
        <w:t xml:space="preserve"> at 254 nm.</w:t>
      </w:r>
    </w:p>
    <w:p w:rsidR="00A40303" w:rsidRDefault="00A40303" w:rsidP="00A40303">
      <w:pPr>
        <w:pStyle w:val="MDPI51figurecaption"/>
        <w:sectPr w:rsidR="00A4030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4E3949" w:rsidRDefault="004E3949" w:rsidP="00A40303">
      <w:pPr>
        <w:pStyle w:val="MDPI51figurecaption"/>
      </w:pPr>
      <w:r>
        <w:lastRenderedPageBreak/>
        <w:t>(a)</w:t>
      </w:r>
    </w:p>
    <w:p w:rsidR="004E3949" w:rsidRDefault="004E3949" w:rsidP="00A40303">
      <w:pPr>
        <w:pStyle w:val="MDPI51figurecaption"/>
      </w:pPr>
      <w:r>
        <w:rPr>
          <w:noProof/>
          <w:lang w:val="en-IE" w:eastAsia="en-IE" w:bidi="ar-SA"/>
        </w:rPr>
        <w:drawing>
          <wp:inline distT="0" distB="0" distL="0" distR="0" wp14:anchorId="7DBE7CB3" wp14:editId="0FC2E022">
            <wp:extent cx="5615940" cy="3253740"/>
            <wp:effectExtent l="0" t="0" r="381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EIC PDA PDB4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25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949" w:rsidRDefault="004E3949" w:rsidP="00A40303">
      <w:pPr>
        <w:pStyle w:val="MDPI51figurecaption"/>
      </w:pPr>
    </w:p>
    <w:p w:rsidR="004E3949" w:rsidRDefault="004E3949" w:rsidP="00A40303">
      <w:pPr>
        <w:pStyle w:val="MDPI51figurecaption"/>
      </w:pPr>
    </w:p>
    <w:p w:rsidR="004E3949" w:rsidRDefault="004E3949" w:rsidP="00A40303">
      <w:pPr>
        <w:pStyle w:val="MDPI51figurecaption"/>
      </w:pPr>
    </w:p>
    <w:p w:rsidR="004E3949" w:rsidRDefault="004E3949" w:rsidP="00A40303">
      <w:pPr>
        <w:pStyle w:val="MDPI51figurecaption"/>
      </w:pPr>
    </w:p>
    <w:p w:rsidR="004E3949" w:rsidRDefault="004E3949" w:rsidP="00A40303">
      <w:pPr>
        <w:pStyle w:val="MDPI51figurecaption"/>
      </w:pPr>
    </w:p>
    <w:p w:rsidR="004E3949" w:rsidRDefault="004E3949" w:rsidP="00A40303">
      <w:pPr>
        <w:pStyle w:val="MDPI51figurecaption"/>
      </w:pPr>
    </w:p>
    <w:p w:rsidR="004E3949" w:rsidRDefault="004E3949" w:rsidP="00A40303">
      <w:pPr>
        <w:pStyle w:val="MDPI51figurecaption"/>
      </w:pPr>
    </w:p>
    <w:p w:rsidR="004E3949" w:rsidRDefault="004E3949" w:rsidP="00A40303">
      <w:pPr>
        <w:pStyle w:val="MDPI51figurecaption"/>
      </w:pPr>
    </w:p>
    <w:p w:rsidR="004E3949" w:rsidRDefault="004E3949" w:rsidP="00A40303">
      <w:pPr>
        <w:pStyle w:val="MDPI51figurecaption"/>
      </w:pPr>
    </w:p>
    <w:p w:rsidR="004E3949" w:rsidRDefault="004E3949" w:rsidP="00A40303">
      <w:pPr>
        <w:pStyle w:val="MDPI51figurecaption"/>
      </w:pPr>
    </w:p>
    <w:p w:rsidR="004E3949" w:rsidRDefault="004E3949" w:rsidP="00A40303">
      <w:pPr>
        <w:pStyle w:val="MDPI51figurecaption"/>
      </w:pPr>
    </w:p>
    <w:p w:rsidR="004E3949" w:rsidRDefault="004E3949" w:rsidP="00A40303">
      <w:pPr>
        <w:pStyle w:val="MDPI51figurecaption"/>
      </w:pPr>
    </w:p>
    <w:p w:rsidR="004E3949" w:rsidRDefault="004E3949" w:rsidP="00A40303">
      <w:pPr>
        <w:pStyle w:val="MDPI51figurecaption"/>
      </w:pPr>
    </w:p>
    <w:p w:rsidR="004E3949" w:rsidRDefault="004E3949" w:rsidP="00A40303">
      <w:pPr>
        <w:pStyle w:val="MDPI51figurecaption"/>
      </w:pPr>
    </w:p>
    <w:p w:rsidR="004E3949" w:rsidRDefault="004E3949" w:rsidP="00A40303">
      <w:pPr>
        <w:pStyle w:val="MDPI51figurecaption"/>
      </w:pPr>
    </w:p>
    <w:p w:rsidR="004E3949" w:rsidRDefault="004E3949" w:rsidP="00A40303">
      <w:pPr>
        <w:pStyle w:val="MDPI51figurecaption"/>
      </w:pPr>
    </w:p>
    <w:p w:rsidR="004E3949" w:rsidRDefault="004E3949" w:rsidP="00A40303">
      <w:pPr>
        <w:pStyle w:val="MDPI51figurecaption"/>
      </w:pPr>
      <w:r>
        <w:lastRenderedPageBreak/>
        <w:t>(b)</w:t>
      </w:r>
    </w:p>
    <w:p w:rsidR="00A40303" w:rsidRDefault="00A40303" w:rsidP="00A40303">
      <w:pPr>
        <w:pStyle w:val="MDPI51figurecaption"/>
      </w:pPr>
      <w:r>
        <w:rPr>
          <w:noProof/>
          <w:lang w:val="en-IE" w:eastAsia="en-IE" w:bidi="ar-SA"/>
        </w:rPr>
        <w:drawing>
          <wp:inline distT="0" distB="0" distL="0" distR="0" wp14:anchorId="17E9F718" wp14:editId="05B914FC">
            <wp:extent cx="5615940" cy="7284720"/>
            <wp:effectExtent l="0" t="0" r="381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S2 264 246 1_6.t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728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303" w:rsidRDefault="00A40303" w:rsidP="00A40303">
      <w:pPr>
        <w:pStyle w:val="MDPI51figurecaption"/>
      </w:pPr>
      <w:r>
        <w:rPr>
          <w:b/>
        </w:rPr>
        <w:t xml:space="preserve">Supplementary figure </w:t>
      </w:r>
      <w:r w:rsidR="004E3949">
        <w:rPr>
          <w:b/>
        </w:rPr>
        <w:t>S</w:t>
      </w:r>
      <w:r>
        <w:rPr>
          <w:b/>
        </w:rPr>
        <w:t>2</w:t>
      </w:r>
      <w:r w:rsidRPr="00E51881">
        <w:rPr>
          <w:b/>
        </w:rPr>
        <w:t>.</w:t>
      </w:r>
      <w:r>
        <w:rPr>
          <w:b/>
        </w:rPr>
        <w:t xml:space="preserve"> </w:t>
      </w:r>
      <w:r w:rsidRPr="00257370">
        <w:t>(</w:t>
      </w:r>
      <w:r w:rsidRPr="004E3949">
        <w:t>a</w:t>
      </w:r>
      <w:r w:rsidR="004E3949" w:rsidRPr="004E3949">
        <w:t>)</w:t>
      </w:r>
      <w:r w:rsidRPr="004E3949">
        <w:t xml:space="preserve"> Extracted ion chromatographs (EIC) profiling molecules with characteristic m/z 264, 248 fragments in MS/MS. Individual molecules containing these features are numbered </w:t>
      </w:r>
      <w:r w:rsidRPr="004E3949">
        <w:rPr>
          <w:b/>
        </w:rPr>
        <w:t>1</w:t>
      </w:r>
      <w:r w:rsidRPr="004E3949">
        <w:t>-</w:t>
      </w:r>
      <w:r w:rsidRPr="004E3949">
        <w:rPr>
          <w:b/>
        </w:rPr>
        <w:t>6</w:t>
      </w:r>
      <w:r w:rsidRPr="004E3949">
        <w:t xml:space="preserve">. (c) MS/MS spectra of molecules </w:t>
      </w:r>
      <w:r w:rsidRPr="004E3949">
        <w:rPr>
          <w:b/>
        </w:rPr>
        <w:t>1</w:t>
      </w:r>
      <w:r w:rsidRPr="004E3949">
        <w:t>-</w:t>
      </w:r>
      <w:r w:rsidRPr="004E3949">
        <w:rPr>
          <w:b/>
        </w:rPr>
        <w:t>6,</w:t>
      </w:r>
      <w:r w:rsidRPr="004E3949">
        <w:t xml:space="preserve"> generating characteristic fragment ions (flanked by blue lines).</w:t>
      </w:r>
    </w:p>
    <w:p w:rsidR="00CA2010" w:rsidRDefault="00CA2010"/>
    <w:sectPr w:rsidR="00CA20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303"/>
    <w:rsid w:val="004E3949"/>
    <w:rsid w:val="005B2A74"/>
    <w:rsid w:val="008B0D04"/>
    <w:rsid w:val="00A40303"/>
    <w:rsid w:val="00CA2010"/>
    <w:rsid w:val="00E10EA7"/>
    <w:rsid w:val="00E73AA3"/>
    <w:rsid w:val="00EE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12DC7"/>
  <w15:chartTrackingRefBased/>
  <w15:docId w15:val="{D3F4A7DC-BEB0-40C1-9328-27BA5A401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303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51figurecaption">
    <w:name w:val="MDPI_5.1_figure_caption"/>
    <w:basedOn w:val="Normal"/>
    <w:qFormat/>
    <w:rsid w:val="00A40303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  <w:style w:type="paragraph" w:customStyle="1" w:styleId="MDPI52figure">
    <w:name w:val="MDPI_5.2_figure"/>
    <w:qFormat/>
    <w:rsid w:val="00A40303"/>
    <w:pPr>
      <w:spacing w:after="0" w:line="240" w:lineRule="auto"/>
      <w:jc w:val="center"/>
    </w:pPr>
    <w:rPr>
      <w:rFonts w:ascii="Palatino Linotype" w:eastAsia="Times New Roman" w:hAnsi="Palatino Linotype"/>
      <w:snapToGrid w:val="0"/>
      <w:color w:val="000000"/>
      <w:sz w:val="24"/>
      <w:szCs w:val="20"/>
      <w:lang w:val="en-US" w:eastAsia="de-DE" w:bidi="en-US"/>
    </w:rPr>
  </w:style>
  <w:style w:type="paragraph" w:customStyle="1" w:styleId="MDPI11articletype">
    <w:name w:val="MDPI_1.1_article_type"/>
    <w:basedOn w:val="Normal"/>
    <w:next w:val="MDPI12title"/>
    <w:qFormat/>
    <w:rsid w:val="005B2A74"/>
    <w:pPr>
      <w:adjustRightInd w:val="0"/>
      <w:snapToGrid w:val="0"/>
      <w:spacing w:before="240" w:line="240" w:lineRule="auto"/>
      <w:jc w:val="left"/>
    </w:pPr>
    <w:rPr>
      <w:rFonts w:ascii="Palatino Linotype" w:hAnsi="Palatino Linotype"/>
      <w:i/>
      <w:snapToGrid w:val="0"/>
      <w:sz w:val="20"/>
      <w:szCs w:val="22"/>
      <w:lang w:bidi="en-US"/>
    </w:rPr>
  </w:style>
  <w:style w:type="paragraph" w:customStyle="1" w:styleId="MDPI12title">
    <w:name w:val="MDPI_1.2_title"/>
    <w:next w:val="Normal"/>
    <w:qFormat/>
    <w:rsid w:val="005B2A74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Owens</dc:creator>
  <cp:keywords/>
  <dc:description/>
  <cp:lastModifiedBy>Rebecca Owens</cp:lastModifiedBy>
  <cp:revision>2</cp:revision>
  <dcterms:created xsi:type="dcterms:W3CDTF">2017-09-06T18:20:00Z</dcterms:created>
  <dcterms:modified xsi:type="dcterms:W3CDTF">2017-09-08T11:16:00Z</dcterms:modified>
</cp:coreProperties>
</file>