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D835B" w14:textId="77777777" w:rsidR="00873C5D" w:rsidRPr="00B56D72" w:rsidRDefault="00873C5D" w:rsidP="00873C5D">
      <w:pPr>
        <w:spacing w:after="60" w:line="48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Supplementary Dataset </w:t>
      </w:r>
      <w:r w:rsidR="00ED1E18">
        <w:rPr>
          <w:rFonts w:ascii="Calibri" w:hAnsi="Calibri"/>
          <w:b/>
        </w:rPr>
        <w:t>S</w:t>
      </w:r>
      <w:bookmarkStart w:id="0" w:name="_GoBack"/>
      <w:bookmarkEnd w:id="0"/>
      <w:r>
        <w:rPr>
          <w:rFonts w:ascii="Calibri" w:hAnsi="Calibri"/>
          <w:b/>
        </w:rPr>
        <w:t>4</w:t>
      </w:r>
      <w:r w:rsidRPr="00B56D72">
        <w:rPr>
          <w:rFonts w:ascii="Calibri" w:hAnsi="Calibri"/>
          <w:b/>
        </w:rPr>
        <w:t xml:space="preserve">. </w:t>
      </w:r>
      <w:r w:rsidRPr="00B56D72">
        <w:rPr>
          <w:rFonts w:ascii="Calibri" w:hAnsi="Calibri"/>
        </w:rPr>
        <w:t xml:space="preserve">Differentially expressed </w:t>
      </w:r>
      <w:r w:rsidRPr="00B56D72">
        <w:rPr>
          <w:rFonts w:ascii="Calibri" w:hAnsi="Calibri"/>
          <w:bCs/>
          <w:i/>
          <w:color w:val="000000"/>
          <w:lang w:eastAsia="zh-CN"/>
        </w:rPr>
        <w:t>Epichloë festucae</w:t>
      </w:r>
      <w:r>
        <w:rPr>
          <w:rFonts w:ascii="Calibri" w:hAnsi="Calibri"/>
        </w:rPr>
        <w:t xml:space="preserve"> genes related to transport at false discovery r</w:t>
      </w:r>
      <w:r w:rsidRPr="00B56D72">
        <w:rPr>
          <w:rFonts w:ascii="Calibri" w:hAnsi="Calibri"/>
        </w:rPr>
        <w:t>ate</w:t>
      </w:r>
      <w:r>
        <w:rPr>
          <w:rFonts w:ascii="Calibri" w:hAnsi="Calibri"/>
        </w:rPr>
        <w:t xml:space="preserve"> adjusted</w:t>
      </w:r>
      <w:r w:rsidRPr="00B56D72">
        <w:rPr>
          <w:rFonts w:ascii="Calibri" w:hAnsi="Calibri"/>
        </w:rPr>
        <w:t xml:space="preserve"> </w:t>
      </w:r>
      <w:r w:rsidRPr="00B56D72">
        <w:rPr>
          <w:rFonts w:ascii="Calibri" w:hAnsi="Calibri"/>
          <w:i/>
        </w:rPr>
        <w:t>p</w:t>
      </w:r>
      <w:r w:rsidRPr="00B56D72">
        <w:rPr>
          <w:rFonts w:ascii="Calibri" w:hAnsi="Calibri"/>
        </w:rPr>
        <w:t xml:space="preserve"> &lt; 0.01</w:t>
      </w:r>
    </w:p>
    <w:tbl>
      <w:tblPr>
        <w:tblW w:w="80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5"/>
        <w:gridCol w:w="850"/>
      </w:tblGrid>
      <w:tr w:rsidR="00873C5D" w:rsidRPr="00B56D72" w14:paraId="3D93473E" w14:textId="77777777" w:rsidTr="004A2892">
        <w:trPr>
          <w:trHeight w:val="340"/>
        </w:trPr>
        <w:tc>
          <w:tcPr>
            <w:tcW w:w="7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CD518D8" w14:textId="77777777" w:rsidR="00873C5D" w:rsidRPr="00B56D72" w:rsidRDefault="00873C5D" w:rsidP="004A289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56D72">
              <w:rPr>
                <w:rFonts w:ascii="Calibri" w:hAnsi="Calibri"/>
                <w:b/>
                <w:sz w:val="22"/>
                <w:szCs w:val="22"/>
              </w:rPr>
              <w:t>Gene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26E7B1" w14:textId="77777777" w:rsidR="00873C5D" w:rsidRPr="00B56D72" w:rsidRDefault="00873C5D" w:rsidP="004A2892">
            <w:pPr>
              <w:ind w:left="-108" w:right="-10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56D72">
              <w:rPr>
                <w:rFonts w:ascii="Calibri" w:hAnsi="Calibri"/>
                <w:b/>
                <w:sz w:val="22"/>
                <w:szCs w:val="22"/>
              </w:rPr>
              <w:t>Log</w:t>
            </w:r>
            <w:r w:rsidRPr="00B56D72">
              <w:rPr>
                <w:rFonts w:ascii="Calibri" w:hAnsi="Calibri"/>
                <w:b/>
                <w:sz w:val="22"/>
                <w:szCs w:val="22"/>
                <w:vertAlign w:val="subscript"/>
              </w:rPr>
              <w:t>2</w:t>
            </w:r>
            <w:r w:rsidRPr="00B56D72">
              <w:rPr>
                <w:rFonts w:ascii="Calibri" w:hAnsi="Calibri"/>
                <w:b/>
                <w:sz w:val="22"/>
                <w:szCs w:val="22"/>
              </w:rPr>
              <w:t xml:space="preserve"> FC</w:t>
            </w:r>
            <w:r w:rsidRPr="00B56D72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a</w:t>
            </w:r>
          </w:p>
        </w:tc>
      </w:tr>
      <w:tr w:rsidR="00873C5D" w:rsidRPr="00B56D72" w14:paraId="0FED88C3" w14:textId="77777777" w:rsidTr="004A2892">
        <w:trPr>
          <w:trHeight w:val="300"/>
        </w:trPr>
        <w:tc>
          <w:tcPr>
            <w:tcW w:w="72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FC79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EfM3.017590_2 Major facilitator superfamily, possible iron siderophore transporter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9DD3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12.9</w:t>
            </w:r>
          </w:p>
        </w:tc>
      </w:tr>
      <w:tr w:rsidR="00873C5D" w:rsidRPr="00B56D72" w14:paraId="15BF96BB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A463E7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 xml:space="preserve">EfM3.019610_1 </w:t>
            </w:r>
            <w:r w:rsidRPr="00B56D72">
              <w:rPr>
                <w:rFonts w:ascii="Calibri" w:hAnsi="Calibri"/>
                <w:i/>
                <w:sz w:val="20"/>
                <w:szCs w:val="20"/>
              </w:rPr>
              <w:t>Efe</w:t>
            </w:r>
            <w:r w:rsidRPr="00B56D72">
              <w:rPr>
                <w:rFonts w:ascii="Calibri" w:hAnsi="Calibri"/>
                <w:sz w:val="20"/>
                <w:szCs w:val="20"/>
              </w:rPr>
              <w:t>-MfsB; membrane transporter protein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995E34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4.5</w:t>
            </w:r>
          </w:p>
        </w:tc>
      </w:tr>
      <w:tr w:rsidR="00873C5D" w:rsidRPr="00B56D72" w14:paraId="048DDC9D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06535B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EfM3.028310_1 Major facilitator superfamily, sugar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B8B893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4.1</w:t>
            </w:r>
          </w:p>
        </w:tc>
      </w:tr>
      <w:tr w:rsidR="00873C5D" w:rsidRPr="00B56D72" w14:paraId="3EBE9368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55143A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EfM3.054480_1 ABC type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F5E0D1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2.5</w:t>
            </w:r>
          </w:p>
        </w:tc>
      </w:tr>
      <w:tr w:rsidR="00873C5D" w:rsidRPr="00B56D72" w14:paraId="200B0B1D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29E2AF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EfM3.054490_2 Major facilitator superfamily, sugar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EA2E9C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4.6</w:t>
            </w:r>
          </w:p>
        </w:tc>
      </w:tr>
      <w:tr w:rsidR="00873C5D" w:rsidRPr="00B56D72" w14:paraId="75167E23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B61559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EfM3.059060_1 Golgi transport complex subunit COG4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5DF1E9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13.5</w:t>
            </w:r>
          </w:p>
        </w:tc>
      </w:tr>
      <w:tr w:rsidR="00873C5D" w:rsidRPr="00B56D72" w14:paraId="246DB5B6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F206B6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EfM3.073030_1 Mitochondrial amino acid transporter arg-13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F87A04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2.5</w:t>
            </w:r>
          </w:p>
        </w:tc>
      </w:tr>
      <w:tr w:rsidR="00873C5D" w:rsidRPr="00B56D72" w14:paraId="414483E4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E0BAD2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EfM3.076540_1 Oligopeptide transporter OPT superfamily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6BCA82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3.6</w:t>
            </w:r>
          </w:p>
        </w:tc>
      </w:tr>
      <w:tr w:rsidR="00873C5D" w:rsidRPr="00B56D72" w14:paraId="2DF31C98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84912C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EfM3.056950_1 Amino acid permease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C252E7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13.6</w:t>
            </w:r>
          </w:p>
        </w:tc>
      </w:tr>
      <w:tr w:rsidR="00873C5D" w:rsidRPr="00B56D72" w14:paraId="2E57AFD2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9CC14B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EfM3.014910_1 Major facilitator superfamily, multidrug resistance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B03E6D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4.4</w:t>
            </w:r>
          </w:p>
        </w:tc>
      </w:tr>
      <w:tr w:rsidR="00873C5D" w:rsidRPr="00B56D72" w14:paraId="1797C7BC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500C50E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EfM3.001040_2 Vacuolar protein sorting vps16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994AC03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14.6</w:t>
            </w:r>
          </w:p>
        </w:tc>
      </w:tr>
      <w:tr w:rsidR="00873C5D" w:rsidRPr="00B56D72" w14:paraId="70831500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4D62634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EfM3.025350_1 Aquaglyceroporin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684677E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3.7</w:t>
            </w:r>
          </w:p>
        </w:tc>
      </w:tr>
      <w:tr w:rsidR="00873C5D" w:rsidRPr="00B56D72" w14:paraId="2743E4F7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FC9A519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EfM3.038260_1 Magnesium-translocating P-type ATPase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5CF92EA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3.3</w:t>
            </w:r>
          </w:p>
        </w:tc>
      </w:tr>
      <w:tr w:rsidR="00873C5D" w:rsidRPr="00B56D72" w14:paraId="717320ED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2B395EB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EfM3.070700_1 Vacuolar protein sorting protein DigA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E8B4F6E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12.7</w:t>
            </w:r>
          </w:p>
        </w:tc>
      </w:tr>
      <w:tr w:rsidR="00873C5D" w:rsidRPr="00B56D72" w14:paraId="5D89BAA8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8C30893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EfM3.073880_1 Aminophospholipid translocase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D2CDF93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3.9</w:t>
            </w:r>
          </w:p>
        </w:tc>
      </w:tr>
      <w:tr w:rsidR="00873C5D" w:rsidRPr="00B56D72" w14:paraId="44D74047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7CA97FA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EfM3.014790_1 ABC multidrug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234F63D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-6.8</w:t>
            </w:r>
          </w:p>
        </w:tc>
      </w:tr>
      <w:tr w:rsidR="00873C5D" w:rsidRPr="00B56D72" w14:paraId="016894E1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C9AD87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EfM3.017940_1 Major facilitator superfamily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12D455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-5.5</w:t>
            </w:r>
          </w:p>
        </w:tc>
      </w:tr>
      <w:tr w:rsidR="00873C5D" w:rsidRPr="00B56D72" w14:paraId="3A7F9CE1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24209B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EfM3.027570_1 Major facilitator superfamily, possible peptide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039BE0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-3.8</w:t>
            </w:r>
          </w:p>
        </w:tc>
      </w:tr>
      <w:tr w:rsidR="00873C5D" w:rsidRPr="00B56D72" w14:paraId="08489F3B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B24448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EfM3.029870_1 Major facilitator superfamily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F26CE6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-2.6</w:t>
            </w:r>
          </w:p>
        </w:tc>
      </w:tr>
      <w:tr w:rsidR="00873C5D" w:rsidRPr="00B56D72" w14:paraId="7386E0B8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114EA8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EfM3.047170_1 Permease, cytosine/purine, uracil, thiamine, allantoin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037405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-2.5</w:t>
            </w:r>
          </w:p>
        </w:tc>
      </w:tr>
      <w:tr w:rsidR="00873C5D" w:rsidRPr="00B56D72" w14:paraId="14FA8E85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67EB2E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EfM3.056220_1 ABC-type multidrug transport system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B612C2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-5.7</w:t>
            </w:r>
          </w:p>
        </w:tc>
      </w:tr>
      <w:tr w:rsidR="00873C5D" w:rsidRPr="00B56D72" w14:paraId="658D04AC" w14:textId="77777777" w:rsidTr="004A2892">
        <w:trPr>
          <w:trHeight w:val="300"/>
        </w:trPr>
        <w:tc>
          <w:tcPr>
            <w:tcW w:w="724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3A4953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EfM3.069880_1 Major facilitator superfamily transporter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1BDA28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-4.0</w:t>
            </w:r>
          </w:p>
        </w:tc>
      </w:tr>
      <w:tr w:rsidR="00873C5D" w:rsidRPr="00B56D72" w14:paraId="07ADD820" w14:textId="77777777" w:rsidTr="004A2892">
        <w:trPr>
          <w:trHeight w:val="300"/>
        </w:trPr>
        <w:tc>
          <w:tcPr>
            <w:tcW w:w="724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3A03" w14:textId="77777777" w:rsidR="00873C5D" w:rsidRPr="00B56D72" w:rsidRDefault="00873C5D" w:rsidP="004A2892">
            <w:pPr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EfM3.082040_1 Major facilitator superfamily transporter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4C7" w14:textId="77777777" w:rsidR="00873C5D" w:rsidRPr="00B56D72" w:rsidRDefault="00873C5D" w:rsidP="004A2892">
            <w:pPr>
              <w:tabs>
                <w:tab w:val="decimal" w:pos="317"/>
              </w:tabs>
              <w:ind w:left="-108"/>
              <w:rPr>
                <w:rFonts w:ascii="Calibri" w:hAnsi="Calibri"/>
                <w:sz w:val="20"/>
                <w:szCs w:val="20"/>
              </w:rPr>
            </w:pPr>
            <w:r w:rsidRPr="00B56D72">
              <w:rPr>
                <w:rFonts w:ascii="Calibri" w:hAnsi="Calibri"/>
                <w:sz w:val="20"/>
                <w:szCs w:val="20"/>
              </w:rPr>
              <w:t>-2.4</w:t>
            </w:r>
          </w:p>
        </w:tc>
      </w:tr>
    </w:tbl>
    <w:p w14:paraId="3348EF16" w14:textId="77777777" w:rsidR="00B0391A" w:rsidRPr="00873C5D" w:rsidRDefault="00873C5D">
      <w:pPr>
        <w:rPr>
          <w:rFonts w:ascii="Calibri" w:hAnsi="Calibri"/>
          <w:bCs/>
          <w:color w:val="000000"/>
          <w:szCs w:val="20"/>
        </w:rPr>
      </w:pPr>
      <w:r w:rsidRPr="00AF582C">
        <w:rPr>
          <w:rFonts w:ascii="Calibri" w:hAnsi="Calibri"/>
          <w:color w:val="000000"/>
          <w:szCs w:val="20"/>
          <w:vertAlign w:val="superscript"/>
        </w:rPr>
        <w:t xml:space="preserve">a </w:t>
      </w:r>
      <w:r w:rsidRPr="00AF582C">
        <w:rPr>
          <w:rFonts w:ascii="Calibri" w:hAnsi="Calibri"/>
          <w:bCs/>
          <w:color w:val="000000"/>
          <w:szCs w:val="20"/>
        </w:rPr>
        <w:t>Positive Log</w:t>
      </w:r>
      <w:r w:rsidRPr="00AF582C">
        <w:rPr>
          <w:rFonts w:ascii="Calibri" w:hAnsi="Calibri"/>
          <w:bCs/>
          <w:color w:val="000000"/>
          <w:szCs w:val="20"/>
          <w:vertAlign w:val="subscript"/>
        </w:rPr>
        <w:t>2</w:t>
      </w:r>
      <w:r w:rsidRPr="00AF582C">
        <w:rPr>
          <w:rFonts w:ascii="Calibri" w:hAnsi="Calibri"/>
          <w:bCs/>
          <w:color w:val="000000"/>
          <w:szCs w:val="20"/>
        </w:rPr>
        <w:t xml:space="preserve"> fold change (FC) </w:t>
      </w:r>
      <w:r>
        <w:rPr>
          <w:rFonts w:ascii="Calibri" w:hAnsi="Calibri"/>
          <w:bCs/>
          <w:color w:val="000000"/>
          <w:szCs w:val="20"/>
        </w:rPr>
        <w:t>value</w:t>
      </w:r>
      <w:r w:rsidRPr="00AF582C">
        <w:rPr>
          <w:rFonts w:ascii="Calibri" w:hAnsi="Calibri"/>
          <w:bCs/>
          <w:color w:val="000000"/>
          <w:szCs w:val="20"/>
        </w:rPr>
        <w:t xml:space="preserve"> indicate</w:t>
      </w:r>
      <w:r>
        <w:rPr>
          <w:rFonts w:ascii="Calibri" w:hAnsi="Calibri"/>
          <w:bCs/>
          <w:color w:val="000000"/>
          <w:szCs w:val="20"/>
        </w:rPr>
        <w:t>s</w:t>
      </w:r>
      <w:r w:rsidRPr="00AF582C">
        <w:rPr>
          <w:rFonts w:ascii="Calibri" w:hAnsi="Calibri"/>
          <w:bCs/>
          <w:color w:val="000000"/>
          <w:szCs w:val="20"/>
        </w:rPr>
        <w:t xml:space="preserve"> the gene was more highly expressed in the choke stroma tissue</w:t>
      </w:r>
      <w:r>
        <w:rPr>
          <w:rFonts w:ascii="Calibri" w:hAnsi="Calibri"/>
          <w:bCs/>
          <w:color w:val="000000"/>
          <w:szCs w:val="20"/>
        </w:rPr>
        <w:t xml:space="preserve"> and negative fold change value</w:t>
      </w:r>
      <w:r w:rsidRPr="00AF582C">
        <w:rPr>
          <w:rFonts w:ascii="Calibri" w:hAnsi="Calibri"/>
          <w:bCs/>
          <w:color w:val="000000"/>
          <w:szCs w:val="20"/>
        </w:rPr>
        <w:t xml:space="preserve"> indicate</w:t>
      </w:r>
      <w:r>
        <w:rPr>
          <w:rFonts w:ascii="Calibri" w:hAnsi="Calibri"/>
          <w:bCs/>
          <w:color w:val="000000"/>
          <w:szCs w:val="20"/>
        </w:rPr>
        <w:t>s</w:t>
      </w:r>
      <w:r w:rsidRPr="00AF582C">
        <w:rPr>
          <w:rFonts w:ascii="Calibri" w:hAnsi="Calibri"/>
          <w:bCs/>
          <w:color w:val="000000"/>
          <w:szCs w:val="20"/>
        </w:rPr>
        <w:t xml:space="preserve"> the gene was more highly expressed in the asymptomatic inflorescence tissue.</w:t>
      </w:r>
    </w:p>
    <w:sectPr w:rsidR="00B0391A" w:rsidRPr="00873C5D" w:rsidSect="009831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5D"/>
    <w:rsid w:val="00873C5D"/>
    <w:rsid w:val="00983129"/>
    <w:rsid w:val="00B0391A"/>
    <w:rsid w:val="00ED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847F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1501</Characters>
  <Application>Microsoft Macintosh Word</Application>
  <DocSecurity>0</DocSecurity>
  <Lines>12</Lines>
  <Paragraphs>3</Paragraphs>
  <ScaleCrop>false</ScaleCrop>
  <Company>Rutgers University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 Belanger</dc:creator>
  <cp:keywords/>
  <dc:description/>
  <cp:lastModifiedBy>Faith Belanger</cp:lastModifiedBy>
  <cp:revision>2</cp:revision>
  <dcterms:created xsi:type="dcterms:W3CDTF">2019-09-09T18:12:00Z</dcterms:created>
  <dcterms:modified xsi:type="dcterms:W3CDTF">2019-09-09T18:15:00Z</dcterms:modified>
</cp:coreProperties>
</file>