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39F" w:rsidRDefault="00DA339F" w:rsidP="00DA3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05C22">
        <w:rPr>
          <w:rFonts w:ascii="Times New Roman" w:hAnsi="Times New Roman" w:cs="Times New Roman"/>
          <w:b/>
          <w:sz w:val="24"/>
          <w:szCs w:val="24"/>
          <w:lang w:val="en-US"/>
        </w:rPr>
        <w:t>Table S1:</w:t>
      </w:r>
      <w:r w:rsidRPr="00105C22">
        <w:rPr>
          <w:rFonts w:ascii="Times New Roman" w:hAnsi="Times New Roman" w:cs="Times New Roman"/>
          <w:sz w:val="24"/>
          <w:szCs w:val="24"/>
          <w:lang w:val="en-US"/>
        </w:rPr>
        <w:t xml:space="preserve"> Ingredients and chemical composition of experimental feeds.</w:t>
      </w:r>
    </w:p>
    <w:p w:rsidR="00743E2D" w:rsidRPr="00BE3C97" w:rsidRDefault="00743E2D" w:rsidP="00743E2D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6"/>
        <w:gridCol w:w="222"/>
        <w:gridCol w:w="856"/>
        <w:gridCol w:w="222"/>
        <w:gridCol w:w="1763"/>
      </w:tblGrid>
      <w:tr w:rsidR="00743E2D" w:rsidRPr="00BE3C97" w:rsidTr="00576127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Ingredients (100g/kg)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Grower-finisher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Maize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36.00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46.9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Soybean meal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27.00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25.00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Corn gluten meal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19.6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Corn gluten bran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15.1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Maize distillers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9.00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Rice bran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Rice polishing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5.10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Bran 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4.00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Soybean oil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1.50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Calcium carbonate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1.29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1.37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Dicalcium</w:t>
            </w:r>
            <w:proofErr w:type="spellEnd"/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phosphate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Sodium chloride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0.30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Sodium bicarbonate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--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Premix</w:t>
            </w:r>
            <w:r w:rsidRPr="00BE3C9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0.76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0.73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Chemical Composition (%)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Dry matter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89.15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89.56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Crude protein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22.27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21.37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 extract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5.37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6.75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Ash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6.45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5.33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NDF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13.84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12.63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ADF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3.69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Lignine</w:t>
            </w:r>
            <w:proofErr w:type="spellEnd"/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0.48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0.49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Lysine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(calculated)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1.16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0.79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Methionine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(calculated)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0.35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Calcium</w:t>
            </w: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1.10</w:t>
            </w:r>
          </w:p>
        </w:tc>
        <w:tc>
          <w:tcPr>
            <w:tcW w:w="0" w:type="auto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C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1.00</w:t>
            </w:r>
          </w:p>
        </w:tc>
      </w:tr>
      <w:tr w:rsidR="00743E2D" w:rsidRPr="00BE3C97" w:rsidTr="00576127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743E2D" w:rsidRPr="00BE3C97" w:rsidRDefault="00743E2D" w:rsidP="00576127">
            <w:pPr>
              <w:spacing w:line="320" w:lineRule="atLeast"/>
              <w:ind w:left="17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Phosohorus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743E2D" w:rsidRPr="00BE3C97" w:rsidRDefault="00743E2D" w:rsidP="00576127">
            <w:pPr>
              <w:spacing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0.44</w:t>
            </w:r>
          </w:p>
        </w:tc>
      </w:tr>
    </w:tbl>
    <w:p w:rsidR="00743E2D" w:rsidRPr="00BE3C97" w:rsidRDefault="00743E2D" w:rsidP="00743E2D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3E2D" w:rsidRPr="00BE3C97" w:rsidRDefault="00743E2D" w:rsidP="00743E2D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E3C9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Mineral and vitamin Premix composition: </w:t>
      </w:r>
      <w:proofErr w:type="spellStart"/>
      <w:r w:rsidRPr="00BE3C97">
        <w:rPr>
          <w:rFonts w:ascii="Times New Roman" w:hAnsi="Times New Roman" w:cs="Times New Roman"/>
          <w:sz w:val="24"/>
          <w:szCs w:val="24"/>
          <w:lang w:val="en-US"/>
        </w:rPr>
        <w:t>Retinyl</w:t>
      </w:r>
      <w:proofErr w:type="spellEnd"/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 acetate 3a672a 10000 I.U., vitamin D3 E671 4500 I.U., vitamin E 3a700 50.00 mg, vitamin K 4.00 mg, vitamin B1 2.5 mg, vitamin B2 10.00 mg, vitamin B6 3a831 1.0 mg, vitamin B12 0.025 mg, biotin 3e800 0.20 mg, </w:t>
      </w:r>
      <w:proofErr w:type="spellStart"/>
      <w:r w:rsidRPr="00BE3C97">
        <w:rPr>
          <w:rFonts w:ascii="Times New Roman" w:hAnsi="Times New Roman" w:cs="Times New Roman"/>
          <w:sz w:val="24"/>
          <w:szCs w:val="24"/>
          <w:lang w:val="en-US"/>
        </w:rPr>
        <w:t>niacinamide</w:t>
      </w:r>
      <w:proofErr w:type="spellEnd"/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 3a315 20.00 mg, folic acid 3a316 0.50 mg, calcium </w:t>
      </w:r>
      <w:proofErr w:type="spellStart"/>
      <w:r w:rsidRPr="00BE3C97">
        <w:rPr>
          <w:rFonts w:ascii="Times New Roman" w:hAnsi="Times New Roman" w:cs="Times New Roman"/>
          <w:sz w:val="24"/>
          <w:szCs w:val="24"/>
          <w:lang w:val="en-US"/>
        </w:rPr>
        <w:t>pantothenate</w:t>
      </w:r>
      <w:proofErr w:type="spellEnd"/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 3a841 15.00 mg, ferrous carbonate 62.1 mg, ferric oxide 772 mg, potassium iodide 1.31 mg, copper </w:t>
      </w:r>
      <w:proofErr w:type="spellStart"/>
      <w:r w:rsidRPr="00BE3C97">
        <w:rPr>
          <w:rFonts w:ascii="Times New Roman" w:hAnsi="Times New Roman" w:cs="Times New Roman"/>
          <w:sz w:val="24"/>
          <w:szCs w:val="24"/>
          <w:lang w:val="en-US"/>
        </w:rPr>
        <w:t>sulphate</w:t>
      </w:r>
      <w:proofErr w:type="spellEnd"/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3C97">
        <w:rPr>
          <w:rFonts w:ascii="Times New Roman" w:hAnsi="Times New Roman" w:cs="Times New Roman"/>
          <w:sz w:val="24"/>
          <w:szCs w:val="24"/>
          <w:lang w:val="en-US"/>
        </w:rPr>
        <w:t>pentahydrate</w:t>
      </w:r>
      <w:proofErr w:type="spellEnd"/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 9.83 mg, manganese oxide 193.5 mg, zinc oxide 74,4 mg, DL-methionine 500 mg, phytase250 OUT, beta-</w:t>
      </w:r>
      <w:proofErr w:type="spellStart"/>
      <w:r w:rsidRPr="00BE3C97">
        <w:rPr>
          <w:rFonts w:ascii="Times New Roman" w:hAnsi="Times New Roman" w:cs="Times New Roman"/>
          <w:sz w:val="24"/>
          <w:szCs w:val="24"/>
          <w:lang w:val="en-US"/>
        </w:rPr>
        <w:t>glucanase</w:t>
      </w:r>
      <w:proofErr w:type="spellEnd"/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 56 U, </w:t>
      </w:r>
      <w:proofErr w:type="spellStart"/>
      <w:r w:rsidRPr="00BE3C97">
        <w:rPr>
          <w:rFonts w:ascii="Times New Roman" w:hAnsi="Times New Roman" w:cs="Times New Roman"/>
          <w:sz w:val="24"/>
          <w:szCs w:val="24"/>
          <w:lang w:val="en-US"/>
        </w:rPr>
        <w:t>xilanase</w:t>
      </w:r>
      <w:proofErr w:type="spellEnd"/>
      <w:r w:rsidRPr="00BE3C97">
        <w:rPr>
          <w:rFonts w:ascii="Times New Roman" w:hAnsi="Times New Roman" w:cs="Times New Roman"/>
          <w:sz w:val="24"/>
          <w:szCs w:val="24"/>
          <w:lang w:val="en-US"/>
        </w:rPr>
        <w:t xml:space="preserve"> 216 U.</w:t>
      </w:r>
      <w:proofErr w:type="gramEnd"/>
    </w:p>
    <w:p w:rsidR="00743E2D" w:rsidRDefault="00743E2D" w:rsidP="00743E2D">
      <w:pPr>
        <w:rPr>
          <w:lang w:val="en-US"/>
        </w:rPr>
      </w:pPr>
    </w:p>
    <w:p w:rsidR="0008724C" w:rsidRPr="00743E2D" w:rsidRDefault="00DA339F">
      <w:pPr>
        <w:rPr>
          <w:lang w:val="en-US"/>
        </w:rPr>
      </w:pPr>
    </w:p>
    <w:sectPr w:rsidR="0008724C" w:rsidRPr="00743E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E2D"/>
    <w:rsid w:val="000B18BB"/>
    <w:rsid w:val="00743E2D"/>
    <w:rsid w:val="00AD2EAB"/>
    <w:rsid w:val="00DA339F"/>
    <w:rsid w:val="00E1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808CE6-3594-4675-9A95-2D5C2B1C4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E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43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Romana Massacci</dc:creator>
  <cp:keywords/>
  <dc:description/>
  <cp:lastModifiedBy>Francesca Romana Massacci</cp:lastModifiedBy>
  <cp:revision>3</cp:revision>
  <dcterms:created xsi:type="dcterms:W3CDTF">2019-10-12T10:13:00Z</dcterms:created>
  <dcterms:modified xsi:type="dcterms:W3CDTF">2019-10-19T15:33:00Z</dcterms:modified>
</cp:coreProperties>
</file>