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406" w:rsidRPr="00501085" w:rsidRDefault="00022B22" w:rsidP="00107406">
      <w:pPr>
        <w:spacing w:line="480" w:lineRule="auto"/>
        <w:jc w:val="both"/>
        <w:rPr>
          <w:lang w:val="en-US"/>
        </w:rPr>
      </w:pPr>
      <w:r>
        <w:rPr>
          <w:b/>
          <w:lang w:val="en-US"/>
        </w:rPr>
        <w:t>Table S4</w:t>
      </w:r>
      <w:r w:rsidR="00107406" w:rsidRPr="00D46B0A">
        <w:rPr>
          <w:b/>
          <w:lang w:val="en-US"/>
        </w:rPr>
        <w:t>.</w:t>
      </w:r>
      <w:r w:rsidR="00107406" w:rsidRPr="00BE58F4">
        <w:rPr>
          <w:lang w:val="en-US"/>
        </w:rPr>
        <w:t xml:space="preserve"> </w:t>
      </w:r>
      <w:r w:rsidR="00056DE9">
        <w:rPr>
          <w:lang w:val="en-US"/>
        </w:rPr>
        <w:t>BIOLOG</w:t>
      </w:r>
      <w:r w:rsidR="00107406">
        <w:rPr>
          <w:lang w:val="en-US"/>
        </w:rPr>
        <w:t xml:space="preserve"> </w:t>
      </w:r>
      <w:r w:rsidR="00BA5074">
        <w:rPr>
          <w:lang w:val="en-US"/>
        </w:rPr>
        <w:t>PM</w:t>
      </w:r>
      <w:r w:rsidR="00107406" w:rsidRPr="000A49E3">
        <w:rPr>
          <w:lang w:val="en-US"/>
        </w:rPr>
        <w:t xml:space="preserve"> </w:t>
      </w:r>
      <w:r w:rsidR="00BA5074">
        <w:rPr>
          <w:lang w:val="en-US"/>
        </w:rPr>
        <w:t>p</w:t>
      </w:r>
      <w:r w:rsidR="00501085">
        <w:rPr>
          <w:lang w:val="en-US"/>
        </w:rPr>
        <w:t xml:space="preserve">henotypes </w:t>
      </w:r>
      <w:r w:rsidR="00BA5074">
        <w:rPr>
          <w:lang w:val="en-US"/>
        </w:rPr>
        <w:t>detected in</w:t>
      </w:r>
      <w:r w:rsidR="006A0164">
        <w:rPr>
          <w:lang w:val="en-US"/>
        </w:rPr>
        <w:t xml:space="preserve"> </w:t>
      </w:r>
      <w:r w:rsidR="006A0164" w:rsidRPr="006A0164">
        <w:rPr>
          <w:i/>
          <w:lang w:val="en-US"/>
        </w:rPr>
        <w:t>Listeria monocytogenes</w:t>
      </w:r>
      <w:r w:rsidR="00501085">
        <w:rPr>
          <w:lang w:val="en-US"/>
        </w:rPr>
        <w:t xml:space="preserve"> </w:t>
      </w:r>
      <w:r w:rsidR="00501085" w:rsidRPr="000A49E3">
        <w:rPr>
          <w:lang w:val="en-US"/>
        </w:rPr>
        <w:t>∆</w:t>
      </w:r>
      <w:r w:rsidR="00501085" w:rsidRPr="000A49E3">
        <w:rPr>
          <w:i/>
          <w:lang w:val="en-US"/>
        </w:rPr>
        <w:t>sig</w:t>
      </w:r>
      <w:r w:rsidR="00501085">
        <w:rPr>
          <w:i/>
          <w:lang w:val="en-US"/>
        </w:rPr>
        <w:t>B</w:t>
      </w:r>
      <w:r w:rsidR="00501085" w:rsidRPr="000A49E3">
        <w:rPr>
          <w:i/>
          <w:lang w:val="en-US"/>
        </w:rPr>
        <w:t>L</w:t>
      </w:r>
      <w:r w:rsidR="006A0164">
        <w:rPr>
          <w:lang w:val="en-US"/>
        </w:rPr>
        <w:t xml:space="preserve"> but not in </w:t>
      </w:r>
      <w:r w:rsidR="002D3597" w:rsidRPr="002D3597">
        <w:rPr>
          <w:rFonts w:ascii="Symbol" w:hAnsi="Symbol"/>
          <w:lang w:val="en-US"/>
        </w:rPr>
        <w:t></w:t>
      </w:r>
      <w:r w:rsidR="00BA5074" w:rsidRPr="00BA5074">
        <w:rPr>
          <w:i/>
          <w:lang w:val="en-US"/>
        </w:rPr>
        <w:t>sigB</w:t>
      </w:r>
      <w:r w:rsidR="00BA5074">
        <w:rPr>
          <w:lang w:val="en-US"/>
        </w:rPr>
        <w:t xml:space="preserve"> and </w:t>
      </w:r>
      <w:r w:rsidR="002D3597" w:rsidRPr="002D3597">
        <w:rPr>
          <w:rFonts w:ascii="Symbol" w:hAnsi="Symbol"/>
          <w:lang w:val="en-US"/>
        </w:rPr>
        <w:t></w:t>
      </w:r>
      <w:r w:rsidR="00BA5074" w:rsidRPr="00BA5074">
        <w:rPr>
          <w:i/>
          <w:lang w:val="en-US"/>
        </w:rPr>
        <w:t xml:space="preserve">sigL </w:t>
      </w:r>
      <w:r w:rsidR="00BA5074">
        <w:rPr>
          <w:lang w:val="en-US"/>
        </w:rPr>
        <w:t>strains</w:t>
      </w:r>
    </w:p>
    <w:tbl>
      <w:tblPr>
        <w:tblW w:w="903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2268"/>
        <w:gridCol w:w="2835"/>
        <w:gridCol w:w="1276"/>
      </w:tblGrid>
      <w:tr w:rsidR="00107406" w:rsidRPr="00501085" w:rsidTr="00EB367E">
        <w:tc>
          <w:tcPr>
            <w:tcW w:w="2660" w:type="dxa"/>
          </w:tcPr>
          <w:p w:rsidR="00107406" w:rsidRDefault="00107406" w:rsidP="00FD53A5">
            <w:pPr>
              <w:jc w:val="both"/>
              <w:rPr>
                <w:b/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Phenotypic microarray t</w:t>
            </w:r>
            <w:r w:rsidRPr="00EE70E2">
              <w:rPr>
                <w:b/>
                <w:sz w:val="16"/>
                <w:lang w:val="en-US"/>
              </w:rPr>
              <w:t>est</w:t>
            </w:r>
          </w:p>
        </w:tc>
        <w:tc>
          <w:tcPr>
            <w:tcW w:w="2268" w:type="dxa"/>
          </w:tcPr>
          <w:p w:rsidR="00107406" w:rsidRDefault="00107406" w:rsidP="00FD53A5">
            <w:pPr>
              <w:jc w:val="both"/>
              <w:rPr>
                <w:b/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Chemical/S</w:t>
            </w:r>
            <w:r w:rsidRPr="00EE70E2">
              <w:rPr>
                <w:b/>
                <w:sz w:val="16"/>
                <w:lang w:val="en-US"/>
              </w:rPr>
              <w:t>ubstrate</w:t>
            </w:r>
          </w:p>
        </w:tc>
        <w:tc>
          <w:tcPr>
            <w:tcW w:w="2835" w:type="dxa"/>
          </w:tcPr>
          <w:p w:rsidR="00107406" w:rsidRDefault="00107406" w:rsidP="00FD53A5">
            <w:pPr>
              <w:jc w:val="both"/>
              <w:rPr>
                <w:b/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Mode of action</w:t>
            </w:r>
          </w:p>
        </w:tc>
        <w:tc>
          <w:tcPr>
            <w:tcW w:w="1276" w:type="dxa"/>
          </w:tcPr>
          <w:p w:rsidR="00107406" w:rsidRDefault="00107406" w:rsidP="00FD53A5">
            <w:pPr>
              <w:jc w:val="center"/>
              <w:rPr>
                <w:b/>
                <w:sz w:val="16"/>
                <w:lang w:val="en-US"/>
              </w:rPr>
            </w:pPr>
          </w:p>
          <w:p w:rsidR="00107406" w:rsidRDefault="00107406" w:rsidP="00FD53A5">
            <w:pPr>
              <w:jc w:val="center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Phenoty</w:t>
            </w:r>
            <w:r>
              <w:rPr>
                <w:b/>
                <w:sz w:val="16"/>
                <w:lang w:val="en-US"/>
              </w:rPr>
              <w:t>p</w:t>
            </w:r>
            <w:r w:rsidRPr="00EE70E2">
              <w:rPr>
                <w:b/>
                <w:sz w:val="16"/>
                <w:lang w:val="en-US"/>
              </w:rPr>
              <w:t xml:space="preserve">e of </w:t>
            </w:r>
            <w:r>
              <w:rPr>
                <w:b/>
                <w:sz w:val="16"/>
                <w:lang w:val="en-US"/>
              </w:rPr>
              <w:t xml:space="preserve">the </w:t>
            </w:r>
            <w:r w:rsidRPr="00EE70E2">
              <w:rPr>
                <w:b/>
                <w:sz w:val="16"/>
                <w:lang w:val="en-US"/>
              </w:rPr>
              <w:t>EGDe ∆</w:t>
            </w:r>
            <w:r w:rsidRPr="00EE70E2">
              <w:rPr>
                <w:b/>
                <w:i/>
                <w:sz w:val="16"/>
                <w:lang w:val="en-US"/>
              </w:rPr>
              <w:t>sig</w:t>
            </w:r>
            <w:r w:rsidR="00501085">
              <w:rPr>
                <w:b/>
                <w:i/>
                <w:sz w:val="16"/>
                <w:lang w:val="en-US"/>
              </w:rPr>
              <w:t>B</w:t>
            </w:r>
            <w:r w:rsidRPr="00EE70E2">
              <w:rPr>
                <w:b/>
                <w:i/>
                <w:sz w:val="16"/>
                <w:lang w:val="en-US"/>
              </w:rPr>
              <w:t>L</w:t>
            </w:r>
            <w:r w:rsidR="00A243B0">
              <w:rPr>
                <w:b/>
                <w:sz w:val="16"/>
                <w:vertAlign w:val="superscript"/>
                <w:lang w:val="en-US"/>
              </w:rPr>
              <w:t>b</w:t>
            </w:r>
          </w:p>
          <w:p w:rsidR="00107406" w:rsidRPr="00AD30C9" w:rsidRDefault="00107406" w:rsidP="00FD53A5">
            <w:pPr>
              <w:jc w:val="center"/>
              <w:rPr>
                <w:b/>
                <w:sz w:val="16"/>
                <w:lang w:val="en-US"/>
              </w:rPr>
            </w:pPr>
          </w:p>
        </w:tc>
      </w:tr>
      <w:tr w:rsidR="00107406" w:rsidRPr="00EE70E2" w:rsidTr="00242E44">
        <w:tc>
          <w:tcPr>
            <w:tcW w:w="2660" w:type="dxa"/>
            <w:tcBorders>
              <w:bottom w:val="single" w:sz="4" w:space="0" w:color="auto"/>
            </w:tcBorders>
          </w:tcPr>
          <w:p w:rsidR="00107406" w:rsidRPr="00EE70E2" w:rsidRDefault="00BF35C8" w:rsidP="00FD53A5">
            <w:pPr>
              <w:jc w:val="both"/>
              <w:rPr>
                <w:sz w:val="16"/>
                <w:lang w:val="en-US"/>
              </w:rPr>
            </w:pPr>
            <w:r>
              <w:rPr>
                <w:b/>
                <w:bCs/>
                <w:sz w:val="16"/>
                <w:lang w:val="en-US"/>
              </w:rPr>
              <w:t>Metabolism (PM02</w:t>
            </w:r>
            <w:r w:rsidR="00107406" w:rsidRPr="00EE70E2">
              <w:rPr>
                <w:b/>
                <w:bCs/>
                <w:sz w:val="16"/>
                <w:lang w:val="en-US"/>
              </w:rPr>
              <w:t>)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>P</w:t>
            </w:r>
            <w:r>
              <w:rPr>
                <w:sz w:val="16"/>
                <w:lang w:val="en-US"/>
              </w:rPr>
              <w:t>henotypes lost - slower growth/ increased s</w:t>
            </w:r>
            <w:r w:rsidRPr="00EE70E2">
              <w:rPr>
                <w:sz w:val="16"/>
                <w:lang w:val="en-US"/>
              </w:rPr>
              <w:t>ensitivity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BF35C8" w:rsidRDefault="00BF35C8" w:rsidP="00FD53A5">
            <w:pPr>
              <w:jc w:val="both"/>
              <w:rPr>
                <w:b/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Osmotic sensitivity and pH (PM09-PM10)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 xml:space="preserve">Phenotypes lost </w:t>
            </w:r>
            <w:r>
              <w:rPr>
                <w:sz w:val="16"/>
                <w:lang w:val="en-US"/>
              </w:rPr>
              <w:t>– slower growth/ increased s</w:t>
            </w:r>
            <w:r w:rsidRPr="00EE70E2">
              <w:rPr>
                <w:sz w:val="16"/>
                <w:lang w:val="en-US"/>
              </w:rPr>
              <w:t>ensitivity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D152A8" w:rsidP="00FD53A5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 xml:space="preserve">Chemical sensitivity </w:t>
            </w:r>
            <w:r w:rsidR="00107406" w:rsidRPr="00EE70E2">
              <w:rPr>
                <w:b/>
                <w:sz w:val="16"/>
                <w:lang w:val="en-US"/>
              </w:rPr>
              <w:t>(PM11-20)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>P</w:t>
            </w:r>
            <w:r>
              <w:rPr>
                <w:sz w:val="16"/>
                <w:lang w:val="en-US"/>
              </w:rPr>
              <w:t>henotypes lost - slower growth/increased s</w:t>
            </w:r>
            <w:r w:rsidRPr="00EE70E2">
              <w:rPr>
                <w:sz w:val="16"/>
                <w:lang w:val="en-US"/>
              </w:rPr>
              <w:t>ensitivity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BF35C8" w:rsidRDefault="00BF35C8" w:rsidP="00FD53A5">
            <w:pPr>
              <w:jc w:val="both"/>
              <w:rPr>
                <w:sz w:val="16"/>
                <w:lang w:val="en-US"/>
              </w:rPr>
            </w:pPr>
            <w:r w:rsidRPr="00BF35C8">
              <w:rPr>
                <w:sz w:val="16"/>
                <w:lang w:val="en-US"/>
              </w:rPr>
              <w:t>3-0-b-D-Galactopyranosyl-D-Arabinose</w:t>
            </w:r>
            <w:r w:rsidRPr="00BF35C8">
              <w:rPr>
                <w:sz w:val="16"/>
                <w:lang w:val="en-US"/>
              </w:rPr>
              <w:tab/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BF35C8" w:rsidRDefault="00BF35C8" w:rsidP="00FD53A5">
            <w:pPr>
              <w:jc w:val="both"/>
              <w:rPr>
                <w:sz w:val="16"/>
                <w:lang w:val="en-US"/>
              </w:rPr>
            </w:pP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52383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100mM Sodium N</w:t>
            </w:r>
            <w:r w:rsidR="00BF35C8">
              <w:rPr>
                <w:sz w:val="16"/>
                <w:lang w:val="en-US"/>
              </w:rPr>
              <w:t>itrite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BF35C8" w:rsidRDefault="00BF35C8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B5777C" w:rsidP="00FD53A5">
            <w:pPr>
              <w:jc w:val="both"/>
              <w:rPr>
                <w:sz w:val="16"/>
                <w:lang w:val="en-US"/>
              </w:rPr>
            </w:pPr>
            <w:r w:rsidRPr="00B5777C">
              <w:rPr>
                <w:sz w:val="16"/>
                <w:lang w:val="en-US"/>
              </w:rPr>
              <w:t>Semicarbazide hydrochloride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Fusaric acid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 w:rsidRPr="00B5777C">
              <w:rPr>
                <w:sz w:val="16"/>
                <w:lang w:val="en-US"/>
              </w:rPr>
              <w:t>4-Hydroxycoumarin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Enoxacin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Chloroxylenol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Lauryl sulfobetaine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Colistin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 w:rsidRPr="00B5777C">
              <w:rPr>
                <w:sz w:val="16"/>
                <w:lang w:val="en-US"/>
              </w:rPr>
              <w:t>1-Chloro-2,4-Dinitrobenzene</w:t>
            </w:r>
          </w:p>
          <w:p w:rsidR="00B5777C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Iodoacetate</w:t>
            </w:r>
          </w:p>
          <w:p w:rsidR="00B5777C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Blasticidin S</w:t>
            </w:r>
          </w:p>
          <w:p w:rsidR="00D152A8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Vancomycin</w:t>
            </w:r>
          </w:p>
          <w:p w:rsidR="00D152A8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Sorbic acid</w:t>
            </w:r>
          </w:p>
          <w:p w:rsidR="00D152A8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2-Nitroimidazole</w:t>
            </w:r>
          </w:p>
          <w:p w:rsidR="00D152A8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Hydroxyurea</w:t>
            </w:r>
          </w:p>
          <w:p w:rsidR="00D152A8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Ferric Chloride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 w:rsidRPr="00DA1BBF">
              <w:rPr>
                <w:sz w:val="16"/>
                <w:lang w:val="en-US"/>
              </w:rPr>
              <w:t>L-Glutamic-g-Hydroxamate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Glycine Hydroxamate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Cefoxitin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Phenethicillin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D-Cycloserine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Ceftriaxone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Nafcillin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>Carbon source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BF35C8" w:rsidRDefault="00BF35C8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BF35C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Toxicity, nitrite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BF35C8" w:rsidRDefault="00BF35C8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DNA damage, carbonyl agent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Chelator, lipophilic</w:t>
            </w:r>
          </w:p>
          <w:p w:rsidR="00B5777C" w:rsidRPr="00D152A8" w:rsidRDefault="00B5777C" w:rsidP="00B5777C">
            <w:pPr>
              <w:jc w:val="both"/>
              <w:rPr>
                <w:sz w:val="16"/>
                <w:lang w:val="en-US"/>
              </w:rPr>
            </w:pPr>
            <w:r w:rsidRPr="00D152A8">
              <w:rPr>
                <w:sz w:val="16"/>
                <w:lang w:val="en-US"/>
              </w:rPr>
              <w:t>DNA intercalator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DNA unwinding, gyrase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Fungicide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Membrane, detergent, zwitterionic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Membrane, transport</w:t>
            </w:r>
          </w:p>
          <w:p w:rsidR="00B5777C" w:rsidRDefault="00B5777C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Oxidation</w:t>
            </w:r>
            <w:r w:rsidR="00D152A8">
              <w:rPr>
                <w:sz w:val="16"/>
                <w:lang w:val="en-US"/>
              </w:rPr>
              <w:t>, glutathione</w:t>
            </w:r>
          </w:p>
          <w:p w:rsidR="00B5777C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Oxidation, sulfhydryl</w:t>
            </w:r>
          </w:p>
          <w:p w:rsidR="00B5777C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Protein synthesis</w:t>
            </w:r>
          </w:p>
          <w:p w:rsidR="00D152A8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Protein synthesis</w:t>
            </w:r>
          </w:p>
          <w:p w:rsidR="00D152A8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Respiration, ionophore, H+</w:t>
            </w:r>
          </w:p>
          <w:p w:rsidR="00D152A8" w:rsidRDefault="00D152A8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Ribonucleotide DP reductase</w:t>
            </w:r>
          </w:p>
          <w:p w:rsidR="00DA1BBF" w:rsidRDefault="00DA1BBF" w:rsidP="00DA1BB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Ribonucleotide DP reductase</w:t>
            </w:r>
          </w:p>
          <w:p w:rsidR="00D152A8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Transport, toxic cation</w:t>
            </w:r>
          </w:p>
          <w:p w:rsidR="00D152A8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tRNA synthetase</w:t>
            </w:r>
          </w:p>
          <w:p w:rsidR="00DA1BBF" w:rsidRDefault="00DA1BBF" w:rsidP="00DA1BB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tRNA synthetase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Cell wall, cephalosporin</w:t>
            </w:r>
          </w:p>
          <w:p w:rsidR="00DA1BBF" w:rsidRPr="00EE70E2" w:rsidRDefault="00DA1BBF" w:rsidP="00DA1BB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Cell wall,</w:t>
            </w:r>
            <w:r w:rsidRPr="00EE70E2">
              <w:rPr>
                <w:sz w:val="16"/>
                <w:lang w:val="en-US"/>
              </w:rPr>
              <w:t xml:space="preserve"> lactam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Cell wall, sphingolipid synthesis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Cell wall, cephalosporin third generation</w:t>
            </w:r>
          </w:p>
          <w:p w:rsidR="00DA1BBF" w:rsidRDefault="00DA1BBF" w:rsidP="00FD53A5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Cell wall, lactam</w:t>
            </w: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both"/>
              <w:rPr>
                <w:sz w:val="16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406" w:rsidRPr="00EE70E2" w:rsidRDefault="00107406" w:rsidP="00FD53A5">
            <w:pPr>
              <w:jc w:val="center"/>
              <w:rPr>
                <w:sz w:val="16"/>
                <w:lang w:val="en-US"/>
              </w:rPr>
            </w:pPr>
          </w:p>
          <w:p w:rsidR="00107406" w:rsidRPr="00EE70E2" w:rsidRDefault="00BF35C8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-60</w:t>
            </w:r>
          </w:p>
          <w:p w:rsidR="00107406" w:rsidRPr="00EE70E2" w:rsidRDefault="00107406" w:rsidP="00FD53A5">
            <w:pPr>
              <w:jc w:val="center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center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center"/>
              <w:rPr>
                <w:sz w:val="16"/>
                <w:lang w:val="en-US"/>
              </w:rPr>
            </w:pPr>
          </w:p>
          <w:p w:rsidR="00107406" w:rsidRDefault="00107406" w:rsidP="00FD53A5">
            <w:pPr>
              <w:jc w:val="center"/>
              <w:rPr>
                <w:sz w:val="16"/>
                <w:lang w:val="en-US"/>
              </w:rPr>
            </w:pPr>
          </w:p>
          <w:p w:rsidR="00BF35C8" w:rsidRDefault="00BF35C8" w:rsidP="00FD53A5">
            <w:pPr>
              <w:jc w:val="center"/>
              <w:rPr>
                <w:sz w:val="16"/>
                <w:lang w:val="en-US"/>
              </w:rPr>
            </w:pPr>
          </w:p>
          <w:p w:rsidR="00BF35C8" w:rsidRPr="00EE70E2" w:rsidRDefault="00BF35C8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-88</w:t>
            </w:r>
          </w:p>
          <w:p w:rsidR="00107406" w:rsidRPr="00EE70E2" w:rsidRDefault="00107406" w:rsidP="00FD53A5">
            <w:pPr>
              <w:jc w:val="center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center"/>
              <w:rPr>
                <w:sz w:val="16"/>
                <w:lang w:val="en-US"/>
              </w:rPr>
            </w:pPr>
          </w:p>
          <w:p w:rsidR="00107406" w:rsidRPr="00EE70E2" w:rsidRDefault="00107406" w:rsidP="00FD53A5">
            <w:pPr>
              <w:jc w:val="center"/>
              <w:rPr>
                <w:sz w:val="16"/>
                <w:lang w:val="en-US"/>
              </w:rPr>
            </w:pPr>
          </w:p>
          <w:p w:rsidR="00BF35C8" w:rsidRDefault="00BF35C8" w:rsidP="00FD53A5">
            <w:pPr>
              <w:jc w:val="center"/>
              <w:rPr>
                <w:sz w:val="16"/>
                <w:lang w:val="en-US"/>
              </w:rPr>
            </w:pPr>
          </w:p>
          <w:p w:rsidR="00BF35C8" w:rsidRDefault="00BF35C8" w:rsidP="00FD53A5">
            <w:pPr>
              <w:jc w:val="center"/>
              <w:rPr>
                <w:sz w:val="16"/>
                <w:lang w:val="en-US"/>
              </w:rPr>
            </w:pPr>
          </w:p>
          <w:p w:rsidR="00107406" w:rsidRPr="00EE70E2" w:rsidRDefault="00B5777C" w:rsidP="00B5777C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-213</w:t>
            </w:r>
          </w:p>
          <w:p w:rsidR="00B5777C" w:rsidRDefault="00B5777C" w:rsidP="00B5777C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-240</w:t>
            </w:r>
          </w:p>
          <w:p w:rsidR="00B5777C" w:rsidRDefault="00B5777C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-233</w:t>
            </w:r>
          </w:p>
          <w:p w:rsidR="00B5777C" w:rsidRDefault="00B5777C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-213</w:t>
            </w:r>
          </w:p>
          <w:p w:rsidR="00B5777C" w:rsidRDefault="00B5777C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-153</w:t>
            </w:r>
          </w:p>
          <w:p w:rsidR="00B5777C" w:rsidRDefault="00B5777C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-80</w:t>
            </w:r>
          </w:p>
          <w:p w:rsidR="00B5777C" w:rsidRDefault="00B5777C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-257</w:t>
            </w:r>
          </w:p>
          <w:p w:rsidR="00B5777C" w:rsidRDefault="00D152A8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-100</w:t>
            </w:r>
          </w:p>
          <w:p w:rsidR="00B5777C" w:rsidRDefault="00D152A8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-87</w:t>
            </w:r>
          </w:p>
          <w:p w:rsidR="00B5777C" w:rsidRDefault="00D152A8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-65</w:t>
            </w:r>
          </w:p>
          <w:p w:rsidR="00D152A8" w:rsidRDefault="00D152A8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-63</w:t>
            </w:r>
          </w:p>
          <w:p w:rsidR="00D152A8" w:rsidRDefault="00D152A8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-95</w:t>
            </w:r>
          </w:p>
          <w:p w:rsidR="00D152A8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-305</w:t>
            </w:r>
          </w:p>
          <w:p w:rsidR="00D152A8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-117</w:t>
            </w:r>
          </w:p>
          <w:p w:rsidR="00D152A8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-126</w:t>
            </w:r>
          </w:p>
          <w:p w:rsidR="00DA1BBF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-171</w:t>
            </w:r>
          </w:p>
          <w:p w:rsidR="00DA1BBF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-105</w:t>
            </w:r>
          </w:p>
          <w:p w:rsidR="00DA1BBF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-330</w:t>
            </w:r>
          </w:p>
          <w:p w:rsidR="00DA1BBF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-305</w:t>
            </w:r>
          </w:p>
          <w:p w:rsidR="00DA1BBF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-289</w:t>
            </w:r>
          </w:p>
          <w:p w:rsidR="00DA1BBF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-275</w:t>
            </w:r>
          </w:p>
          <w:p w:rsidR="00DA1BBF" w:rsidRDefault="00DA1BBF" w:rsidP="00FD53A5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-283</w:t>
            </w:r>
          </w:p>
          <w:p w:rsidR="00107406" w:rsidRPr="00EE70E2" w:rsidRDefault="00107406" w:rsidP="00DA1BBF">
            <w:pPr>
              <w:rPr>
                <w:sz w:val="16"/>
                <w:lang w:val="en-US"/>
              </w:rPr>
            </w:pPr>
          </w:p>
        </w:tc>
      </w:tr>
      <w:tr w:rsidR="00BF35C8" w:rsidRPr="00EE70E2" w:rsidTr="00242E44">
        <w:tc>
          <w:tcPr>
            <w:tcW w:w="2660" w:type="dxa"/>
            <w:tcBorders>
              <w:top w:val="single" w:sz="4" w:space="0" w:color="auto"/>
              <w:bottom w:val="nil"/>
              <w:right w:val="nil"/>
            </w:tcBorders>
          </w:tcPr>
          <w:p w:rsidR="00BF35C8" w:rsidRDefault="00BF35C8" w:rsidP="00FD53A5">
            <w:pPr>
              <w:jc w:val="both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35C8" w:rsidRPr="00EE70E2" w:rsidRDefault="00BF35C8" w:rsidP="00FD53A5">
            <w:pPr>
              <w:jc w:val="both"/>
              <w:rPr>
                <w:sz w:val="16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35C8" w:rsidRPr="00EE70E2" w:rsidRDefault="00BF35C8" w:rsidP="00FD53A5">
            <w:pPr>
              <w:jc w:val="both"/>
              <w:rPr>
                <w:sz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</w:tcBorders>
          </w:tcPr>
          <w:p w:rsidR="00BF35C8" w:rsidRPr="00EE70E2" w:rsidRDefault="00BF35C8" w:rsidP="00FD53A5">
            <w:pPr>
              <w:jc w:val="center"/>
              <w:rPr>
                <w:sz w:val="16"/>
                <w:lang w:val="en-US"/>
              </w:rPr>
            </w:pPr>
          </w:p>
        </w:tc>
      </w:tr>
    </w:tbl>
    <w:p w:rsidR="00107406" w:rsidRDefault="00107406" w:rsidP="00107406">
      <w:pPr>
        <w:spacing w:line="480" w:lineRule="auto"/>
        <w:jc w:val="both"/>
      </w:pPr>
    </w:p>
    <w:p w:rsidR="00A243B0" w:rsidRPr="00A243B0" w:rsidRDefault="00A243B0" w:rsidP="00107406">
      <w:pPr>
        <w:spacing w:line="480" w:lineRule="auto"/>
        <w:jc w:val="both"/>
      </w:pPr>
      <w:r>
        <w:rPr>
          <w:vertAlign w:val="superscript"/>
        </w:rPr>
        <w:t>a</w:t>
      </w:r>
      <w:r>
        <w:t xml:space="preserve"> </w:t>
      </w:r>
      <w:r w:rsidR="006A0164">
        <w:t>[</w:t>
      </w:r>
      <w:r w:rsidR="00AF41F1">
        <w:t>1</w:t>
      </w:r>
      <w:r w:rsidR="006A0164">
        <w:t>]</w:t>
      </w:r>
    </w:p>
    <w:p w:rsidR="00107406" w:rsidRDefault="00A243B0" w:rsidP="00107406">
      <w:pPr>
        <w:spacing w:line="480" w:lineRule="auto"/>
        <w:jc w:val="both"/>
        <w:rPr>
          <w:lang w:val="en-US"/>
        </w:rPr>
      </w:pPr>
      <w:r w:rsidRPr="00A243B0">
        <w:rPr>
          <w:vertAlign w:val="superscript"/>
          <w:lang w:val="en-US"/>
        </w:rPr>
        <w:t>b</w:t>
      </w:r>
      <w:r w:rsidR="00107406" w:rsidRPr="00B24969">
        <w:rPr>
          <w:lang w:val="en-US"/>
        </w:rPr>
        <w:t xml:space="preserve">Based on time-course curves of respiration (tetrazolium colour formation) rate. The differences in the curve areas of the mutant and the </w:t>
      </w:r>
      <w:r w:rsidR="00BA5074">
        <w:rPr>
          <w:lang w:val="en-US"/>
        </w:rPr>
        <w:t>parental</w:t>
      </w:r>
      <w:r w:rsidR="00107406" w:rsidRPr="00B24969">
        <w:rPr>
          <w:lang w:val="en-US"/>
        </w:rPr>
        <w:t xml:space="preserve"> strains are calculated. The units are arbitrary. Negative values indicate that the </w:t>
      </w:r>
      <w:r w:rsidR="00BA5074">
        <w:rPr>
          <w:lang w:val="en-US"/>
        </w:rPr>
        <w:t>parental</w:t>
      </w:r>
      <w:r w:rsidR="00107406" w:rsidRPr="00B24969">
        <w:rPr>
          <w:lang w:val="en-US"/>
        </w:rPr>
        <w:t xml:space="preserve"> strain showed higher rates of respiration than the mutant. Results are based on averages from two biological replicates.</w:t>
      </w:r>
    </w:p>
    <w:p w:rsidR="00AF41F1" w:rsidRDefault="00AF41F1" w:rsidP="00107406">
      <w:pPr>
        <w:spacing w:line="480" w:lineRule="auto"/>
        <w:jc w:val="both"/>
        <w:rPr>
          <w:lang w:val="en-US"/>
        </w:rPr>
      </w:pPr>
    </w:p>
    <w:p w:rsidR="00AF41F1" w:rsidRPr="00AF41F1" w:rsidRDefault="00AF41F1" w:rsidP="00107406">
      <w:pPr>
        <w:spacing w:line="480" w:lineRule="auto"/>
        <w:jc w:val="both"/>
        <w:rPr>
          <w:b/>
          <w:lang w:val="en-US"/>
        </w:rPr>
      </w:pPr>
      <w:r w:rsidRPr="00AF41F1">
        <w:rPr>
          <w:b/>
          <w:lang w:val="en-US"/>
        </w:rPr>
        <w:t>Reference</w:t>
      </w:r>
    </w:p>
    <w:p w:rsidR="00573412" w:rsidRPr="0037534A" w:rsidRDefault="006B2BD4">
      <w:pPr>
        <w:rPr>
          <w:lang w:val="en-US"/>
        </w:rPr>
      </w:pPr>
      <w:r>
        <w:rPr>
          <w:lang w:val="en-US"/>
        </w:rPr>
        <w:lastRenderedPageBreak/>
        <w:t xml:space="preserve">1. </w:t>
      </w:r>
      <w:bookmarkStart w:id="0" w:name="_GoBack"/>
      <w:bookmarkEnd w:id="0"/>
      <w:r w:rsidR="00AF41F1" w:rsidRPr="00A45B00">
        <w:t xml:space="preserve">Mattila, M.; Somervuo, P.; Rattei, T.; Korkeala, H.; Stephan, R.; Tasara, T. </w:t>
      </w:r>
      <w:bookmarkStart w:id="1" w:name="OLE_LINK3"/>
      <w:bookmarkStart w:id="2" w:name="OLE_LINK4"/>
      <w:r w:rsidR="00AF41F1" w:rsidRPr="00A45B00">
        <w:t>Phenotypic and transcriptomic analyses of Sigma L</w:t>
      </w:r>
      <w:r w:rsidR="00AF41F1">
        <w:t>−</w:t>
      </w:r>
      <w:r w:rsidR="00AF41F1" w:rsidRPr="00A45B00">
        <w:t>dependent characteristics in Listeria monocytogenes EGD</w:t>
      </w:r>
      <w:r w:rsidR="00AF41F1">
        <w:t>−</w:t>
      </w:r>
      <w:r w:rsidR="00AF41F1" w:rsidRPr="00A45B00">
        <w:t>e</w:t>
      </w:r>
      <w:bookmarkEnd w:id="1"/>
      <w:bookmarkEnd w:id="2"/>
      <w:r w:rsidR="00AF41F1" w:rsidRPr="00A45B00">
        <w:t xml:space="preserve">. </w:t>
      </w:r>
      <w:r w:rsidR="00AF41F1" w:rsidRPr="00A45B00">
        <w:rPr>
          <w:i/>
        </w:rPr>
        <w:t>Food Microbiol.</w:t>
      </w:r>
      <w:r w:rsidR="00AF41F1" w:rsidRPr="00A45B00">
        <w:t xml:space="preserve"> </w:t>
      </w:r>
      <w:r w:rsidR="00AF41F1" w:rsidRPr="00A45B00">
        <w:rPr>
          <w:b/>
        </w:rPr>
        <w:t>2012</w:t>
      </w:r>
      <w:r w:rsidR="00AF41F1" w:rsidRPr="00A45B00">
        <w:t xml:space="preserve">, </w:t>
      </w:r>
      <w:r w:rsidR="00AF41F1" w:rsidRPr="00A45B00">
        <w:rPr>
          <w:i/>
        </w:rPr>
        <w:t>32</w:t>
      </w:r>
      <w:r w:rsidR="00AF41F1" w:rsidRPr="00A45B00">
        <w:t>, 152–164</w:t>
      </w:r>
      <w:bookmarkStart w:id="3" w:name="noRef"/>
      <w:bookmarkEnd w:id="3"/>
      <w:r w:rsidR="00AF41F1">
        <w:t>.</w:t>
      </w:r>
    </w:p>
    <w:sectPr w:rsidR="00573412" w:rsidRPr="0037534A" w:rsidSect="002D359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5E" w:rsidRDefault="001D435E" w:rsidP="006A0164">
      <w:r>
        <w:separator/>
      </w:r>
    </w:p>
  </w:endnote>
  <w:endnote w:type="continuationSeparator" w:id="0">
    <w:p w:rsidR="001D435E" w:rsidRDefault="001D435E" w:rsidP="006A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5E" w:rsidRDefault="001D435E" w:rsidP="006A0164">
      <w:r>
        <w:separator/>
      </w:r>
    </w:p>
  </w:footnote>
  <w:footnote w:type="continuationSeparator" w:id="0">
    <w:p w:rsidR="001D435E" w:rsidRDefault="001D435E" w:rsidP="006A0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06"/>
    <w:rsid w:val="00000029"/>
    <w:rsid w:val="00022B22"/>
    <w:rsid w:val="00056DE9"/>
    <w:rsid w:val="00107406"/>
    <w:rsid w:val="001D435E"/>
    <w:rsid w:val="00242E44"/>
    <w:rsid w:val="002D3597"/>
    <w:rsid w:val="0037534A"/>
    <w:rsid w:val="00501085"/>
    <w:rsid w:val="00523838"/>
    <w:rsid w:val="00573412"/>
    <w:rsid w:val="005F2A09"/>
    <w:rsid w:val="006A0164"/>
    <w:rsid w:val="006B2BD4"/>
    <w:rsid w:val="00752270"/>
    <w:rsid w:val="008E0403"/>
    <w:rsid w:val="009D3845"/>
    <w:rsid w:val="00A243B0"/>
    <w:rsid w:val="00AF41F1"/>
    <w:rsid w:val="00B324B4"/>
    <w:rsid w:val="00B5777C"/>
    <w:rsid w:val="00B679BB"/>
    <w:rsid w:val="00BA3AA6"/>
    <w:rsid w:val="00BA5074"/>
    <w:rsid w:val="00BF35C8"/>
    <w:rsid w:val="00D152A8"/>
    <w:rsid w:val="00DA1BBF"/>
    <w:rsid w:val="00DA1C57"/>
    <w:rsid w:val="00EB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F59D06A-4BED-4A5A-B227-7959E390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07406"/>
    <w:pPr>
      <w:spacing w:after="0" w:line="240" w:lineRule="auto"/>
    </w:pPr>
    <w:rPr>
      <w:rFonts w:ascii="Times New Roman" w:eastAsia="宋体" w:hAnsi="Times New Roman" w:cs="Times New Roman"/>
      <w:sz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0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074"/>
    <w:rPr>
      <w:rFonts w:ascii="Lucida Grande" w:eastAsia="宋体" w:hAnsi="Lucida Grande" w:cs="Lucida Grande"/>
      <w:sz w:val="18"/>
      <w:szCs w:val="18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1836</Characters>
  <Application>Microsoft Office Word</Application>
  <DocSecurity>0</DocSecurity>
  <Lines>152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MDPI</cp:lastModifiedBy>
  <cp:revision>5</cp:revision>
  <dcterms:created xsi:type="dcterms:W3CDTF">2020-10-12T13:33:00Z</dcterms:created>
  <dcterms:modified xsi:type="dcterms:W3CDTF">2020-10-23T09:38:00Z</dcterms:modified>
</cp:coreProperties>
</file>