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39" w:type="pct"/>
        <w:tblLook w:val="01E0" w:firstRow="1" w:lastRow="1" w:firstColumn="1" w:lastColumn="1" w:noHBand="0" w:noVBand="0"/>
      </w:tblPr>
      <w:tblGrid>
        <w:gridCol w:w="3039"/>
        <w:gridCol w:w="8378"/>
        <w:gridCol w:w="2650"/>
      </w:tblGrid>
      <w:tr w:rsidR="00887D12" w:rsidRPr="00887D12" w:rsidTr="00534F99">
        <w:trPr>
          <w:trHeight w:val="558"/>
        </w:trPr>
        <w:tc>
          <w:tcPr>
            <w:tcW w:w="5000" w:type="pct"/>
            <w:gridSpan w:val="3"/>
            <w:vAlign w:val="center"/>
          </w:tcPr>
          <w:p w:rsidR="00C47655" w:rsidRPr="00887D12" w:rsidRDefault="00C47655" w:rsidP="006A64B9">
            <w:pPr>
              <w:spacing w:line="360" w:lineRule="auto"/>
              <w:rPr>
                <w:b/>
              </w:rPr>
            </w:pPr>
            <w:r w:rsidRPr="00887D12">
              <w:rPr>
                <w:b/>
              </w:rPr>
              <w:t xml:space="preserve">Table </w:t>
            </w:r>
            <w:r w:rsidR="00960C23" w:rsidRPr="00887D12">
              <w:rPr>
                <w:b/>
              </w:rPr>
              <w:t>S</w:t>
            </w:r>
            <w:r w:rsidRPr="00887D12">
              <w:rPr>
                <w:b/>
              </w:rPr>
              <w:t>1</w:t>
            </w:r>
            <w:r w:rsidR="00534F99">
              <w:rPr>
                <w:b/>
              </w:rPr>
              <w:t>.</w:t>
            </w:r>
          </w:p>
          <w:p w:rsidR="00C47655" w:rsidRPr="00887D12" w:rsidRDefault="00C47655" w:rsidP="006A64B9">
            <w:pPr>
              <w:spacing w:line="360" w:lineRule="auto"/>
            </w:pPr>
            <w:r w:rsidRPr="00887D12">
              <w:t>Bacterial strains</w:t>
            </w:r>
            <w:r w:rsidR="00CB459D" w:rsidRPr="00887D12">
              <w:t>, plasmids,</w:t>
            </w:r>
            <w:r w:rsidR="002146C0" w:rsidRPr="00887D12">
              <w:t xml:space="preserve"> and oligonucleotides</w:t>
            </w:r>
            <w:r w:rsidRPr="00887D12">
              <w:t xml:space="preserve"> used in 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655" w:rsidRPr="00887D12" w:rsidRDefault="002146C0" w:rsidP="006A64B9">
            <w:pPr>
              <w:spacing w:line="360" w:lineRule="auto"/>
              <w:rPr>
                <w:lang w:val="fi-FI"/>
              </w:rPr>
            </w:pPr>
            <w:r w:rsidRPr="00887D12">
              <w:rPr>
                <w:lang w:val="fi-FI"/>
              </w:rPr>
              <w:t>Materials</w:t>
            </w:r>
          </w:p>
        </w:tc>
        <w:tc>
          <w:tcPr>
            <w:tcW w:w="2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655" w:rsidRPr="00887D12" w:rsidRDefault="002146C0" w:rsidP="006A64B9">
            <w:pPr>
              <w:spacing w:line="360" w:lineRule="auto"/>
              <w:rPr>
                <w:lang w:val="fi-FI"/>
              </w:rPr>
            </w:pPr>
            <w:r w:rsidRPr="00887D12">
              <w:rPr>
                <w:lang w:val="fi-FI"/>
              </w:rPr>
              <w:t>Description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655" w:rsidRPr="00887D12" w:rsidRDefault="00C47655" w:rsidP="006A64B9">
            <w:pPr>
              <w:spacing w:line="360" w:lineRule="auto"/>
              <w:rPr>
                <w:vertAlign w:val="superscript"/>
                <w:lang w:val="fi-FI"/>
              </w:rPr>
            </w:pPr>
            <w:r w:rsidRPr="00887D12">
              <w:rPr>
                <w:lang w:val="fi-FI"/>
              </w:rPr>
              <w:t>Reference</w:t>
            </w:r>
            <w:r w:rsidR="002146C0" w:rsidRPr="00887D12">
              <w:rPr>
                <w:lang w:val="fi-FI"/>
              </w:rPr>
              <w:t>s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tcBorders>
              <w:top w:val="single" w:sz="4" w:space="0" w:color="auto"/>
            </w:tcBorders>
            <w:vAlign w:val="center"/>
          </w:tcPr>
          <w:p w:rsidR="002146C0" w:rsidRPr="00887D12" w:rsidRDefault="002146C0" w:rsidP="006A64B9">
            <w:pPr>
              <w:spacing w:line="360" w:lineRule="auto"/>
              <w:rPr>
                <w:b/>
              </w:rPr>
            </w:pPr>
            <w:r w:rsidRPr="00887D12">
              <w:rPr>
                <w:b/>
              </w:rPr>
              <w:t>Bacterial strains</w:t>
            </w:r>
          </w:p>
        </w:tc>
        <w:tc>
          <w:tcPr>
            <w:tcW w:w="2978" w:type="pct"/>
            <w:tcBorders>
              <w:top w:val="single" w:sz="4" w:space="0" w:color="auto"/>
            </w:tcBorders>
            <w:vAlign w:val="center"/>
          </w:tcPr>
          <w:p w:rsidR="002146C0" w:rsidRPr="00887D12" w:rsidRDefault="002146C0" w:rsidP="006A64B9">
            <w:pPr>
              <w:spacing w:line="360" w:lineRule="auto"/>
            </w:pPr>
          </w:p>
        </w:tc>
        <w:tc>
          <w:tcPr>
            <w:tcW w:w="942" w:type="pct"/>
            <w:tcBorders>
              <w:top w:val="single" w:sz="4" w:space="0" w:color="auto"/>
            </w:tcBorders>
            <w:vAlign w:val="center"/>
          </w:tcPr>
          <w:p w:rsidR="002146C0" w:rsidRPr="00887D12" w:rsidRDefault="002146C0" w:rsidP="006A64B9">
            <w:pPr>
              <w:spacing w:line="360" w:lineRule="auto"/>
            </w:pP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47655" w:rsidRPr="00887D12" w:rsidRDefault="00C47655" w:rsidP="006A64B9">
            <w:pPr>
              <w:spacing w:line="360" w:lineRule="auto"/>
              <w:rPr>
                <w:i/>
              </w:rPr>
            </w:pPr>
            <w:r w:rsidRPr="00887D12">
              <w:rPr>
                <w:i/>
              </w:rPr>
              <w:t>Listeria monocytogenes</w:t>
            </w:r>
          </w:p>
        </w:tc>
        <w:tc>
          <w:tcPr>
            <w:tcW w:w="2978" w:type="pct"/>
            <w:vAlign w:val="center"/>
          </w:tcPr>
          <w:p w:rsidR="00C47655" w:rsidRPr="00887D12" w:rsidRDefault="00C47655" w:rsidP="006A64B9">
            <w:pPr>
              <w:spacing w:line="360" w:lineRule="auto"/>
            </w:pPr>
          </w:p>
        </w:tc>
        <w:tc>
          <w:tcPr>
            <w:tcW w:w="942" w:type="pct"/>
            <w:vAlign w:val="center"/>
          </w:tcPr>
          <w:p w:rsidR="00C47655" w:rsidRPr="00887D12" w:rsidRDefault="00C47655" w:rsidP="006A64B9">
            <w:pPr>
              <w:spacing w:line="360" w:lineRule="auto"/>
            </w:pP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47655" w:rsidRPr="00887D12" w:rsidRDefault="00C47655" w:rsidP="006A64B9">
            <w:pPr>
              <w:spacing w:line="360" w:lineRule="auto"/>
            </w:pPr>
            <w:r w:rsidRPr="00887D12">
              <w:t>EGD-e</w:t>
            </w:r>
          </w:p>
        </w:tc>
        <w:tc>
          <w:tcPr>
            <w:tcW w:w="2978" w:type="pct"/>
            <w:vAlign w:val="center"/>
          </w:tcPr>
          <w:p w:rsidR="00C47655" w:rsidRPr="00887D12" w:rsidRDefault="00C47655" w:rsidP="006A64B9">
            <w:pPr>
              <w:spacing w:line="360" w:lineRule="auto"/>
            </w:pPr>
            <w:r w:rsidRPr="00887D12">
              <w:t>Wild-type serotype 1/2a strain</w:t>
            </w:r>
          </w:p>
        </w:tc>
        <w:tc>
          <w:tcPr>
            <w:tcW w:w="942" w:type="pct"/>
            <w:vAlign w:val="center"/>
          </w:tcPr>
          <w:p w:rsidR="00C47655" w:rsidRPr="00887D12" w:rsidRDefault="00534F99" w:rsidP="006A64B9">
            <w:pPr>
              <w:spacing w:line="360" w:lineRule="auto"/>
            </w:pPr>
            <w:r>
              <w:t>[1]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47655" w:rsidRPr="00887D12" w:rsidRDefault="00C47655" w:rsidP="006A64B9">
            <w:pPr>
              <w:spacing w:line="360" w:lineRule="auto"/>
            </w:pPr>
            <w:r w:rsidRPr="00887D12">
              <w:rPr>
                <w:i/>
              </w:rPr>
              <w:t>Δ</w:t>
            </w:r>
            <w:r w:rsidR="002146C0" w:rsidRPr="00887D12">
              <w:rPr>
                <w:i/>
              </w:rPr>
              <w:t>sigL</w:t>
            </w:r>
          </w:p>
        </w:tc>
        <w:tc>
          <w:tcPr>
            <w:tcW w:w="2978" w:type="pct"/>
            <w:vAlign w:val="center"/>
          </w:tcPr>
          <w:p w:rsidR="00CB459D" w:rsidRPr="00887D12" w:rsidRDefault="002146C0" w:rsidP="006A64B9">
            <w:pPr>
              <w:spacing w:line="360" w:lineRule="auto"/>
            </w:pPr>
            <w:r w:rsidRPr="00887D12">
              <w:t>1290</w:t>
            </w:r>
            <w:r w:rsidR="00C47655" w:rsidRPr="00887D12">
              <w:t xml:space="preserve"> bp </w:t>
            </w:r>
            <w:r w:rsidR="0054043F" w:rsidRPr="00887D12">
              <w:t>in</w:t>
            </w:r>
            <w:r w:rsidR="00C47655" w:rsidRPr="00887D12">
              <w:t xml:space="preserve">-frame deletion of the </w:t>
            </w:r>
            <w:r w:rsidRPr="00887D12">
              <w:rPr>
                <w:i/>
              </w:rPr>
              <w:t>sigL</w:t>
            </w:r>
            <w:r w:rsidR="00C47655" w:rsidRPr="00887D12">
              <w:rPr>
                <w:i/>
              </w:rPr>
              <w:t xml:space="preserve"> </w:t>
            </w:r>
            <w:r w:rsidR="00C47655" w:rsidRPr="00887D12">
              <w:t>gene</w:t>
            </w:r>
          </w:p>
        </w:tc>
        <w:tc>
          <w:tcPr>
            <w:tcW w:w="942" w:type="pct"/>
            <w:vAlign w:val="center"/>
          </w:tcPr>
          <w:p w:rsidR="00CB459D" w:rsidRPr="00887D12" w:rsidRDefault="00A60F93" w:rsidP="006A64B9">
            <w:pPr>
              <w:spacing w:line="360" w:lineRule="auto"/>
            </w:pPr>
            <w:r>
              <w:t>[2</w:t>
            </w:r>
            <w:r w:rsidR="00534F99">
              <w:t>]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B459D" w:rsidRPr="00887D12" w:rsidRDefault="00CB459D" w:rsidP="006A64B9">
            <w:pPr>
              <w:spacing w:line="360" w:lineRule="auto"/>
            </w:pPr>
            <w:r w:rsidRPr="00887D12">
              <w:rPr>
                <w:i/>
              </w:rPr>
              <w:t>ΔsigB</w:t>
            </w:r>
          </w:p>
        </w:tc>
        <w:tc>
          <w:tcPr>
            <w:tcW w:w="2978" w:type="pct"/>
            <w:vAlign w:val="center"/>
          </w:tcPr>
          <w:p w:rsidR="00CB459D" w:rsidRPr="00887D12" w:rsidRDefault="00034042" w:rsidP="006A64B9">
            <w:pPr>
              <w:spacing w:line="360" w:lineRule="auto"/>
            </w:pPr>
            <w:r w:rsidRPr="00887D12">
              <w:t>726</w:t>
            </w:r>
            <w:r w:rsidR="00CB459D" w:rsidRPr="00887D12">
              <w:t xml:space="preserve"> bp </w:t>
            </w:r>
            <w:r w:rsidR="0054043F" w:rsidRPr="00887D12">
              <w:t>in-</w:t>
            </w:r>
            <w:r w:rsidR="00CB459D" w:rsidRPr="00887D12">
              <w:t xml:space="preserve">frame deletion of the </w:t>
            </w:r>
            <w:r w:rsidR="00CB459D" w:rsidRPr="00887D12">
              <w:rPr>
                <w:i/>
              </w:rPr>
              <w:t>sigB</w:t>
            </w:r>
            <w:r w:rsidR="00CB459D" w:rsidRPr="00887D12">
              <w:t xml:space="preserve"> gene</w:t>
            </w:r>
          </w:p>
        </w:tc>
        <w:tc>
          <w:tcPr>
            <w:tcW w:w="942" w:type="pct"/>
            <w:vAlign w:val="center"/>
          </w:tcPr>
          <w:p w:rsidR="00CB459D" w:rsidRPr="00887D12" w:rsidRDefault="00DB42FB" w:rsidP="006A64B9">
            <w:pPr>
              <w:spacing w:line="360" w:lineRule="auto"/>
            </w:pPr>
            <w:r w:rsidRPr="00887D12">
              <w:t>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B459D" w:rsidRPr="00887D12" w:rsidRDefault="00CB459D" w:rsidP="006A64B9">
            <w:pPr>
              <w:spacing w:line="360" w:lineRule="auto"/>
            </w:pPr>
            <w:r w:rsidRPr="00887D12">
              <w:rPr>
                <w:i/>
              </w:rPr>
              <w:t>ΔsigBL</w:t>
            </w:r>
          </w:p>
        </w:tc>
        <w:tc>
          <w:tcPr>
            <w:tcW w:w="2978" w:type="pct"/>
            <w:vAlign w:val="center"/>
          </w:tcPr>
          <w:p w:rsidR="00CB459D" w:rsidRPr="00887D12" w:rsidRDefault="00034042" w:rsidP="006A64B9">
            <w:pPr>
              <w:spacing w:line="360" w:lineRule="auto"/>
            </w:pPr>
            <w:r w:rsidRPr="00887D12">
              <w:t xml:space="preserve">726 and 1290 </w:t>
            </w:r>
            <w:r w:rsidR="00CB459D" w:rsidRPr="00887D12">
              <w:t xml:space="preserve">bp </w:t>
            </w:r>
            <w:r w:rsidR="0054043F" w:rsidRPr="00887D12">
              <w:t>in-</w:t>
            </w:r>
            <w:r w:rsidR="00CB459D" w:rsidRPr="00887D12">
              <w:t xml:space="preserve">frame deletion of the </w:t>
            </w:r>
            <w:r w:rsidR="00CB459D" w:rsidRPr="00887D12">
              <w:rPr>
                <w:i/>
              </w:rPr>
              <w:t>sigB</w:t>
            </w:r>
            <w:r w:rsidR="00CB459D" w:rsidRPr="00887D12">
              <w:t xml:space="preserve"> and </w:t>
            </w:r>
            <w:r w:rsidR="00CB459D" w:rsidRPr="00887D12">
              <w:rPr>
                <w:i/>
              </w:rPr>
              <w:t>sigL</w:t>
            </w:r>
            <w:r w:rsidR="00CB459D" w:rsidRPr="00887D12">
              <w:t xml:space="preserve"> genes</w:t>
            </w:r>
          </w:p>
        </w:tc>
        <w:tc>
          <w:tcPr>
            <w:tcW w:w="942" w:type="pct"/>
            <w:vAlign w:val="center"/>
          </w:tcPr>
          <w:p w:rsidR="00CB459D" w:rsidRPr="00887D12" w:rsidRDefault="00DB42FB" w:rsidP="006A64B9">
            <w:pPr>
              <w:spacing w:line="360" w:lineRule="auto"/>
            </w:pPr>
            <w:r w:rsidRPr="00887D12">
              <w:t>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54043F" w:rsidRPr="00887D12" w:rsidRDefault="0054043F" w:rsidP="006A64B9">
            <w:pPr>
              <w:spacing w:line="360" w:lineRule="auto"/>
              <w:rPr>
                <w:i/>
              </w:rPr>
            </w:pPr>
            <w:r w:rsidRPr="00887D12">
              <w:rPr>
                <w:i/>
              </w:rPr>
              <w:t>Escherichia coli</w:t>
            </w:r>
          </w:p>
        </w:tc>
        <w:tc>
          <w:tcPr>
            <w:tcW w:w="2978" w:type="pct"/>
            <w:vAlign w:val="center"/>
          </w:tcPr>
          <w:p w:rsidR="0054043F" w:rsidRPr="00887D12" w:rsidRDefault="0054043F" w:rsidP="006A64B9">
            <w:pPr>
              <w:spacing w:line="360" w:lineRule="auto"/>
            </w:pPr>
          </w:p>
        </w:tc>
        <w:tc>
          <w:tcPr>
            <w:tcW w:w="942" w:type="pct"/>
            <w:vAlign w:val="center"/>
          </w:tcPr>
          <w:p w:rsidR="0054043F" w:rsidRPr="00887D12" w:rsidRDefault="0054043F" w:rsidP="006A64B9">
            <w:pPr>
              <w:spacing w:line="360" w:lineRule="auto"/>
            </w:pP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54043F" w:rsidRPr="00887D12" w:rsidRDefault="0054043F" w:rsidP="006A64B9">
            <w:pPr>
              <w:spacing w:line="360" w:lineRule="auto"/>
            </w:pPr>
            <w:r w:rsidRPr="00887D12">
              <w:t>XL-1 Blue</w:t>
            </w:r>
          </w:p>
        </w:tc>
        <w:tc>
          <w:tcPr>
            <w:tcW w:w="2978" w:type="pct"/>
            <w:vAlign w:val="center"/>
          </w:tcPr>
          <w:p w:rsidR="0054043F" w:rsidRPr="00887D12" w:rsidRDefault="0054043F" w:rsidP="006A64B9">
            <w:pPr>
              <w:spacing w:line="360" w:lineRule="auto"/>
            </w:pPr>
            <w:r w:rsidRPr="00887D12">
              <w:t>Wild-type laboratory strain for routine plasmid propagation and cloning applications</w:t>
            </w:r>
          </w:p>
        </w:tc>
        <w:tc>
          <w:tcPr>
            <w:tcW w:w="942" w:type="pct"/>
            <w:vAlign w:val="center"/>
          </w:tcPr>
          <w:p w:rsidR="0054043F" w:rsidRPr="00887D12" w:rsidRDefault="00A60F93" w:rsidP="006A64B9">
            <w:pPr>
              <w:spacing w:line="360" w:lineRule="auto"/>
            </w:pPr>
            <w:r>
              <w:t>[3</w:t>
            </w:r>
            <w:r w:rsidR="00534F99">
              <w:t>]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6A64B9" w:rsidRPr="00887D12" w:rsidRDefault="006A64B9" w:rsidP="006A64B9">
            <w:pPr>
              <w:spacing w:line="360" w:lineRule="auto"/>
              <w:rPr>
                <w:b/>
              </w:rPr>
            </w:pPr>
            <w:r w:rsidRPr="00887D12">
              <w:rPr>
                <w:b/>
              </w:rPr>
              <w:t>Plasmids</w:t>
            </w:r>
          </w:p>
        </w:tc>
        <w:tc>
          <w:tcPr>
            <w:tcW w:w="2978" w:type="pct"/>
            <w:vAlign w:val="center"/>
          </w:tcPr>
          <w:p w:rsidR="006A64B9" w:rsidRPr="00887D12" w:rsidRDefault="006A64B9" w:rsidP="006A64B9">
            <w:pPr>
              <w:spacing w:line="360" w:lineRule="auto"/>
            </w:pPr>
          </w:p>
        </w:tc>
        <w:tc>
          <w:tcPr>
            <w:tcW w:w="942" w:type="pct"/>
            <w:vAlign w:val="center"/>
          </w:tcPr>
          <w:p w:rsidR="006A64B9" w:rsidRPr="00887D12" w:rsidRDefault="006A64B9" w:rsidP="006A64B9">
            <w:pPr>
              <w:spacing w:line="360" w:lineRule="auto"/>
            </w:pP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B459D" w:rsidRPr="00887D12" w:rsidRDefault="006A64B9" w:rsidP="006A64B9">
            <w:pPr>
              <w:spacing w:line="360" w:lineRule="auto"/>
            </w:pPr>
            <w:r w:rsidRPr="00887D12">
              <w:t>pKSV7</w:t>
            </w:r>
          </w:p>
        </w:tc>
        <w:tc>
          <w:tcPr>
            <w:tcW w:w="2978" w:type="pct"/>
            <w:vAlign w:val="center"/>
          </w:tcPr>
          <w:p w:rsidR="00CB459D" w:rsidRPr="00887D12" w:rsidRDefault="00433A54" w:rsidP="006A64B9">
            <w:pPr>
              <w:spacing w:line="360" w:lineRule="auto"/>
            </w:pPr>
            <w:r w:rsidRPr="00887D12">
              <w:t>Tempera</w:t>
            </w:r>
            <w:r w:rsidR="006A64B9" w:rsidRPr="00887D12">
              <w:t>ture-sensitive Gram-positive bacteria integrational vector</w:t>
            </w:r>
          </w:p>
        </w:tc>
        <w:tc>
          <w:tcPr>
            <w:tcW w:w="942" w:type="pct"/>
            <w:vAlign w:val="center"/>
          </w:tcPr>
          <w:p w:rsidR="00CB459D" w:rsidRPr="00887D12" w:rsidRDefault="00534F99" w:rsidP="006A64B9">
            <w:pPr>
              <w:spacing w:line="360" w:lineRule="auto"/>
            </w:pPr>
            <w:r>
              <w:t>[4]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CB459D" w:rsidRPr="00887D12" w:rsidRDefault="00CB459D" w:rsidP="006A64B9">
            <w:r w:rsidRPr="00887D12">
              <w:rPr>
                <w:b/>
              </w:rPr>
              <w:t>Oligonucleotides</w:t>
            </w:r>
          </w:p>
        </w:tc>
        <w:tc>
          <w:tcPr>
            <w:tcW w:w="2978" w:type="pct"/>
            <w:vAlign w:val="center"/>
          </w:tcPr>
          <w:p w:rsidR="00CB459D" w:rsidRPr="00887D12" w:rsidRDefault="00CB459D" w:rsidP="006A64B9"/>
        </w:tc>
        <w:tc>
          <w:tcPr>
            <w:tcW w:w="942" w:type="pct"/>
            <w:vAlign w:val="center"/>
          </w:tcPr>
          <w:p w:rsidR="00CB459D" w:rsidRPr="00887D12" w:rsidRDefault="00CB459D" w:rsidP="006A64B9">
            <w:pPr>
              <w:spacing w:line="360" w:lineRule="auto"/>
            </w:pPr>
          </w:p>
        </w:tc>
      </w:tr>
      <w:tr w:rsidR="00887D12" w:rsidRPr="00887D12" w:rsidTr="00534F99">
        <w:trPr>
          <w:trHeight w:val="558"/>
        </w:trPr>
        <w:tc>
          <w:tcPr>
            <w:tcW w:w="5000" w:type="pct"/>
            <w:gridSpan w:val="3"/>
            <w:vAlign w:val="center"/>
          </w:tcPr>
          <w:p w:rsidR="006A64B9" w:rsidRPr="00887D12" w:rsidRDefault="006A64B9" w:rsidP="006A64B9">
            <w:pPr>
              <w:spacing w:line="360" w:lineRule="auto"/>
            </w:pPr>
            <w:r w:rsidRPr="00887D12">
              <w:rPr>
                <w:i/>
              </w:rPr>
              <w:t>Slicing-by-overlap extension (SOE) primers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6A64B9" w:rsidRPr="00887D12" w:rsidRDefault="00034042" w:rsidP="006A64B9">
            <w:pPr>
              <w:spacing w:line="360" w:lineRule="auto"/>
            </w:pPr>
            <w:r w:rsidRPr="00887D12">
              <w:t>SOE-P-sigB-A</w:t>
            </w:r>
            <w:r w:rsidR="00BD6576" w:rsidRPr="00887D12">
              <w:rPr>
                <w:vertAlign w:val="superscript"/>
              </w:rPr>
              <w:t>a</w:t>
            </w:r>
          </w:p>
        </w:tc>
        <w:tc>
          <w:tcPr>
            <w:tcW w:w="2978" w:type="pct"/>
            <w:vAlign w:val="center"/>
          </w:tcPr>
          <w:p w:rsidR="006A64B9" w:rsidRPr="00887D12" w:rsidRDefault="00034042" w:rsidP="006A64B9">
            <w:pPr>
              <w:spacing w:line="360" w:lineRule="auto"/>
            </w:pPr>
            <w:r w:rsidRPr="00887D12">
              <w:t>CCG</w:t>
            </w:r>
            <w:r w:rsidRPr="00887D12">
              <w:rPr>
                <w:u w:val="single"/>
              </w:rPr>
              <w:t>GAATTC</w:t>
            </w:r>
            <w:r w:rsidRPr="00887D12">
              <w:t>CAGCGCCAAAGGTAAAAGAAGCA</w:t>
            </w:r>
          </w:p>
        </w:tc>
        <w:tc>
          <w:tcPr>
            <w:tcW w:w="942" w:type="pct"/>
            <w:vAlign w:val="center"/>
          </w:tcPr>
          <w:p w:rsidR="006A64B9" w:rsidRPr="00887D12" w:rsidRDefault="00167098" w:rsidP="00534F99">
            <w:pPr>
              <w:spacing w:line="360" w:lineRule="auto"/>
              <w:ind w:left="-252" w:firstLine="252"/>
            </w:pPr>
            <w:r w:rsidRPr="00887D12">
              <w:t>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6A64B9" w:rsidRPr="00887D12" w:rsidRDefault="00034042" w:rsidP="006A64B9">
            <w:pPr>
              <w:spacing w:line="360" w:lineRule="auto"/>
              <w:rPr>
                <w:i/>
              </w:rPr>
            </w:pPr>
            <w:r w:rsidRPr="00887D12">
              <w:lastRenderedPageBreak/>
              <w:t>SOE-P-sigB-B</w:t>
            </w:r>
            <w:r w:rsidR="00BD6576" w:rsidRPr="00887D12">
              <w:rPr>
                <w:vertAlign w:val="superscript"/>
              </w:rPr>
              <w:t>b</w:t>
            </w:r>
          </w:p>
        </w:tc>
        <w:tc>
          <w:tcPr>
            <w:tcW w:w="2978" w:type="pct"/>
            <w:vAlign w:val="center"/>
          </w:tcPr>
          <w:p w:rsidR="006A64B9" w:rsidRPr="00887D12" w:rsidRDefault="00034042" w:rsidP="006A64B9">
            <w:pPr>
              <w:spacing w:line="360" w:lineRule="auto"/>
            </w:pPr>
            <w:r w:rsidRPr="00887D12">
              <w:rPr>
                <w:i/>
              </w:rPr>
              <w:t>GCAACGCCTCTCGAAGTTGAGATACTTTTGG</w:t>
            </w:r>
            <w:r w:rsidRPr="00887D12">
              <w:t>CATTCTCCTC</w:t>
            </w:r>
          </w:p>
        </w:tc>
        <w:tc>
          <w:tcPr>
            <w:tcW w:w="942" w:type="pct"/>
            <w:vAlign w:val="center"/>
          </w:tcPr>
          <w:p w:rsidR="006A64B9" w:rsidRPr="00887D12" w:rsidRDefault="00167098" w:rsidP="006A64B9">
            <w:pPr>
              <w:spacing w:line="360" w:lineRule="auto"/>
            </w:pPr>
            <w:r w:rsidRPr="00887D12">
              <w:t>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6A64B9" w:rsidRPr="00887D12" w:rsidRDefault="00034042" w:rsidP="00034042">
            <w:pPr>
              <w:spacing w:line="360" w:lineRule="auto"/>
              <w:rPr>
                <w:i/>
              </w:rPr>
            </w:pPr>
            <w:r w:rsidRPr="00887D12">
              <w:t>SOE-P</w:t>
            </w:r>
            <w:r w:rsidR="006A64B9" w:rsidRPr="00887D12">
              <w:t>-</w:t>
            </w:r>
            <w:r w:rsidRPr="00887D12">
              <w:t>sigB-C</w:t>
            </w:r>
            <w:r w:rsidR="00BD6576" w:rsidRPr="00887D12">
              <w:rPr>
                <w:vertAlign w:val="superscript"/>
              </w:rPr>
              <w:t>b</w:t>
            </w:r>
          </w:p>
        </w:tc>
        <w:tc>
          <w:tcPr>
            <w:tcW w:w="2978" w:type="pct"/>
            <w:vAlign w:val="center"/>
          </w:tcPr>
          <w:p w:rsidR="006A64B9" w:rsidRPr="00887D12" w:rsidRDefault="00034042" w:rsidP="006A64B9">
            <w:pPr>
              <w:spacing w:line="360" w:lineRule="auto"/>
            </w:pPr>
            <w:r w:rsidRPr="00887D12">
              <w:rPr>
                <w:i/>
              </w:rPr>
              <w:t>CCAAAAGTATCTCAACTTCGAGAGGCGTTGC</w:t>
            </w:r>
            <w:r w:rsidRPr="00887D12">
              <w:t>AGAAT</w:t>
            </w:r>
          </w:p>
        </w:tc>
        <w:tc>
          <w:tcPr>
            <w:tcW w:w="942" w:type="pct"/>
            <w:vAlign w:val="center"/>
          </w:tcPr>
          <w:p w:rsidR="006A64B9" w:rsidRPr="00887D12" w:rsidRDefault="00167098" w:rsidP="006A64B9">
            <w:pPr>
              <w:spacing w:line="360" w:lineRule="auto"/>
            </w:pPr>
            <w:r w:rsidRPr="00887D12">
              <w:t>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6A64B9" w:rsidRPr="00887D12" w:rsidRDefault="00034042" w:rsidP="00034042">
            <w:pPr>
              <w:spacing w:line="360" w:lineRule="auto"/>
              <w:rPr>
                <w:i/>
              </w:rPr>
            </w:pPr>
            <w:r w:rsidRPr="00887D12">
              <w:t>SOE-P</w:t>
            </w:r>
            <w:r w:rsidR="00BD629F" w:rsidRPr="00887D12">
              <w:t>-</w:t>
            </w:r>
            <w:r w:rsidRPr="00887D12">
              <w:t>sigB-D</w:t>
            </w:r>
            <w:r w:rsidR="00BD6576" w:rsidRPr="00887D12">
              <w:rPr>
                <w:vertAlign w:val="superscript"/>
              </w:rPr>
              <w:t>c</w:t>
            </w:r>
          </w:p>
        </w:tc>
        <w:tc>
          <w:tcPr>
            <w:tcW w:w="2978" w:type="pct"/>
            <w:vAlign w:val="center"/>
          </w:tcPr>
          <w:p w:rsidR="006A64B9" w:rsidRPr="00887D12" w:rsidRDefault="00034042" w:rsidP="006A64B9">
            <w:pPr>
              <w:spacing w:line="360" w:lineRule="auto"/>
            </w:pPr>
            <w:r w:rsidRPr="00887D12">
              <w:t>TCC</w:t>
            </w:r>
            <w:r w:rsidRPr="00887D12">
              <w:rPr>
                <w:u w:val="single"/>
              </w:rPr>
              <w:t>CCCGGG</w:t>
            </w:r>
            <w:r w:rsidRPr="00887D12">
              <w:t xml:space="preserve"> TTCCGGAAATTTCCCAACCATAAAAG</w:t>
            </w:r>
          </w:p>
        </w:tc>
        <w:tc>
          <w:tcPr>
            <w:tcW w:w="942" w:type="pct"/>
            <w:vAlign w:val="center"/>
          </w:tcPr>
          <w:p w:rsidR="006A64B9" w:rsidRPr="00887D12" w:rsidRDefault="00167098" w:rsidP="006A64B9">
            <w:pPr>
              <w:spacing w:line="360" w:lineRule="auto"/>
            </w:pPr>
            <w:r w:rsidRPr="00887D12">
              <w:t>This study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</w:tcPr>
          <w:p w:rsidR="00BD629F" w:rsidRPr="00887D12" w:rsidRDefault="00034042" w:rsidP="00034042">
            <w:r w:rsidRPr="00887D12">
              <w:t>SOE-P</w:t>
            </w:r>
            <w:r w:rsidR="00BD629F" w:rsidRPr="00887D12">
              <w:t>-</w:t>
            </w:r>
            <w:r w:rsidR="00167098" w:rsidRPr="00887D12">
              <w:t>rpoN-A</w:t>
            </w:r>
            <w:r w:rsidR="00BD6576" w:rsidRPr="00887D12">
              <w:rPr>
                <w:vertAlign w:val="superscript"/>
              </w:rPr>
              <w:t>a</w:t>
            </w:r>
          </w:p>
        </w:tc>
        <w:tc>
          <w:tcPr>
            <w:tcW w:w="2978" w:type="pct"/>
            <w:vAlign w:val="center"/>
          </w:tcPr>
          <w:p w:rsidR="00BD629F" w:rsidRPr="00887D12" w:rsidRDefault="00167098" w:rsidP="006A64B9">
            <w:pPr>
              <w:spacing w:line="360" w:lineRule="auto"/>
            </w:pPr>
            <w:r w:rsidRPr="00887D12">
              <w:t>CG</w:t>
            </w:r>
            <w:r w:rsidRPr="00887D12">
              <w:rPr>
                <w:u w:val="single"/>
              </w:rPr>
              <w:t>GGATCC</w:t>
            </w:r>
            <w:r w:rsidRPr="00887D12">
              <w:t>ACCGCGCAGGACGCGT</w:t>
            </w:r>
          </w:p>
        </w:tc>
        <w:tc>
          <w:tcPr>
            <w:tcW w:w="942" w:type="pct"/>
            <w:vAlign w:val="center"/>
          </w:tcPr>
          <w:p w:rsidR="00BD629F" w:rsidRPr="00887D12" w:rsidRDefault="00A60F93" w:rsidP="006A64B9">
            <w:pPr>
              <w:spacing w:line="360" w:lineRule="auto"/>
            </w:pPr>
            <w:r>
              <w:t>[</w:t>
            </w:r>
            <w:r w:rsidR="00241A86">
              <w:t>5</w:t>
            </w:r>
            <w:r w:rsidR="00534F99">
              <w:t>]</w:t>
            </w:r>
          </w:p>
        </w:tc>
      </w:tr>
      <w:tr w:rsidR="00534F99" w:rsidRPr="00887D12" w:rsidTr="00534F99">
        <w:trPr>
          <w:trHeight w:val="558"/>
        </w:trPr>
        <w:tc>
          <w:tcPr>
            <w:tcW w:w="1080" w:type="pct"/>
          </w:tcPr>
          <w:p w:rsidR="00534F99" w:rsidRPr="00887D12" w:rsidRDefault="00534F99" w:rsidP="00534F99">
            <w:r w:rsidRPr="00887D12">
              <w:t>SOE-P- rpoN-B</w:t>
            </w:r>
            <w:r w:rsidRPr="00887D12">
              <w:rPr>
                <w:vertAlign w:val="superscript"/>
              </w:rPr>
              <w:t>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</w:pPr>
            <w:r w:rsidRPr="00887D12">
              <w:rPr>
                <w:i/>
              </w:rPr>
              <w:t>CGTTTAGAATCTAATAATATTCCTTCTTCC</w:t>
            </w:r>
            <w:r w:rsidRPr="00887D12">
              <w:t>TCTAAAAGAAAAAGAT</w:t>
            </w:r>
          </w:p>
        </w:tc>
        <w:tc>
          <w:tcPr>
            <w:tcW w:w="942" w:type="pct"/>
            <w:vAlign w:val="center"/>
          </w:tcPr>
          <w:p w:rsidR="00534F99" w:rsidRPr="00887D12" w:rsidRDefault="00A60F93" w:rsidP="00534F99">
            <w:pPr>
              <w:spacing w:line="360" w:lineRule="auto"/>
            </w:pPr>
            <w:r>
              <w:t>[</w:t>
            </w:r>
            <w:r w:rsidR="00241A86">
              <w:t>5</w:t>
            </w:r>
            <w:r w:rsidR="00534F99">
              <w:t>]</w:t>
            </w:r>
          </w:p>
        </w:tc>
      </w:tr>
      <w:tr w:rsidR="00534F99" w:rsidRPr="00887D12" w:rsidTr="00534F99">
        <w:trPr>
          <w:trHeight w:val="558"/>
        </w:trPr>
        <w:tc>
          <w:tcPr>
            <w:tcW w:w="1080" w:type="pct"/>
          </w:tcPr>
          <w:p w:rsidR="00534F99" w:rsidRPr="00887D12" w:rsidRDefault="00534F99" w:rsidP="00534F99">
            <w:r w:rsidRPr="00887D12">
              <w:t>SOE-P- rpoN-C</w:t>
            </w:r>
            <w:r w:rsidRPr="00887D12">
              <w:rPr>
                <w:vertAlign w:val="superscript"/>
              </w:rPr>
              <w:t>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</w:pPr>
            <w:r w:rsidRPr="00887D12">
              <w:rPr>
                <w:i/>
              </w:rPr>
              <w:t xml:space="preserve">AGGAAGAAGGATATTATTAGATTCTAAACG </w:t>
            </w:r>
            <w:r w:rsidRPr="00887D12">
              <w:t>CACATTAAAACCTC</w:t>
            </w:r>
          </w:p>
        </w:tc>
        <w:tc>
          <w:tcPr>
            <w:tcW w:w="942" w:type="pct"/>
            <w:vAlign w:val="center"/>
          </w:tcPr>
          <w:p w:rsidR="00534F99" w:rsidRPr="00887D12" w:rsidRDefault="00A60F93" w:rsidP="00534F99">
            <w:pPr>
              <w:spacing w:line="360" w:lineRule="auto"/>
            </w:pPr>
            <w:r>
              <w:t>[</w:t>
            </w:r>
            <w:r w:rsidR="00241A86">
              <w:t>5</w:t>
            </w:r>
            <w:r w:rsidR="00534F99">
              <w:t>]</w:t>
            </w:r>
          </w:p>
        </w:tc>
      </w:tr>
      <w:tr w:rsidR="00534F99" w:rsidRPr="00887D12" w:rsidTr="00534F99">
        <w:trPr>
          <w:trHeight w:val="558"/>
        </w:trPr>
        <w:tc>
          <w:tcPr>
            <w:tcW w:w="1080" w:type="pct"/>
          </w:tcPr>
          <w:p w:rsidR="00534F99" w:rsidRPr="00887D12" w:rsidRDefault="00534F99" w:rsidP="00534F99">
            <w:r w:rsidRPr="00887D12">
              <w:t>SOE-P- rpoN-D</w:t>
            </w:r>
            <w:r w:rsidRPr="00887D12">
              <w:rPr>
                <w:vertAlign w:val="superscript"/>
              </w:rPr>
              <w:t>a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</w:pPr>
            <w:r w:rsidRPr="00887D12">
              <w:t>G</w:t>
            </w:r>
            <w:r w:rsidRPr="00887D12">
              <w:rPr>
                <w:u w:val="single"/>
              </w:rPr>
              <w:t>GAATTC</w:t>
            </w:r>
            <w:r w:rsidRPr="00887D12">
              <w:t>CAGGACTAACTCGCTTCGGA</w:t>
            </w:r>
          </w:p>
        </w:tc>
        <w:tc>
          <w:tcPr>
            <w:tcW w:w="942" w:type="pct"/>
            <w:vAlign w:val="center"/>
          </w:tcPr>
          <w:p w:rsidR="00534F99" w:rsidRPr="00887D12" w:rsidRDefault="00A60F93" w:rsidP="00534F99">
            <w:pPr>
              <w:spacing w:line="360" w:lineRule="auto"/>
            </w:pPr>
            <w:r>
              <w:t>[</w:t>
            </w:r>
            <w:r w:rsidR="00241A86">
              <w:t>5</w:t>
            </w:r>
            <w:r w:rsidR="00534F99">
              <w:t>]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BD629F" w:rsidRPr="00887D12" w:rsidRDefault="00BD629F" w:rsidP="006A64B9">
            <w:pPr>
              <w:spacing w:line="360" w:lineRule="auto"/>
              <w:rPr>
                <w:i/>
              </w:rPr>
            </w:pPr>
            <w:r w:rsidRPr="00887D12">
              <w:rPr>
                <w:i/>
              </w:rPr>
              <w:t>Real-time PCR primers</w:t>
            </w:r>
          </w:p>
        </w:tc>
        <w:tc>
          <w:tcPr>
            <w:tcW w:w="2978" w:type="pct"/>
            <w:vAlign w:val="center"/>
          </w:tcPr>
          <w:p w:rsidR="00BD629F" w:rsidRPr="00887D12" w:rsidRDefault="00BD629F" w:rsidP="006A64B9">
            <w:pPr>
              <w:spacing w:line="360" w:lineRule="auto"/>
            </w:pPr>
          </w:p>
        </w:tc>
        <w:tc>
          <w:tcPr>
            <w:tcW w:w="942" w:type="pct"/>
            <w:vAlign w:val="center"/>
          </w:tcPr>
          <w:p w:rsidR="00BD629F" w:rsidRPr="00887D12" w:rsidRDefault="00BD629F" w:rsidP="006A64B9">
            <w:pPr>
              <w:spacing w:line="360" w:lineRule="auto"/>
            </w:pP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i/>
              </w:rPr>
            </w:pPr>
            <w:r w:rsidRPr="00887D12">
              <w:rPr>
                <w:i/>
              </w:rPr>
              <w:t>16S rRNA</w:t>
            </w:r>
            <w:r w:rsidRPr="00887D12">
              <w:t xml:space="preserve"> forward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</w:pPr>
            <w:r w:rsidRPr="00887D12">
              <w:t>GATGCATAGCCGACCTGAGA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b/>
              </w:rPr>
            </w:pPr>
            <w:r w:rsidRPr="00887D12">
              <w:rPr>
                <w:i/>
              </w:rPr>
              <w:t>16S rRNA</w:t>
            </w:r>
            <w:r w:rsidRPr="00887D12">
              <w:t xml:space="preserve"> reverse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</w:pPr>
            <w:r w:rsidRPr="00887D12">
              <w:t>CTCCGTCAGACTTTCGTCCA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en-US"/>
              </w:rPr>
            </w:pPr>
            <w:r w:rsidRPr="00887D12">
              <w:rPr>
                <w:i/>
              </w:rPr>
              <w:t>lmo0096</w:t>
            </w:r>
            <w:r w:rsidRPr="00887D12">
              <w:t xml:space="preserve"> forward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en-US"/>
              </w:rPr>
            </w:pPr>
            <w:r w:rsidRPr="00887D12">
              <w:t>GATTCACGTCTCTTGCATGGT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en-US"/>
              </w:rPr>
            </w:pPr>
            <w:r w:rsidRPr="00887D12">
              <w:rPr>
                <w:i/>
              </w:rPr>
              <w:t>lmo0096</w:t>
            </w:r>
            <w:r w:rsidRPr="00887D12">
              <w:t xml:space="preserve"> reverse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en-US"/>
              </w:rPr>
            </w:pPr>
            <w:r w:rsidRPr="00887D12">
              <w:t>CTGGTGGTGCAGCTTGTTC</w:t>
            </w:r>
          </w:p>
        </w:tc>
        <w:tc>
          <w:tcPr>
            <w:tcW w:w="942" w:type="pct"/>
          </w:tcPr>
          <w:p w:rsidR="00534F99" w:rsidRDefault="00A60F93" w:rsidP="00241A86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</w:pPr>
            <w:r w:rsidRPr="00887D12">
              <w:rPr>
                <w:i/>
              </w:rPr>
              <w:t>lmo0137</w:t>
            </w:r>
            <w:r w:rsidRPr="00887D12">
              <w:t xml:space="preserve"> forward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t>ACACGAGAGCGGAGTTTTTG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i/>
              </w:rPr>
              <w:t>lmo0137</w:t>
            </w:r>
            <w:r w:rsidRPr="00887D12">
              <w:t xml:space="preserve"> reverse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t>AGGGTCATAAGGCGAAAGGA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i/>
              </w:rPr>
              <w:t>lmo0685</w:t>
            </w:r>
            <w:r w:rsidRPr="00887D12">
              <w:t xml:space="preserve"> forward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caps/>
              </w:rPr>
              <w:t>cgtgctttggacaccattt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6605CE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i/>
              </w:rPr>
              <w:t>lmo0685</w:t>
            </w:r>
            <w:r w:rsidRPr="00887D12">
              <w:t xml:space="preserve"> reverse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caps/>
              </w:rPr>
              <w:t>tctcgttttcttcccttttcc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0E486E">
              <w:t>]</w:t>
            </w:r>
          </w:p>
        </w:tc>
      </w:tr>
      <w:tr w:rsidR="00534F99" w:rsidRPr="00887D12" w:rsidTr="00FB1DE9">
        <w:trPr>
          <w:trHeight w:val="558"/>
        </w:trPr>
        <w:tc>
          <w:tcPr>
            <w:tcW w:w="1080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i/>
              </w:rPr>
              <w:lastRenderedPageBreak/>
              <w:t>lmo2625</w:t>
            </w:r>
            <w:r w:rsidRPr="00887D12">
              <w:t xml:space="preserve"> forward</w:t>
            </w:r>
          </w:p>
        </w:tc>
        <w:tc>
          <w:tcPr>
            <w:tcW w:w="2978" w:type="pct"/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t>TCGGATGGGTAAAGGTAAAGG</w:t>
            </w:r>
          </w:p>
        </w:tc>
        <w:tc>
          <w:tcPr>
            <w:tcW w:w="942" w:type="pct"/>
          </w:tcPr>
          <w:p w:rsidR="00534F99" w:rsidRDefault="00A60F93" w:rsidP="00534F99">
            <w:r>
              <w:t>[2</w:t>
            </w:r>
            <w:r w:rsidR="00534F99" w:rsidRPr="006E3EED">
              <w:t>]</w:t>
            </w:r>
          </w:p>
        </w:tc>
      </w:tr>
      <w:tr w:rsidR="00534F99" w:rsidRPr="00887D12" w:rsidTr="00FB1DE9">
        <w:trPr>
          <w:trHeight w:val="558"/>
        </w:trPr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rPr>
                <w:i/>
              </w:rPr>
              <w:t>lmo2625</w:t>
            </w:r>
            <w:r w:rsidRPr="00887D12">
              <w:t xml:space="preserve"> reverse</w:t>
            </w:r>
          </w:p>
        </w:tc>
        <w:tc>
          <w:tcPr>
            <w:tcW w:w="2978" w:type="pct"/>
            <w:tcBorders>
              <w:bottom w:val="single" w:sz="4" w:space="0" w:color="auto"/>
            </w:tcBorders>
            <w:vAlign w:val="center"/>
          </w:tcPr>
          <w:p w:rsidR="00534F99" w:rsidRPr="00887D12" w:rsidRDefault="00534F99" w:rsidP="00534F99">
            <w:pPr>
              <w:spacing w:line="360" w:lineRule="auto"/>
              <w:rPr>
                <w:lang w:val="fi-FI"/>
              </w:rPr>
            </w:pPr>
            <w:r w:rsidRPr="00887D12">
              <w:t>AGTTTTGACCGGCAGTTTGT</w:t>
            </w:r>
          </w:p>
        </w:tc>
        <w:tc>
          <w:tcPr>
            <w:tcW w:w="942" w:type="pct"/>
            <w:tcBorders>
              <w:bottom w:val="single" w:sz="4" w:space="0" w:color="auto"/>
            </w:tcBorders>
          </w:tcPr>
          <w:p w:rsidR="00534F99" w:rsidRDefault="00A60F93" w:rsidP="00534F99">
            <w:r>
              <w:t>[2</w:t>
            </w:r>
            <w:r w:rsidR="00534F99" w:rsidRPr="006E3EED">
              <w:t>]</w:t>
            </w:r>
          </w:p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960C23" w:rsidRPr="00887D12" w:rsidRDefault="00960C23" w:rsidP="006A64B9">
            <w:pPr>
              <w:spacing w:line="360" w:lineRule="auto"/>
              <w:rPr>
                <w:lang w:val="fi-FI"/>
              </w:rPr>
            </w:pPr>
          </w:p>
        </w:tc>
        <w:tc>
          <w:tcPr>
            <w:tcW w:w="2978" w:type="pct"/>
            <w:vAlign w:val="center"/>
          </w:tcPr>
          <w:p w:rsidR="00960C23" w:rsidRPr="00887D12" w:rsidRDefault="00960C23" w:rsidP="006A64B9">
            <w:pPr>
              <w:spacing w:line="360" w:lineRule="auto"/>
              <w:rPr>
                <w:lang w:val="fi-FI"/>
              </w:rPr>
            </w:pPr>
          </w:p>
        </w:tc>
        <w:tc>
          <w:tcPr>
            <w:tcW w:w="942" w:type="pct"/>
            <w:vAlign w:val="center"/>
          </w:tcPr>
          <w:p w:rsidR="00960C23" w:rsidRPr="00887D12" w:rsidRDefault="00960C23" w:rsidP="006A64B9"/>
        </w:tc>
      </w:tr>
      <w:tr w:rsidR="00887D12" w:rsidRPr="00887D12" w:rsidTr="00534F99">
        <w:trPr>
          <w:trHeight w:val="558"/>
        </w:trPr>
        <w:tc>
          <w:tcPr>
            <w:tcW w:w="1080" w:type="pct"/>
            <w:vAlign w:val="center"/>
          </w:tcPr>
          <w:p w:rsidR="00BD6576" w:rsidRPr="00887D12" w:rsidRDefault="00BD6576" w:rsidP="00887D12">
            <w:pPr>
              <w:spacing w:line="360" w:lineRule="auto"/>
              <w:rPr>
                <w:lang w:val="fi-FI"/>
              </w:rPr>
            </w:pPr>
          </w:p>
        </w:tc>
        <w:tc>
          <w:tcPr>
            <w:tcW w:w="2978" w:type="pct"/>
            <w:vAlign w:val="center"/>
          </w:tcPr>
          <w:p w:rsidR="00BD6576" w:rsidRPr="00887D12" w:rsidRDefault="00BD6576" w:rsidP="00887D12">
            <w:pPr>
              <w:spacing w:line="360" w:lineRule="auto"/>
              <w:rPr>
                <w:lang w:val="fi-FI"/>
              </w:rPr>
            </w:pPr>
          </w:p>
        </w:tc>
        <w:tc>
          <w:tcPr>
            <w:tcW w:w="942" w:type="pct"/>
            <w:vAlign w:val="center"/>
          </w:tcPr>
          <w:p w:rsidR="00BD6576" w:rsidRPr="00887D12" w:rsidRDefault="00BD6576" w:rsidP="00887D12">
            <w:pPr>
              <w:spacing w:line="360" w:lineRule="auto"/>
            </w:pPr>
          </w:p>
        </w:tc>
      </w:tr>
    </w:tbl>
    <w:p w:rsidR="00B54B78" w:rsidRPr="00887D12" w:rsidRDefault="00BD6576" w:rsidP="00887D12">
      <w:pPr>
        <w:spacing w:line="360" w:lineRule="auto"/>
        <w:rPr>
          <w:rFonts w:eastAsiaTheme="minorEastAsia"/>
          <w:lang w:val="en-US" w:eastAsia="zh-CN"/>
        </w:rPr>
      </w:pPr>
      <w:r w:rsidRPr="00887D12">
        <w:rPr>
          <w:rFonts w:eastAsiaTheme="minorEastAsia"/>
          <w:vertAlign w:val="superscript"/>
          <w:lang w:val="en-US" w:eastAsia="zh-CN"/>
        </w:rPr>
        <w:t>a</w:t>
      </w:r>
      <w:r w:rsidRPr="00887D12">
        <w:rPr>
          <w:rFonts w:eastAsiaTheme="minorEastAsia"/>
          <w:lang w:val="en-US" w:eastAsia="zh-CN"/>
        </w:rPr>
        <w:t xml:space="preserve">The </w:t>
      </w:r>
      <w:r w:rsidRPr="00887D12">
        <w:rPr>
          <w:rFonts w:eastAsiaTheme="minorEastAsia"/>
          <w:i/>
          <w:lang w:val="en-US" w:eastAsia="zh-CN"/>
        </w:rPr>
        <w:t>Eco</w:t>
      </w:r>
      <w:r w:rsidRPr="00887D12">
        <w:rPr>
          <w:rFonts w:eastAsiaTheme="minorEastAsia"/>
          <w:lang w:val="en-US" w:eastAsia="zh-CN"/>
        </w:rPr>
        <w:t>RI recognition sequence incorporated in primer to facilitate cloning is underlined.</w:t>
      </w:r>
    </w:p>
    <w:p w:rsidR="00BD6576" w:rsidRPr="00887D12" w:rsidRDefault="00BD6576" w:rsidP="00887D12">
      <w:pPr>
        <w:spacing w:line="360" w:lineRule="auto"/>
        <w:rPr>
          <w:rFonts w:eastAsiaTheme="minorEastAsia"/>
          <w:lang w:val="en-US" w:eastAsia="zh-CN"/>
        </w:rPr>
      </w:pPr>
      <w:r w:rsidRPr="00887D12">
        <w:rPr>
          <w:rFonts w:eastAsiaTheme="minorEastAsia"/>
          <w:vertAlign w:val="superscript"/>
          <w:lang w:val="en-US" w:eastAsia="zh-CN"/>
        </w:rPr>
        <w:t>b</w:t>
      </w:r>
      <w:r w:rsidRPr="00887D12">
        <w:rPr>
          <w:rFonts w:eastAsiaTheme="minorEastAsia"/>
          <w:lang w:val="en-US" w:eastAsia="zh-CN"/>
        </w:rPr>
        <w:t>The complementary overhang regions in SOE-P-SigB-B and SOE-P-SigB-C SOE PCR primers are in italics.</w:t>
      </w:r>
    </w:p>
    <w:p w:rsidR="00BD6576" w:rsidRPr="00887D12" w:rsidRDefault="00BD6576" w:rsidP="00887D12">
      <w:pPr>
        <w:spacing w:line="360" w:lineRule="auto"/>
        <w:rPr>
          <w:rFonts w:eastAsiaTheme="minorEastAsia"/>
          <w:lang w:val="en-US" w:eastAsia="zh-CN"/>
        </w:rPr>
      </w:pPr>
      <w:r w:rsidRPr="00887D12">
        <w:rPr>
          <w:rFonts w:eastAsiaTheme="minorEastAsia"/>
          <w:vertAlign w:val="superscript"/>
          <w:lang w:val="en-US" w:eastAsia="zh-CN"/>
        </w:rPr>
        <w:t xml:space="preserve">c </w:t>
      </w:r>
      <w:r w:rsidRPr="00887D12">
        <w:rPr>
          <w:rFonts w:eastAsiaTheme="minorEastAsia"/>
          <w:lang w:val="en-US" w:eastAsia="zh-CN"/>
        </w:rPr>
        <w:t xml:space="preserve">The </w:t>
      </w:r>
      <w:r w:rsidRPr="00887D12">
        <w:rPr>
          <w:rFonts w:eastAsiaTheme="minorEastAsia"/>
          <w:i/>
          <w:lang w:val="en-US" w:eastAsia="zh-CN"/>
        </w:rPr>
        <w:t>Sma</w:t>
      </w:r>
      <w:r w:rsidRPr="00887D12">
        <w:rPr>
          <w:rFonts w:eastAsiaTheme="minorEastAsia"/>
          <w:lang w:val="en-US" w:eastAsia="zh-CN"/>
        </w:rPr>
        <w:t>I recognition sequence incorporated in primer to facilitate cloning is underlined.</w:t>
      </w:r>
    </w:p>
    <w:p w:rsidR="00BD6576" w:rsidRPr="00887D12" w:rsidRDefault="00BD6576" w:rsidP="00887D12">
      <w:pPr>
        <w:spacing w:line="360" w:lineRule="auto"/>
        <w:rPr>
          <w:rFonts w:eastAsiaTheme="minorEastAsia"/>
          <w:lang w:val="en-US" w:eastAsia="zh-CN"/>
        </w:rPr>
      </w:pPr>
      <w:r w:rsidRPr="00887D12">
        <w:rPr>
          <w:rFonts w:eastAsiaTheme="minorEastAsia"/>
          <w:vertAlign w:val="superscript"/>
          <w:lang w:val="en-US" w:eastAsia="zh-CN"/>
        </w:rPr>
        <w:t>d</w:t>
      </w:r>
      <w:r w:rsidRPr="00887D12">
        <w:rPr>
          <w:rFonts w:eastAsiaTheme="minorEastAsia"/>
          <w:lang w:val="en-US" w:eastAsia="zh-CN"/>
        </w:rPr>
        <w:t>The complementary overhang regions in SOE-P-SigL-B and SOE-P-SigL-C SOE PCR primers are in italics.</w:t>
      </w:r>
    </w:p>
    <w:p w:rsidR="00BD6576" w:rsidRPr="00887D12" w:rsidRDefault="00BD6576">
      <w:pPr>
        <w:rPr>
          <w:rFonts w:eastAsiaTheme="minorEastAsia"/>
          <w:lang w:val="en-US" w:eastAsia="zh-CN"/>
        </w:rPr>
      </w:pPr>
    </w:p>
    <w:p w:rsidR="00BD6576" w:rsidRPr="006D3165" w:rsidRDefault="00A60F93">
      <w:pPr>
        <w:rPr>
          <w:b/>
        </w:rPr>
      </w:pPr>
      <w:r w:rsidRPr="006D3165">
        <w:rPr>
          <w:b/>
        </w:rPr>
        <w:t>References</w:t>
      </w:r>
      <w:r w:rsidR="006D3165">
        <w:rPr>
          <w:b/>
        </w:rPr>
        <w:t>:</w:t>
      </w:r>
      <w:bookmarkStart w:id="0" w:name="_GoBack"/>
      <w:bookmarkEnd w:id="0"/>
    </w:p>
    <w:p w:rsidR="00A60F93" w:rsidRDefault="00A60F93">
      <w:r>
        <w:t xml:space="preserve">1. </w:t>
      </w:r>
      <w:r w:rsidRPr="0059183E">
        <w:rPr>
          <w:lang w:val="da-DK"/>
        </w:rPr>
        <w:t xml:space="preserve">Glaser, P.; Frangeul, L., Buchrieser, C.; Rusniok, C.; Amend, A.; Baquero, F.; Berche, P.; Bloecker, H.; Brandt, P.; Chakraborty, T.; et al. </w:t>
      </w:r>
      <w:r w:rsidRPr="00A45B00">
        <w:t xml:space="preserve">Comparative genomics of Listeria species. </w:t>
      </w:r>
      <w:r w:rsidRPr="00A45B00">
        <w:rPr>
          <w:i/>
        </w:rPr>
        <w:t>Science</w:t>
      </w:r>
      <w:r w:rsidRPr="00A45B00">
        <w:t xml:space="preserve"> </w:t>
      </w:r>
      <w:r w:rsidRPr="00A45B00">
        <w:rPr>
          <w:b/>
        </w:rPr>
        <w:t>2001</w:t>
      </w:r>
      <w:r w:rsidRPr="00A45B00">
        <w:t xml:space="preserve">, </w:t>
      </w:r>
      <w:r w:rsidRPr="00A45B00">
        <w:rPr>
          <w:i/>
        </w:rPr>
        <w:t>294</w:t>
      </w:r>
      <w:r w:rsidRPr="00A45B00">
        <w:t>, 849–852</w:t>
      </w:r>
      <w:r>
        <w:t>.</w:t>
      </w:r>
    </w:p>
    <w:p w:rsidR="00A60F93" w:rsidRDefault="00A60F93">
      <w:r>
        <w:rPr>
          <w:lang w:val="en-US"/>
        </w:rPr>
        <w:t xml:space="preserve">2. </w:t>
      </w:r>
      <w:r w:rsidRPr="00A45B00">
        <w:t xml:space="preserve">Mattila, M.; Somervuo, P.; Rattei, T.; Korkeala, H.; Stephan, R.; Tasara, T. </w:t>
      </w:r>
      <w:bookmarkStart w:id="1" w:name="OLE_LINK3"/>
      <w:bookmarkStart w:id="2" w:name="OLE_LINK4"/>
      <w:r w:rsidRPr="00A45B00">
        <w:t>Phenotypic and transcriptomic analyses of Sigma L</w:t>
      </w:r>
      <w:r>
        <w:t>−</w:t>
      </w:r>
      <w:r w:rsidRPr="00A45B00">
        <w:t>dependent characteristics in Listeria monocytogenes EGD</w:t>
      </w:r>
      <w:r>
        <w:t>−</w:t>
      </w:r>
      <w:r w:rsidRPr="00A45B00">
        <w:t>e</w:t>
      </w:r>
      <w:bookmarkEnd w:id="1"/>
      <w:bookmarkEnd w:id="2"/>
      <w:r w:rsidRPr="00A45B00">
        <w:t xml:space="preserve">. </w:t>
      </w:r>
      <w:r w:rsidRPr="00A45B00">
        <w:rPr>
          <w:i/>
        </w:rPr>
        <w:t>Food Microbiol.</w:t>
      </w:r>
      <w:r w:rsidRPr="00A45B00">
        <w:t xml:space="preserve"> </w:t>
      </w:r>
      <w:r w:rsidRPr="00A45B00">
        <w:rPr>
          <w:b/>
        </w:rPr>
        <w:t>2012</w:t>
      </w:r>
      <w:r w:rsidRPr="00A45B00">
        <w:t xml:space="preserve">, </w:t>
      </w:r>
      <w:r w:rsidRPr="00A45B00">
        <w:rPr>
          <w:i/>
        </w:rPr>
        <w:t>32</w:t>
      </w:r>
      <w:r w:rsidRPr="00A45B00">
        <w:t>, 152–164.</w:t>
      </w:r>
    </w:p>
    <w:p w:rsidR="00A60F93" w:rsidRDefault="00A60F93">
      <w:pPr>
        <w:rPr>
          <w:lang w:val="en-US"/>
        </w:rPr>
      </w:pPr>
      <w:r>
        <w:rPr>
          <w:lang w:val="en-US"/>
        </w:rPr>
        <w:t xml:space="preserve">3. </w:t>
      </w:r>
      <w:r w:rsidRPr="00A60F93">
        <w:rPr>
          <w:lang w:val="en-US"/>
        </w:rPr>
        <w:t>Bullock, W.O. XL1−Blue: A high efficiency plasmid transforming recA Escherichia coli strain with beta−galactosidase selection. Bio. Tecchniques 1987, 5, 376–379.</w:t>
      </w:r>
    </w:p>
    <w:p w:rsidR="00A60F93" w:rsidRDefault="00A60F93">
      <w:r>
        <w:rPr>
          <w:lang w:val="en-US"/>
        </w:rPr>
        <w:t xml:space="preserve">4. </w:t>
      </w:r>
      <w:r w:rsidRPr="00A45B00">
        <w:t>Smith, K.; Youngman, P. Use of a new integrational vector to investigate compartment</w:t>
      </w:r>
      <w:r>
        <w:t>−</w:t>
      </w:r>
      <w:r w:rsidRPr="00A45B00">
        <w:t xml:space="preserve">specific expression of the Bacillus subtilis spoIIM gene. </w:t>
      </w:r>
      <w:r w:rsidRPr="00A45B00">
        <w:rPr>
          <w:i/>
        </w:rPr>
        <w:t>Biochimie</w:t>
      </w:r>
      <w:r w:rsidRPr="00A45B00">
        <w:t xml:space="preserve"> </w:t>
      </w:r>
      <w:r w:rsidRPr="00A45B00">
        <w:rPr>
          <w:b/>
        </w:rPr>
        <w:t>1992</w:t>
      </w:r>
      <w:r w:rsidRPr="00A45B00">
        <w:t xml:space="preserve">, </w:t>
      </w:r>
      <w:r w:rsidRPr="00A45B00">
        <w:rPr>
          <w:i/>
        </w:rPr>
        <w:t>74</w:t>
      </w:r>
      <w:r w:rsidRPr="00A45B00">
        <w:t>, 705–711</w:t>
      </w:r>
      <w:r>
        <w:t>.</w:t>
      </w:r>
    </w:p>
    <w:p w:rsidR="00A60F93" w:rsidRPr="00887D12" w:rsidRDefault="00A60F93">
      <w:pPr>
        <w:rPr>
          <w:lang w:val="en-US"/>
        </w:rPr>
      </w:pPr>
      <w:r>
        <w:t xml:space="preserve">5. </w:t>
      </w:r>
      <w:r w:rsidRPr="00A60F93">
        <w:t>Raimann, E.; Schmid, B.; Stephan, R.; Tasara, T. The alternative sigma factor Sigma(L) of L. monocytogenes promotes growth under diverse environmental stresses. Foodborne Pathog. Dis. 2009, 6, 583–591</w:t>
      </w:r>
    </w:p>
    <w:sectPr w:rsidR="00A60F93" w:rsidRPr="00887D12" w:rsidSect="00C4765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792" w:rsidRDefault="001E2792" w:rsidP="00534F99">
      <w:r>
        <w:separator/>
      </w:r>
    </w:p>
  </w:endnote>
  <w:endnote w:type="continuationSeparator" w:id="0">
    <w:p w:rsidR="001E2792" w:rsidRDefault="001E2792" w:rsidP="0053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792" w:rsidRDefault="001E2792" w:rsidP="00534F99">
      <w:r>
        <w:separator/>
      </w:r>
    </w:p>
  </w:footnote>
  <w:footnote w:type="continuationSeparator" w:id="0">
    <w:p w:rsidR="001E2792" w:rsidRDefault="001E2792" w:rsidP="00534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655"/>
    <w:rsid w:val="00034042"/>
    <w:rsid w:val="00167098"/>
    <w:rsid w:val="001E2792"/>
    <w:rsid w:val="002146C0"/>
    <w:rsid w:val="00241A86"/>
    <w:rsid w:val="003126B8"/>
    <w:rsid w:val="00340096"/>
    <w:rsid w:val="003E0D7C"/>
    <w:rsid w:val="00433A54"/>
    <w:rsid w:val="004467D3"/>
    <w:rsid w:val="00534F99"/>
    <w:rsid w:val="0054043F"/>
    <w:rsid w:val="0058561D"/>
    <w:rsid w:val="00595F3F"/>
    <w:rsid w:val="006A64B9"/>
    <w:rsid w:val="006D3165"/>
    <w:rsid w:val="006F6D34"/>
    <w:rsid w:val="007442DC"/>
    <w:rsid w:val="007E3824"/>
    <w:rsid w:val="00887D12"/>
    <w:rsid w:val="00960C23"/>
    <w:rsid w:val="00975E31"/>
    <w:rsid w:val="00A60F93"/>
    <w:rsid w:val="00B54B78"/>
    <w:rsid w:val="00BD629F"/>
    <w:rsid w:val="00BD6576"/>
    <w:rsid w:val="00C47655"/>
    <w:rsid w:val="00CB459D"/>
    <w:rsid w:val="00CE34D5"/>
    <w:rsid w:val="00D267B8"/>
    <w:rsid w:val="00D51835"/>
    <w:rsid w:val="00D65B21"/>
    <w:rsid w:val="00DB42FB"/>
    <w:rsid w:val="00E46B93"/>
    <w:rsid w:val="00EE7C03"/>
    <w:rsid w:val="00F6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E596826-5344-44BD-8D59-BDF7449B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2"/>
        <w:lang w:val="fi-FI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655"/>
    <w:rPr>
      <w:rFonts w:eastAsia="Times New Roman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A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A86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D86F8-D27B-4DDF-ADB9-827C10D1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376</Words>
  <Characters>2609</Characters>
  <Application>Microsoft Office Word</Application>
  <DocSecurity>0</DocSecurity>
  <Lines>217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mqmattil</dc:creator>
  <cp:lastModifiedBy>MDPI</cp:lastModifiedBy>
  <cp:revision>5</cp:revision>
  <dcterms:created xsi:type="dcterms:W3CDTF">2020-10-12T13:29:00Z</dcterms:created>
  <dcterms:modified xsi:type="dcterms:W3CDTF">2020-10-23T09:44:00Z</dcterms:modified>
</cp:coreProperties>
</file>