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825" w:rsidRPr="000A49E3" w:rsidRDefault="007473E6" w:rsidP="00545825">
      <w:pPr>
        <w:spacing w:line="480" w:lineRule="auto"/>
        <w:jc w:val="both"/>
        <w:rPr>
          <w:lang w:val="en-US"/>
        </w:rPr>
      </w:pPr>
      <w:bookmarkStart w:id="0" w:name="_GoBack"/>
      <w:bookmarkEnd w:id="0"/>
      <w:r>
        <w:rPr>
          <w:b/>
          <w:lang w:val="en-US"/>
        </w:rPr>
        <w:t>Table S</w:t>
      </w:r>
      <w:r w:rsidR="008B3745">
        <w:rPr>
          <w:b/>
          <w:lang w:val="en-US"/>
        </w:rPr>
        <w:t>2</w:t>
      </w:r>
      <w:r w:rsidR="00545825" w:rsidRPr="00D46B0A">
        <w:rPr>
          <w:b/>
          <w:lang w:val="en-US"/>
        </w:rPr>
        <w:t>.</w:t>
      </w:r>
      <w:r w:rsidR="00545825" w:rsidRPr="00BE58F4">
        <w:rPr>
          <w:lang w:val="en-US"/>
        </w:rPr>
        <w:t xml:space="preserve"> </w:t>
      </w:r>
      <w:r w:rsidR="00545825">
        <w:rPr>
          <w:lang w:val="en-US"/>
        </w:rPr>
        <w:t>Results from the</w:t>
      </w:r>
      <w:r w:rsidR="009307B5">
        <w:rPr>
          <w:lang w:val="en-US"/>
        </w:rPr>
        <w:t xml:space="preserve"> BIOLOG</w:t>
      </w:r>
      <w:r w:rsidR="00545825">
        <w:rPr>
          <w:lang w:val="en-US"/>
        </w:rPr>
        <w:t xml:space="preserve"> </w:t>
      </w:r>
      <w:r w:rsidR="00545825" w:rsidRPr="000A49E3">
        <w:rPr>
          <w:lang w:val="en-US"/>
        </w:rPr>
        <w:t xml:space="preserve">phenotypic microarray </w:t>
      </w:r>
      <w:r w:rsidR="00545825">
        <w:rPr>
          <w:lang w:val="en-US"/>
        </w:rPr>
        <w:t>comparative analysis</w:t>
      </w:r>
      <w:r w:rsidR="00545825" w:rsidRPr="000A49E3">
        <w:rPr>
          <w:lang w:val="en-US"/>
        </w:rPr>
        <w:t xml:space="preserve"> of the</w:t>
      </w:r>
      <w:r w:rsidR="009307B5">
        <w:rPr>
          <w:lang w:val="en-US"/>
        </w:rPr>
        <w:t xml:space="preserve"> </w:t>
      </w:r>
      <w:r w:rsidR="00D35839">
        <w:rPr>
          <w:i/>
          <w:lang w:val="en-US"/>
        </w:rPr>
        <w:t>Listeria</w:t>
      </w:r>
      <w:r w:rsidR="009307B5">
        <w:rPr>
          <w:i/>
          <w:lang w:val="en-US"/>
        </w:rPr>
        <w:t> </w:t>
      </w:r>
      <w:r w:rsidR="009307B5" w:rsidRPr="009307B5">
        <w:rPr>
          <w:i/>
          <w:lang w:val="en-US"/>
        </w:rPr>
        <w:t xml:space="preserve">monocytogenes </w:t>
      </w:r>
      <w:r w:rsidR="00545825" w:rsidRPr="009307B5">
        <w:rPr>
          <w:i/>
          <w:lang w:val="en-US"/>
        </w:rPr>
        <w:t xml:space="preserve"> </w:t>
      </w:r>
      <w:r w:rsidR="00545825" w:rsidRPr="000A49E3">
        <w:rPr>
          <w:lang w:val="en-US"/>
        </w:rPr>
        <w:t>∆</w:t>
      </w:r>
      <w:r w:rsidR="00545825" w:rsidRPr="000A49E3">
        <w:rPr>
          <w:i/>
          <w:lang w:val="en-US"/>
        </w:rPr>
        <w:t>sig</w:t>
      </w:r>
      <w:r w:rsidR="00545825">
        <w:rPr>
          <w:i/>
          <w:lang w:val="en-US"/>
        </w:rPr>
        <w:t>B</w:t>
      </w:r>
      <w:r w:rsidR="00545825" w:rsidRPr="000A49E3">
        <w:rPr>
          <w:lang w:val="en-US"/>
        </w:rPr>
        <w:t xml:space="preserve"> </w:t>
      </w:r>
      <w:r w:rsidR="00545825">
        <w:rPr>
          <w:lang w:val="en-US"/>
        </w:rPr>
        <w:t xml:space="preserve">and </w:t>
      </w:r>
      <w:r w:rsidR="00B3518A">
        <w:rPr>
          <w:lang w:val="en-US"/>
        </w:rPr>
        <w:t>parental</w:t>
      </w:r>
      <w:r w:rsidR="005101F9">
        <w:rPr>
          <w:lang w:val="en-US"/>
        </w:rPr>
        <w:t xml:space="preserve"> EGD-e</w:t>
      </w:r>
      <w:r w:rsidR="00545825">
        <w:rPr>
          <w:lang w:val="en-US"/>
        </w:rPr>
        <w:t xml:space="preserve"> strains</w:t>
      </w:r>
    </w:p>
    <w:tbl>
      <w:tblPr>
        <w:tblW w:w="903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7"/>
        <w:gridCol w:w="2699"/>
        <w:gridCol w:w="3119"/>
        <w:gridCol w:w="1134"/>
      </w:tblGrid>
      <w:tr w:rsidR="00A85F7C" w:rsidRPr="009307B5" w:rsidTr="00EB65A9">
        <w:tc>
          <w:tcPr>
            <w:tcW w:w="2087" w:type="dxa"/>
          </w:tcPr>
          <w:p w:rsidR="00545825" w:rsidRDefault="00545825" w:rsidP="00861709">
            <w:pPr>
              <w:jc w:val="both"/>
              <w:rPr>
                <w:b/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Phenotypic microarray t</w:t>
            </w:r>
            <w:r w:rsidRPr="00EE70E2">
              <w:rPr>
                <w:b/>
                <w:sz w:val="16"/>
                <w:lang w:val="en-US"/>
              </w:rPr>
              <w:t>est</w:t>
            </w:r>
          </w:p>
        </w:tc>
        <w:tc>
          <w:tcPr>
            <w:tcW w:w="2699" w:type="dxa"/>
          </w:tcPr>
          <w:p w:rsidR="00545825" w:rsidRDefault="00545825" w:rsidP="00925FC7">
            <w:pPr>
              <w:rPr>
                <w:b/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Chemical/S</w:t>
            </w:r>
            <w:r w:rsidRPr="00EE70E2">
              <w:rPr>
                <w:b/>
                <w:sz w:val="16"/>
                <w:lang w:val="en-US"/>
              </w:rPr>
              <w:t>ubstrate</w:t>
            </w:r>
          </w:p>
        </w:tc>
        <w:tc>
          <w:tcPr>
            <w:tcW w:w="3119" w:type="dxa"/>
          </w:tcPr>
          <w:p w:rsidR="00545825" w:rsidRDefault="00545825" w:rsidP="00861709">
            <w:pPr>
              <w:jc w:val="both"/>
              <w:rPr>
                <w:b/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Mode of action</w:t>
            </w:r>
          </w:p>
        </w:tc>
        <w:tc>
          <w:tcPr>
            <w:tcW w:w="1134" w:type="dxa"/>
          </w:tcPr>
          <w:p w:rsidR="00545825" w:rsidRDefault="00545825" w:rsidP="00861709">
            <w:pPr>
              <w:jc w:val="center"/>
              <w:rPr>
                <w:b/>
                <w:sz w:val="16"/>
                <w:lang w:val="en-US"/>
              </w:rPr>
            </w:pPr>
          </w:p>
          <w:p w:rsidR="00545825" w:rsidRDefault="00545825" w:rsidP="00861709">
            <w:pPr>
              <w:jc w:val="center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Phenoty</w:t>
            </w:r>
            <w:r>
              <w:rPr>
                <w:b/>
                <w:sz w:val="16"/>
                <w:lang w:val="en-US"/>
              </w:rPr>
              <w:t>p</w:t>
            </w:r>
            <w:r w:rsidRPr="00EE70E2">
              <w:rPr>
                <w:b/>
                <w:sz w:val="16"/>
                <w:lang w:val="en-US"/>
              </w:rPr>
              <w:t xml:space="preserve">e of </w:t>
            </w:r>
            <w:r>
              <w:rPr>
                <w:b/>
                <w:sz w:val="16"/>
                <w:lang w:val="en-US"/>
              </w:rPr>
              <w:t xml:space="preserve">the </w:t>
            </w:r>
            <w:r w:rsidRPr="00EE70E2">
              <w:rPr>
                <w:b/>
                <w:sz w:val="16"/>
                <w:lang w:val="en-US"/>
              </w:rPr>
              <w:t>∆</w:t>
            </w:r>
            <w:r w:rsidRPr="00EE70E2">
              <w:rPr>
                <w:b/>
                <w:i/>
                <w:sz w:val="16"/>
                <w:lang w:val="en-US"/>
              </w:rPr>
              <w:t>sig</w:t>
            </w:r>
            <w:r>
              <w:rPr>
                <w:b/>
                <w:i/>
                <w:sz w:val="16"/>
                <w:lang w:val="en-US"/>
              </w:rPr>
              <w:t>B</w:t>
            </w:r>
            <w:r>
              <w:rPr>
                <w:b/>
                <w:sz w:val="16"/>
                <w:vertAlign w:val="superscript"/>
                <w:lang w:val="en-US"/>
              </w:rPr>
              <w:t>a</w:t>
            </w:r>
          </w:p>
          <w:p w:rsidR="00545825" w:rsidRPr="00AD30C9" w:rsidRDefault="00545825" w:rsidP="00861709">
            <w:pPr>
              <w:jc w:val="center"/>
              <w:rPr>
                <w:b/>
                <w:sz w:val="16"/>
                <w:lang w:val="en-US"/>
              </w:rPr>
            </w:pPr>
          </w:p>
        </w:tc>
      </w:tr>
      <w:tr w:rsidR="00A85F7C" w:rsidRPr="00EE70E2" w:rsidTr="00EB65A9">
        <w:tc>
          <w:tcPr>
            <w:tcW w:w="2087" w:type="dxa"/>
          </w:tcPr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b/>
                <w:sz w:val="16"/>
                <w:lang w:val="en-US"/>
              </w:rPr>
            </w:pPr>
            <w:r w:rsidRPr="00EE70E2">
              <w:rPr>
                <w:b/>
                <w:sz w:val="16"/>
                <w:lang w:val="en-US"/>
              </w:rPr>
              <w:t>Chemical sensitivity (PM11-20)</w:t>
            </w: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  <w:r w:rsidRPr="00EE70E2">
              <w:rPr>
                <w:sz w:val="16"/>
                <w:lang w:val="en-US"/>
              </w:rPr>
              <w:t>P</w:t>
            </w:r>
            <w:r>
              <w:rPr>
                <w:sz w:val="16"/>
                <w:lang w:val="en-US"/>
              </w:rPr>
              <w:t>henotypes lost - slower growth/increased s</w:t>
            </w:r>
            <w:r w:rsidRPr="00EE70E2">
              <w:rPr>
                <w:sz w:val="16"/>
                <w:lang w:val="en-US"/>
              </w:rPr>
              <w:t>ensitivity</w:t>
            </w:r>
          </w:p>
        </w:tc>
        <w:tc>
          <w:tcPr>
            <w:tcW w:w="2699" w:type="dxa"/>
          </w:tcPr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Pr="00EE70E2" w:rsidRDefault="00545825" w:rsidP="00925FC7">
            <w:pPr>
              <w:rPr>
                <w:sz w:val="16"/>
                <w:lang w:val="en-US"/>
              </w:rPr>
            </w:pPr>
          </w:p>
          <w:p w:rsidR="00545825" w:rsidRDefault="00545825" w:rsidP="00925FC7">
            <w:pPr>
              <w:rPr>
                <w:sz w:val="16"/>
                <w:lang w:val="en-US"/>
              </w:rPr>
            </w:pPr>
          </w:p>
          <w:p w:rsidR="00EB65A9" w:rsidRDefault="00EB65A9" w:rsidP="00925FC7">
            <w:pPr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2,4-Diamino-6,7-Diisopropylpteridine</w:t>
            </w:r>
          </w:p>
          <w:p w:rsidR="00EB65A9" w:rsidRDefault="00EB65A9" w:rsidP="00925FC7">
            <w:pPr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Sanguinarine</w:t>
            </w:r>
          </w:p>
          <w:p w:rsidR="00EB65A9" w:rsidRDefault="00EB65A9" w:rsidP="00925FC7">
            <w:pPr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Furaltadone</w:t>
            </w:r>
          </w:p>
          <w:p w:rsidR="00EB65A9" w:rsidRDefault="00EB65A9" w:rsidP="00925FC7">
            <w:pPr>
              <w:rPr>
                <w:sz w:val="16"/>
                <w:lang w:val="en-US"/>
              </w:rPr>
            </w:pPr>
          </w:p>
          <w:p w:rsidR="00EB65A9" w:rsidRDefault="00EB65A9" w:rsidP="00925FC7">
            <w:pPr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Chlortetracycline</w:t>
            </w:r>
            <w:r w:rsidRPr="00EB65A9">
              <w:rPr>
                <w:sz w:val="16"/>
                <w:lang w:val="en-US"/>
              </w:rPr>
              <w:tab/>
            </w:r>
          </w:p>
          <w:p w:rsidR="00EB65A9" w:rsidRDefault="00EB65A9" w:rsidP="00925FC7">
            <w:pPr>
              <w:rPr>
                <w:sz w:val="16"/>
                <w:lang w:val="en-US"/>
              </w:rPr>
            </w:pPr>
          </w:p>
          <w:p w:rsidR="00EB65A9" w:rsidRDefault="00EB65A9" w:rsidP="00925FC7">
            <w:pPr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Sodium bromate</w:t>
            </w:r>
            <w:r w:rsidRPr="00EB65A9">
              <w:rPr>
                <w:sz w:val="16"/>
                <w:lang w:val="en-US"/>
              </w:rPr>
              <w:tab/>
            </w:r>
          </w:p>
          <w:p w:rsidR="00EB65A9" w:rsidRDefault="00EB65A9" w:rsidP="00925FC7">
            <w:pPr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Sodium periodate</w:t>
            </w:r>
            <w:r w:rsidRPr="00EB65A9">
              <w:rPr>
                <w:sz w:val="16"/>
                <w:lang w:val="en-US"/>
              </w:rPr>
              <w:tab/>
            </w:r>
          </w:p>
          <w:p w:rsidR="00770D33" w:rsidRDefault="00EB65A9" w:rsidP="00925FC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Sodium Orthovanadate</w:t>
            </w:r>
          </w:p>
          <w:p w:rsidR="001B7626" w:rsidRPr="00EE70E2" w:rsidRDefault="001B7626" w:rsidP="00925FC7">
            <w:pPr>
              <w:rPr>
                <w:sz w:val="16"/>
                <w:lang w:val="en-US"/>
              </w:rPr>
            </w:pPr>
          </w:p>
        </w:tc>
        <w:tc>
          <w:tcPr>
            <w:tcW w:w="3119" w:type="dxa"/>
          </w:tcPr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Pr="00EE70E2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both"/>
              <w:rPr>
                <w:sz w:val="16"/>
                <w:lang w:val="en-US"/>
              </w:rPr>
            </w:pPr>
          </w:p>
          <w:p w:rsidR="00EB65A9" w:rsidRPr="00EE70E2" w:rsidRDefault="00EB65A9" w:rsidP="00EB65A9">
            <w:pPr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ATPase, Na+/K+ and Mg++</w:t>
            </w:r>
            <w:r w:rsidRPr="00EB65A9">
              <w:rPr>
                <w:sz w:val="16"/>
                <w:lang w:val="en-US"/>
              </w:rPr>
              <w:tab/>
            </w:r>
          </w:p>
          <w:p w:rsidR="00545825" w:rsidRPr="00EE70E2" w:rsidRDefault="00EB65A9" w:rsidP="00861709">
            <w:pPr>
              <w:jc w:val="both"/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DNA synthesis, nitro-compound, multiple sites</w:t>
            </w:r>
          </w:p>
          <w:p w:rsidR="00545825" w:rsidRDefault="00EB65A9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</w:t>
            </w:r>
            <w:r w:rsidRPr="00EB65A9">
              <w:rPr>
                <w:sz w:val="16"/>
                <w:lang w:val="en-US"/>
              </w:rPr>
              <w:t>rotein synthesis; 30S ribosomal subunit; tetracycline</w:t>
            </w:r>
          </w:p>
          <w:p w:rsidR="00545825" w:rsidRDefault="00EB65A9" w:rsidP="00861709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EB65A9">
              <w:rPr>
                <w:sz w:val="16"/>
                <w:lang w:val="en-US"/>
              </w:rPr>
              <w:t>oxic anion</w:t>
            </w:r>
          </w:p>
          <w:p w:rsidR="00EB65A9" w:rsidRDefault="00EB65A9" w:rsidP="00EB65A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EB65A9">
              <w:rPr>
                <w:sz w:val="16"/>
                <w:lang w:val="en-US"/>
              </w:rPr>
              <w:t>oxic anion, oxidizing agent</w:t>
            </w:r>
          </w:p>
          <w:p w:rsidR="00081BB1" w:rsidRPr="00081BB1" w:rsidRDefault="00EB65A9" w:rsidP="00EB65A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Pr="00EB65A9">
              <w:rPr>
                <w:sz w:val="16"/>
                <w:lang w:val="en-US"/>
              </w:rPr>
              <w:t>ransport, toxic anion, PO4 analog</w:t>
            </w:r>
            <w:r w:rsidRPr="00EB65A9">
              <w:rPr>
                <w:sz w:val="16"/>
                <w:lang w:val="en-US"/>
              </w:rPr>
              <w:tab/>
            </w:r>
          </w:p>
        </w:tc>
        <w:tc>
          <w:tcPr>
            <w:tcW w:w="1134" w:type="dxa"/>
          </w:tcPr>
          <w:p w:rsidR="00545825" w:rsidRPr="00081BB1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545825" w:rsidRDefault="00545825" w:rsidP="00861709">
            <w:pPr>
              <w:jc w:val="center"/>
              <w:rPr>
                <w:sz w:val="16"/>
                <w:lang w:val="en-US"/>
              </w:rPr>
            </w:pPr>
          </w:p>
          <w:p w:rsidR="00EB65A9" w:rsidRPr="00EE70E2" w:rsidRDefault="00EB65A9" w:rsidP="00861709">
            <w:pPr>
              <w:jc w:val="center"/>
              <w:rPr>
                <w:sz w:val="16"/>
                <w:lang w:val="en-US"/>
              </w:rPr>
            </w:pPr>
          </w:p>
          <w:p w:rsidR="00545825" w:rsidRDefault="00EB65A9" w:rsidP="00861709">
            <w:pPr>
              <w:jc w:val="center"/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-126</w:t>
            </w:r>
          </w:p>
          <w:p w:rsidR="00EB65A9" w:rsidRDefault="00EB65A9" w:rsidP="00861709">
            <w:pPr>
              <w:jc w:val="center"/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-80</w:t>
            </w:r>
          </w:p>
          <w:p w:rsidR="00EB65A9" w:rsidRDefault="00EB65A9" w:rsidP="00861709">
            <w:pPr>
              <w:jc w:val="center"/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-125</w:t>
            </w:r>
          </w:p>
          <w:p w:rsidR="00EB65A9" w:rsidRDefault="00EB65A9" w:rsidP="00861709">
            <w:pPr>
              <w:jc w:val="center"/>
              <w:rPr>
                <w:sz w:val="16"/>
                <w:lang w:val="en-US"/>
              </w:rPr>
            </w:pPr>
          </w:p>
          <w:p w:rsidR="00EB65A9" w:rsidRDefault="00EB65A9" w:rsidP="00861709">
            <w:pPr>
              <w:jc w:val="center"/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-93</w:t>
            </w:r>
          </w:p>
          <w:p w:rsidR="00EB65A9" w:rsidRDefault="00EB65A9" w:rsidP="00861709">
            <w:pPr>
              <w:jc w:val="center"/>
              <w:rPr>
                <w:sz w:val="16"/>
                <w:lang w:val="en-US"/>
              </w:rPr>
            </w:pPr>
          </w:p>
          <w:p w:rsidR="00545825" w:rsidRPr="00EE70E2" w:rsidRDefault="00EB65A9" w:rsidP="00861709">
            <w:pPr>
              <w:jc w:val="center"/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-106</w:t>
            </w:r>
          </w:p>
          <w:p w:rsidR="00545825" w:rsidRPr="00EE70E2" w:rsidRDefault="00EB65A9" w:rsidP="00861709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-</w:t>
            </w:r>
            <w:r w:rsidRPr="00EB65A9">
              <w:rPr>
                <w:sz w:val="16"/>
                <w:lang w:val="en-US"/>
              </w:rPr>
              <w:t>104</w:t>
            </w:r>
          </w:p>
          <w:p w:rsidR="00545825" w:rsidRDefault="00EB65A9" w:rsidP="00EB65A9">
            <w:pPr>
              <w:jc w:val="center"/>
              <w:rPr>
                <w:sz w:val="16"/>
                <w:lang w:val="en-US"/>
              </w:rPr>
            </w:pPr>
            <w:r w:rsidRPr="00EB65A9">
              <w:rPr>
                <w:sz w:val="16"/>
                <w:lang w:val="en-US"/>
              </w:rPr>
              <w:t>-160</w:t>
            </w:r>
          </w:p>
          <w:p w:rsidR="00AE55E6" w:rsidRPr="00EE70E2" w:rsidRDefault="00AE55E6" w:rsidP="00770D33">
            <w:pPr>
              <w:jc w:val="center"/>
              <w:rPr>
                <w:sz w:val="16"/>
                <w:lang w:val="en-US"/>
              </w:rPr>
            </w:pPr>
          </w:p>
        </w:tc>
      </w:tr>
    </w:tbl>
    <w:p w:rsidR="00545825" w:rsidRDefault="00545825" w:rsidP="00545825">
      <w:pPr>
        <w:spacing w:line="480" w:lineRule="auto"/>
        <w:jc w:val="both"/>
      </w:pPr>
    </w:p>
    <w:p w:rsidR="00545825" w:rsidRPr="006A3AA8" w:rsidRDefault="00545825" w:rsidP="00545825">
      <w:pPr>
        <w:spacing w:line="480" w:lineRule="auto"/>
        <w:jc w:val="both"/>
        <w:rPr>
          <w:lang w:val="en-US"/>
        </w:rPr>
      </w:pPr>
      <w:r w:rsidRPr="006A3AA8">
        <w:rPr>
          <w:vertAlign w:val="superscript"/>
          <w:lang w:val="en-US"/>
        </w:rPr>
        <w:t>a</w:t>
      </w:r>
      <w:r w:rsidRPr="006A3AA8">
        <w:rPr>
          <w:lang w:val="en-US"/>
        </w:rPr>
        <w:t xml:space="preserve">Based on time-course curves of respiration (tetrazolium colour formation) rate. The differences in the curve areas of the mutant and the wild-type strains are calculated. The units are arbitrary. Negative values indicate that the </w:t>
      </w:r>
      <w:r w:rsidR="009B108B">
        <w:rPr>
          <w:lang w:val="en-US"/>
        </w:rPr>
        <w:t>parental</w:t>
      </w:r>
      <w:r w:rsidRPr="006A3AA8">
        <w:rPr>
          <w:lang w:val="en-US"/>
        </w:rPr>
        <w:t xml:space="preserve"> strain showed higher rates of respiration than the mutant. Results are based on averages from two biological replicates.</w:t>
      </w:r>
    </w:p>
    <w:p w:rsidR="004057D3" w:rsidRDefault="004057D3"/>
    <w:sectPr w:rsidR="004057D3" w:rsidSect="00892CA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1AE" w:rsidRDefault="001C61AE" w:rsidP="00D35839">
      <w:r>
        <w:separator/>
      </w:r>
    </w:p>
  </w:endnote>
  <w:endnote w:type="continuationSeparator" w:id="0">
    <w:p w:rsidR="001C61AE" w:rsidRDefault="001C61AE" w:rsidP="00D3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1AE" w:rsidRDefault="001C61AE" w:rsidP="00D35839">
      <w:r>
        <w:separator/>
      </w:r>
    </w:p>
  </w:footnote>
  <w:footnote w:type="continuationSeparator" w:id="0">
    <w:p w:rsidR="001C61AE" w:rsidRDefault="001C61AE" w:rsidP="00D35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25"/>
    <w:rsid w:val="00016905"/>
    <w:rsid w:val="00081BB1"/>
    <w:rsid w:val="001B7626"/>
    <w:rsid w:val="001C61AE"/>
    <w:rsid w:val="00200AD9"/>
    <w:rsid w:val="00272A7F"/>
    <w:rsid w:val="003A2143"/>
    <w:rsid w:val="004057D3"/>
    <w:rsid w:val="00476EDE"/>
    <w:rsid w:val="005101F9"/>
    <w:rsid w:val="00545825"/>
    <w:rsid w:val="00591A83"/>
    <w:rsid w:val="005B36A7"/>
    <w:rsid w:val="00611BFF"/>
    <w:rsid w:val="00701445"/>
    <w:rsid w:val="007473E6"/>
    <w:rsid w:val="00770D33"/>
    <w:rsid w:val="007A63C4"/>
    <w:rsid w:val="007E1153"/>
    <w:rsid w:val="00892CA3"/>
    <w:rsid w:val="008B3745"/>
    <w:rsid w:val="009025DE"/>
    <w:rsid w:val="00925FC7"/>
    <w:rsid w:val="009307B5"/>
    <w:rsid w:val="0095622B"/>
    <w:rsid w:val="009B108B"/>
    <w:rsid w:val="00A061FF"/>
    <w:rsid w:val="00A85F7C"/>
    <w:rsid w:val="00AE55E6"/>
    <w:rsid w:val="00B3518A"/>
    <w:rsid w:val="00B77FCA"/>
    <w:rsid w:val="00BF683A"/>
    <w:rsid w:val="00C52709"/>
    <w:rsid w:val="00CB76AD"/>
    <w:rsid w:val="00D35839"/>
    <w:rsid w:val="00E40743"/>
    <w:rsid w:val="00E75568"/>
    <w:rsid w:val="00EB65A9"/>
    <w:rsid w:val="00FA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05E0C0E-1AFD-4D90-92FE-8D6043FA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45825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1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18A"/>
    <w:rPr>
      <w:rFonts w:ascii="Lucida Grande" w:eastAsia="宋体" w:hAnsi="Lucida Grande" w:cs="Lucida Grande"/>
      <w:sz w:val="18"/>
      <w:szCs w:val="18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903</Characters>
  <Application>Microsoft Office Word</Application>
  <DocSecurity>0</DocSecurity>
  <Lines>60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3</cp:revision>
  <dcterms:created xsi:type="dcterms:W3CDTF">2020-10-12T13:30:00Z</dcterms:created>
  <dcterms:modified xsi:type="dcterms:W3CDTF">2020-10-22T09:28:00Z</dcterms:modified>
</cp:coreProperties>
</file>