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2494" w:rsidRDefault="009A2494" w:rsidP="009762C2">
      <w:pPr>
        <w:rPr>
          <w:rFonts w:ascii="Palatino Linotype" w:hAnsi="Palatino Linotype" w:cstheme="minorHAnsi"/>
          <w:b/>
          <w:sz w:val="20"/>
          <w:szCs w:val="20"/>
        </w:rPr>
      </w:pPr>
      <w:r>
        <w:rPr>
          <w:rFonts w:ascii="Palatino Linotype" w:hAnsi="Palatino Linotype" w:cstheme="minorHAnsi"/>
          <w:b/>
          <w:noProof/>
          <w:sz w:val="20"/>
          <w:szCs w:val="20"/>
          <w:lang w:eastAsia="en-GB"/>
        </w:rPr>
        <w:drawing>
          <wp:inline distT="0" distB="0" distL="0" distR="0">
            <wp:extent cx="3840480" cy="26822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 Figure 1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494" w:rsidRDefault="009A2494" w:rsidP="009762C2">
      <w:pPr>
        <w:rPr>
          <w:rFonts w:ascii="Palatino Linotype" w:hAnsi="Palatino Linotype" w:cstheme="minorHAnsi"/>
          <w:sz w:val="20"/>
          <w:szCs w:val="20"/>
        </w:rPr>
      </w:pPr>
      <w:r>
        <w:rPr>
          <w:rFonts w:ascii="Palatino Linotype" w:hAnsi="Palatino Linotype" w:cstheme="minorHAnsi"/>
          <w:b/>
          <w:sz w:val="20"/>
          <w:szCs w:val="20"/>
        </w:rPr>
        <w:t xml:space="preserve">Supplementary Figure </w:t>
      </w:r>
      <w:r w:rsidR="00337A80">
        <w:rPr>
          <w:rFonts w:ascii="Palatino Linotype" w:hAnsi="Palatino Linotype" w:cstheme="minorHAnsi"/>
          <w:b/>
          <w:sz w:val="20"/>
          <w:szCs w:val="20"/>
        </w:rPr>
        <w:t>1</w:t>
      </w:r>
      <w:r>
        <w:rPr>
          <w:rFonts w:ascii="Palatino Linotype" w:hAnsi="Palatino Linotype" w:cstheme="minorHAnsi"/>
          <w:b/>
          <w:sz w:val="20"/>
          <w:szCs w:val="20"/>
        </w:rPr>
        <w:t>. Viability of HEp-2 cells in presence of 2,2’-</w:t>
      </w:r>
      <w:r w:rsidR="00442775">
        <w:rPr>
          <w:rFonts w:ascii="Palatino Linotype" w:hAnsi="Palatino Linotype" w:cstheme="minorHAnsi"/>
          <w:b/>
          <w:sz w:val="20"/>
          <w:szCs w:val="20"/>
        </w:rPr>
        <w:t>b</w:t>
      </w:r>
      <w:r>
        <w:rPr>
          <w:rFonts w:ascii="Palatino Linotype" w:hAnsi="Palatino Linotype" w:cstheme="minorHAnsi"/>
          <w:b/>
          <w:sz w:val="20"/>
          <w:szCs w:val="20"/>
        </w:rPr>
        <w:t xml:space="preserve">ipyridyl. </w:t>
      </w:r>
      <w:r>
        <w:rPr>
          <w:rFonts w:ascii="Palatino Linotype" w:hAnsi="Palatino Linotype" w:cstheme="minorHAnsi"/>
          <w:sz w:val="20"/>
          <w:szCs w:val="20"/>
        </w:rPr>
        <w:t>Viability of cells grown in presence of different concentrations of BPDL for 24 hours was assessed using Resazurin. Results are shown as percentages, with the untreated control set at 100%, and represent the mean and standard deviation of triplicates measured in one experiment.</w:t>
      </w:r>
    </w:p>
    <w:p w:rsidR="009A2494" w:rsidRDefault="009A2494" w:rsidP="009762C2">
      <w:pPr>
        <w:rPr>
          <w:rFonts w:ascii="Palatino Linotype" w:hAnsi="Palatino Linotype" w:cstheme="minorHAnsi"/>
          <w:sz w:val="20"/>
          <w:szCs w:val="20"/>
        </w:rPr>
      </w:pPr>
    </w:p>
    <w:p w:rsidR="009A2494" w:rsidRDefault="009A2494" w:rsidP="009762C2">
      <w:pPr>
        <w:rPr>
          <w:rFonts w:ascii="Palatino Linotype" w:hAnsi="Palatino Linotype" w:cstheme="minorHAnsi"/>
          <w:sz w:val="20"/>
          <w:szCs w:val="20"/>
        </w:rPr>
      </w:pPr>
    </w:p>
    <w:p w:rsidR="009A2494" w:rsidRDefault="009A2494" w:rsidP="009762C2">
      <w:pPr>
        <w:rPr>
          <w:rFonts w:ascii="Palatino Linotype" w:hAnsi="Palatino Linotype" w:cstheme="minorHAnsi"/>
          <w:sz w:val="20"/>
          <w:szCs w:val="20"/>
        </w:rPr>
      </w:pPr>
    </w:p>
    <w:p w:rsidR="009A2494" w:rsidRDefault="009A2494" w:rsidP="009762C2">
      <w:pPr>
        <w:rPr>
          <w:rFonts w:ascii="Palatino Linotype" w:hAnsi="Palatino Linotype" w:cstheme="minorHAnsi"/>
          <w:sz w:val="20"/>
          <w:szCs w:val="20"/>
        </w:rPr>
      </w:pPr>
    </w:p>
    <w:p w:rsidR="009A2494" w:rsidRPr="009A2494" w:rsidRDefault="009A2494" w:rsidP="009762C2">
      <w:pPr>
        <w:rPr>
          <w:rFonts w:ascii="Palatino Linotype" w:hAnsi="Palatino Linotype" w:cstheme="minorHAnsi"/>
          <w:sz w:val="20"/>
          <w:szCs w:val="20"/>
        </w:rPr>
      </w:pPr>
    </w:p>
    <w:p w:rsidR="009A2494" w:rsidRDefault="009A2494" w:rsidP="009762C2">
      <w:pPr>
        <w:rPr>
          <w:rFonts w:ascii="Palatino Linotype" w:hAnsi="Palatino Linotype" w:cstheme="minorHAnsi"/>
          <w:b/>
          <w:sz w:val="20"/>
          <w:szCs w:val="20"/>
        </w:rPr>
      </w:pPr>
    </w:p>
    <w:p w:rsidR="00F55C26" w:rsidRDefault="005D449D" w:rsidP="009762C2">
      <w:pPr>
        <w:rPr>
          <w:rFonts w:ascii="Palatino Linotype" w:hAnsi="Palatino Linotype" w:cstheme="minorHAnsi"/>
          <w:b/>
          <w:sz w:val="20"/>
          <w:szCs w:val="20"/>
        </w:rPr>
      </w:pPr>
      <w:r>
        <w:rPr>
          <w:rFonts w:ascii="Palatino Linotype" w:hAnsi="Palatino Linotype" w:cstheme="minorHAnsi"/>
          <w:b/>
          <w:noProof/>
          <w:sz w:val="20"/>
          <w:szCs w:val="20"/>
          <w:lang w:eastAsia="en-GB"/>
        </w:rPr>
        <w:lastRenderedPageBreak/>
        <w:drawing>
          <wp:inline distT="0" distB="0" distL="0" distR="0">
            <wp:extent cx="4572000" cy="28346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 Figure 1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C26" w:rsidRDefault="00F55C26" w:rsidP="009762C2">
      <w:pPr>
        <w:rPr>
          <w:rFonts w:ascii="Palatino Linotype" w:hAnsi="Palatino Linotype" w:cstheme="minorHAnsi"/>
          <w:b/>
          <w:sz w:val="20"/>
          <w:szCs w:val="20"/>
        </w:rPr>
      </w:pPr>
      <w:r>
        <w:rPr>
          <w:rFonts w:ascii="Palatino Linotype" w:hAnsi="Palatino Linotype" w:cstheme="minorHAnsi"/>
          <w:b/>
          <w:sz w:val="20"/>
          <w:szCs w:val="20"/>
        </w:rPr>
        <w:t xml:space="preserve">Supplementary Figure </w:t>
      </w:r>
      <w:r w:rsidR="00337A80">
        <w:rPr>
          <w:rFonts w:ascii="Palatino Linotype" w:hAnsi="Palatino Linotype" w:cstheme="minorHAnsi"/>
          <w:b/>
          <w:sz w:val="20"/>
          <w:szCs w:val="20"/>
        </w:rPr>
        <w:t>2</w:t>
      </w:r>
      <w:r>
        <w:rPr>
          <w:rFonts w:ascii="Palatino Linotype" w:hAnsi="Palatino Linotype" w:cstheme="minorHAnsi"/>
          <w:b/>
          <w:sz w:val="20"/>
          <w:szCs w:val="20"/>
        </w:rPr>
        <w:t xml:space="preserve">. </w:t>
      </w:r>
      <w:r w:rsidR="00485886">
        <w:rPr>
          <w:rFonts w:ascii="Palatino Linotype" w:hAnsi="Palatino Linotype" w:cstheme="minorHAnsi"/>
          <w:b/>
          <w:sz w:val="20"/>
          <w:szCs w:val="20"/>
        </w:rPr>
        <w:t xml:space="preserve">Infection rate obtained with different dilutions of the </w:t>
      </w:r>
      <w:r w:rsidR="00485886" w:rsidRPr="00485886">
        <w:rPr>
          <w:rFonts w:ascii="Palatino Linotype" w:hAnsi="Palatino Linotype" w:cstheme="minorHAnsi"/>
          <w:b/>
          <w:i/>
          <w:sz w:val="20"/>
          <w:szCs w:val="20"/>
        </w:rPr>
        <w:t>W. chondrophila</w:t>
      </w:r>
      <w:r w:rsidR="00485886">
        <w:rPr>
          <w:rFonts w:ascii="Palatino Linotype" w:hAnsi="Palatino Linotype" w:cstheme="minorHAnsi"/>
          <w:b/>
          <w:sz w:val="20"/>
          <w:szCs w:val="20"/>
        </w:rPr>
        <w:t xml:space="preserve"> inoculum.</w:t>
      </w:r>
      <w:r w:rsidR="003557B4">
        <w:rPr>
          <w:rFonts w:ascii="Palatino Linotype" w:hAnsi="Palatino Linotype" w:cstheme="minorHAnsi"/>
          <w:b/>
          <w:sz w:val="20"/>
          <w:szCs w:val="20"/>
        </w:rPr>
        <w:t xml:space="preserve"> </w:t>
      </w:r>
      <w:r w:rsidR="003557B4">
        <w:rPr>
          <w:rFonts w:ascii="Palatino Linotype" w:hAnsi="Palatino Linotype" w:cstheme="minorHAnsi"/>
          <w:sz w:val="20"/>
          <w:szCs w:val="20"/>
        </w:rPr>
        <w:t>HEp</w:t>
      </w:r>
      <w:r w:rsidR="003557B4" w:rsidRPr="003557B4">
        <w:rPr>
          <w:rFonts w:ascii="Palatino Linotype" w:hAnsi="Palatino Linotype" w:cstheme="minorHAnsi"/>
          <w:sz w:val="20"/>
          <w:szCs w:val="20"/>
        </w:rPr>
        <w:t xml:space="preserve">-2 cells were infected with </w:t>
      </w:r>
      <w:r w:rsidR="003557B4" w:rsidRPr="00337A80">
        <w:rPr>
          <w:rFonts w:ascii="Palatino Linotype" w:hAnsi="Palatino Linotype" w:cstheme="minorHAnsi"/>
          <w:i/>
          <w:sz w:val="20"/>
          <w:szCs w:val="20"/>
        </w:rPr>
        <w:t>W. chondrophila</w:t>
      </w:r>
      <w:r w:rsidR="003557B4" w:rsidRPr="003557B4">
        <w:rPr>
          <w:rFonts w:ascii="Palatino Linotype" w:hAnsi="Palatino Linotype" w:cstheme="minorHAnsi"/>
          <w:sz w:val="20"/>
          <w:szCs w:val="20"/>
        </w:rPr>
        <w:t xml:space="preserve"> (different dilutions of the co-culture filtrate from </w:t>
      </w:r>
      <w:r w:rsidR="003557B4" w:rsidRPr="00337A80">
        <w:rPr>
          <w:rFonts w:ascii="Palatino Linotype" w:hAnsi="Palatino Linotype" w:cstheme="minorHAnsi"/>
          <w:i/>
          <w:sz w:val="20"/>
          <w:szCs w:val="20"/>
        </w:rPr>
        <w:t>A. castellanii</w:t>
      </w:r>
      <w:r w:rsidR="003557B4" w:rsidRPr="003557B4">
        <w:rPr>
          <w:rFonts w:ascii="Palatino Linotype" w:hAnsi="Palatino Linotype" w:cstheme="minorHAnsi"/>
          <w:sz w:val="20"/>
          <w:szCs w:val="20"/>
        </w:rPr>
        <w:t>), treated with different concentrations of BPDL 8 hpi and fixed 24 hpi.</w:t>
      </w:r>
      <w:r w:rsidR="00B5389E">
        <w:rPr>
          <w:rFonts w:ascii="Palatino Linotype" w:hAnsi="Palatino Linotype" w:cstheme="minorHAnsi"/>
          <w:sz w:val="20"/>
          <w:szCs w:val="20"/>
        </w:rPr>
        <w:t xml:space="preserve"> Fixed cells were labelled with DAPI and anti-</w:t>
      </w:r>
      <w:r w:rsidR="00B5389E" w:rsidRPr="00B5389E">
        <w:rPr>
          <w:rFonts w:ascii="Palatino Linotype" w:hAnsi="Palatino Linotype" w:cstheme="minorHAnsi"/>
          <w:i/>
          <w:sz w:val="20"/>
          <w:szCs w:val="20"/>
        </w:rPr>
        <w:t>W. chondrophila</w:t>
      </w:r>
      <w:r w:rsidR="00B5389E">
        <w:rPr>
          <w:rFonts w:ascii="Palatino Linotype" w:hAnsi="Palatino Linotype" w:cstheme="minorHAnsi"/>
          <w:sz w:val="20"/>
          <w:szCs w:val="20"/>
        </w:rPr>
        <w:t xml:space="preserve"> antibodies in order to count the number of cells and inclusions in the field by confocal microscopy. A dilution of the inoculum of 1:100 (corresponding to an MOI of 15) was chosen for further experiments, as it provided an infection rate of 40-50% for all the conditions tested (in particular untreated and treated with 75 </w:t>
      </w:r>
      <w:r w:rsidR="00B5389E" w:rsidRPr="00B5389E">
        <w:rPr>
          <w:rFonts w:ascii="Symbol" w:hAnsi="Symbol" w:cstheme="minorHAnsi"/>
          <w:sz w:val="20"/>
          <w:szCs w:val="20"/>
        </w:rPr>
        <w:t></w:t>
      </w:r>
      <w:r w:rsidR="00B5389E">
        <w:rPr>
          <w:rFonts w:ascii="Palatino Linotype" w:hAnsi="Palatino Linotype" w:cstheme="minorHAnsi"/>
          <w:sz w:val="20"/>
          <w:szCs w:val="20"/>
        </w:rPr>
        <w:t>M BPDL, the conditions used for the RNA-seq).</w:t>
      </w:r>
    </w:p>
    <w:p w:rsidR="00F55C26" w:rsidRDefault="00F55C26" w:rsidP="009762C2">
      <w:pPr>
        <w:rPr>
          <w:rFonts w:ascii="Palatino Linotype" w:hAnsi="Palatino Linotype" w:cstheme="minorHAnsi"/>
          <w:b/>
          <w:sz w:val="20"/>
          <w:szCs w:val="20"/>
        </w:rPr>
      </w:pPr>
    </w:p>
    <w:p w:rsidR="00337A80" w:rsidRDefault="00337A80" w:rsidP="009762C2">
      <w:pPr>
        <w:rPr>
          <w:rFonts w:ascii="Palatino Linotype" w:hAnsi="Palatino Linotype" w:cstheme="minorHAnsi"/>
          <w:b/>
          <w:sz w:val="20"/>
          <w:szCs w:val="20"/>
        </w:rPr>
      </w:pP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  <w:r>
        <w:rPr>
          <w:rFonts w:asciiTheme="minorHAnsi" w:hAnsiTheme="minorHAnsi" w:cstheme="minorHAnsi"/>
          <w:b/>
          <w:bCs/>
          <w:noProof/>
          <w:lang w:eastAsia="en-GB"/>
        </w:rPr>
        <w:lastRenderedPageBreak/>
        <w:drawing>
          <wp:inline distT="0" distB="0" distL="0" distR="0">
            <wp:extent cx="5972810" cy="4268470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 Figure 3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26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A80" w:rsidRDefault="00337A80" w:rsidP="009762C2">
      <w:pPr>
        <w:rPr>
          <w:rFonts w:asciiTheme="minorHAnsi" w:hAnsiTheme="minorHAnsi" w:cstheme="minorHAnsi"/>
          <w:b/>
          <w:bCs/>
          <w:noProof/>
          <w:lang w:eastAsia="en-GB"/>
        </w:rPr>
      </w:pPr>
    </w:p>
    <w:p w:rsidR="00337A80" w:rsidRPr="00337A80" w:rsidRDefault="00337A80" w:rsidP="009762C2">
      <w:pPr>
        <w:rPr>
          <w:rFonts w:ascii="Palatino Linotype" w:hAnsi="Palatino Linotype" w:cstheme="minorHAnsi"/>
          <w:sz w:val="16"/>
          <w:szCs w:val="20"/>
        </w:rPr>
      </w:pPr>
      <w:r>
        <w:rPr>
          <w:rFonts w:ascii="Palatino Linotype" w:hAnsi="Palatino Linotype" w:cstheme="minorHAnsi"/>
          <w:b/>
          <w:sz w:val="20"/>
          <w:szCs w:val="20"/>
        </w:rPr>
        <w:t xml:space="preserve">Supplementary Figure 3. Aberrant bodies formation in the presence of BPDL depends on the concentration and time of addition of BPDL. </w:t>
      </w:r>
      <w:r>
        <w:rPr>
          <w:rFonts w:ascii="Palatino Linotype" w:hAnsi="Palatino Linotype" w:cstheme="minorHAnsi"/>
          <w:sz w:val="20"/>
          <w:szCs w:val="20"/>
        </w:rPr>
        <w:t>HEp</w:t>
      </w:r>
      <w:r w:rsidRPr="003557B4">
        <w:rPr>
          <w:rFonts w:ascii="Palatino Linotype" w:hAnsi="Palatino Linotype" w:cstheme="minorHAnsi"/>
          <w:sz w:val="20"/>
          <w:szCs w:val="20"/>
        </w:rPr>
        <w:t xml:space="preserve">-2 cells were infected with </w:t>
      </w:r>
      <w:r w:rsidRPr="00337A80">
        <w:rPr>
          <w:rFonts w:ascii="Palatino Linotype" w:hAnsi="Palatino Linotype" w:cstheme="minorHAnsi"/>
          <w:i/>
          <w:sz w:val="20"/>
          <w:szCs w:val="20"/>
        </w:rPr>
        <w:t>W. chondrophila</w:t>
      </w:r>
      <w:r w:rsidRPr="003557B4">
        <w:rPr>
          <w:rFonts w:ascii="Palatino Linotype" w:hAnsi="Palatino Linotype" w:cstheme="minorHAnsi"/>
          <w:sz w:val="20"/>
          <w:szCs w:val="20"/>
        </w:rPr>
        <w:t xml:space="preserve"> </w:t>
      </w:r>
      <w:r>
        <w:rPr>
          <w:rFonts w:ascii="Palatino Linotype" w:hAnsi="Palatino Linotype" w:cstheme="minorHAnsi"/>
          <w:sz w:val="20"/>
          <w:szCs w:val="20"/>
        </w:rPr>
        <w:t>and treated with</w:t>
      </w:r>
      <w:r w:rsidRPr="00337A80">
        <w:t xml:space="preserve"> </w:t>
      </w:r>
      <w:r w:rsidRPr="00337A80">
        <w:rPr>
          <w:rFonts w:ascii="Palatino Linotype" w:hAnsi="Palatino Linotype"/>
          <w:sz w:val="20"/>
        </w:rPr>
        <w:t xml:space="preserve">50, 75 or 100 μM BPDL </w:t>
      </w:r>
      <w:r>
        <w:rPr>
          <w:rFonts w:ascii="Palatino Linotype" w:hAnsi="Palatino Linotype"/>
          <w:sz w:val="20"/>
        </w:rPr>
        <w:t>4, 8 or 16</w:t>
      </w:r>
      <w:r w:rsidRPr="00337A80">
        <w:rPr>
          <w:rFonts w:ascii="Palatino Linotype" w:hAnsi="Palatino Linotype"/>
          <w:sz w:val="20"/>
        </w:rPr>
        <w:t xml:space="preserve"> hpi. Infected cells were fixed 24 hours pi, labelled with Concanavalin A (red), DAPI (blue) and anti-</w:t>
      </w:r>
      <w:r w:rsidRPr="00337A80">
        <w:rPr>
          <w:rFonts w:ascii="Palatino Linotype" w:hAnsi="Palatino Linotype"/>
          <w:i/>
          <w:sz w:val="20"/>
        </w:rPr>
        <w:t>W. chondrophila</w:t>
      </w:r>
      <w:r w:rsidRPr="00337A80">
        <w:rPr>
          <w:rFonts w:ascii="Palatino Linotype" w:hAnsi="Palatino Linotype"/>
          <w:sz w:val="20"/>
        </w:rPr>
        <w:t xml:space="preserve"> antibodies (green) and observed by confocal microscopy. </w:t>
      </w:r>
      <w:r w:rsidR="001552E4">
        <w:rPr>
          <w:rFonts w:ascii="Palatino Linotype" w:hAnsi="Palatino Linotype"/>
          <w:sz w:val="20"/>
        </w:rPr>
        <w:t xml:space="preserve">When added 16 hpi, BPDL did not induce the formation of ABs. Addition of BPDL (75 or 100 </w:t>
      </w:r>
      <w:r w:rsidR="001552E4" w:rsidRPr="001552E4">
        <w:rPr>
          <w:rFonts w:ascii="Symbol" w:hAnsi="Symbol"/>
          <w:sz w:val="20"/>
        </w:rPr>
        <w:t></w:t>
      </w:r>
      <w:r w:rsidR="001552E4">
        <w:rPr>
          <w:rFonts w:ascii="Palatino Linotype" w:hAnsi="Palatino Linotype"/>
          <w:sz w:val="20"/>
        </w:rPr>
        <w:t xml:space="preserve">M) at 4 hpi determined the formation of only a few ABs per inclusion. Treatment with 75 </w:t>
      </w:r>
      <w:r w:rsidR="001552E4" w:rsidRPr="001552E4">
        <w:rPr>
          <w:rFonts w:ascii="Symbol" w:hAnsi="Symbol"/>
          <w:sz w:val="20"/>
        </w:rPr>
        <w:t></w:t>
      </w:r>
      <w:r w:rsidR="001552E4">
        <w:rPr>
          <w:rFonts w:ascii="Palatino Linotype" w:hAnsi="Palatino Linotype"/>
          <w:sz w:val="20"/>
        </w:rPr>
        <w:t xml:space="preserve">M BPDL 8 hpi induced the formation of numerous ABs, thus it was chosen for the RNA-seq experiment. </w:t>
      </w:r>
      <w:r w:rsidRPr="00337A80">
        <w:rPr>
          <w:rFonts w:ascii="Palatino Linotype" w:hAnsi="Palatino Linotype"/>
          <w:sz w:val="20"/>
        </w:rPr>
        <w:t xml:space="preserve">Images of HEp-2 cells infected with </w:t>
      </w:r>
      <w:r w:rsidRPr="00337A80">
        <w:rPr>
          <w:rFonts w:ascii="Palatino Linotype" w:hAnsi="Palatino Linotype"/>
          <w:i/>
          <w:sz w:val="20"/>
        </w:rPr>
        <w:t>W. chondrophila</w:t>
      </w:r>
      <w:r w:rsidRPr="00337A80">
        <w:rPr>
          <w:rFonts w:ascii="Palatino Linotype" w:hAnsi="Palatino Linotype"/>
          <w:sz w:val="20"/>
        </w:rPr>
        <w:t xml:space="preserve"> and treated with BPDL at </w:t>
      </w:r>
      <w:r>
        <w:rPr>
          <w:rFonts w:ascii="Palatino Linotype" w:hAnsi="Palatino Linotype"/>
          <w:sz w:val="20"/>
        </w:rPr>
        <w:t>2 hpi</w:t>
      </w:r>
      <w:r w:rsidRPr="00337A80">
        <w:rPr>
          <w:rFonts w:ascii="Palatino Linotype" w:hAnsi="Palatino Linotype"/>
          <w:sz w:val="20"/>
        </w:rPr>
        <w:t xml:space="preserve"> are shown in </w:t>
      </w:r>
      <w:r w:rsidRPr="00A41DD3">
        <w:rPr>
          <w:rFonts w:ascii="Palatino Linotype" w:hAnsi="Palatino Linotype"/>
          <w:b/>
          <w:sz w:val="20"/>
        </w:rPr>
        <w:t>Figure 1</w:t>
      </w:r>
      <w:r w:rsidRPr="00337A80">
        <w:rPr>
          <w:rFonts w:ascii="Palatino Linotype" w:hAnsi="Palatino Linotype"/>
          <w:sz w:val="20"/>
        </w:rPr>
        <w:t>.</w:t>
      </w:r>
    </w:p>
    <w:p w:rsidR="009762C2" w:rsidRPr="003A196E" w:rsidRDefault="009762C2" w:rsidP="009762C2">
      <w:pPr>
        <w:rPr>
          <w:rFonts w:ascii="Palatino Linotype" w:hAnsi="Palatino Linotype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bCs/>
          <w:noProof/>
          <w:lang w:eastAsia="en-GB"/>
        </w:rPr>
        <w:lastRenderedPageBreak/>
        <w:drawing>
          <wp:inline distT="0" distB="0" distL="0" distR="0" wp14:anchorId="634F8EE9" wp14:editId="7E2A70E2">
            <wp:extent cx="5971540" cy="3255010"/>
            <wp:effectExtent l="0" t="0" r="0" b="254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uppl Fig 1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1540" cy="325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Hlk42868556"/>
      <w:r w:rsidRPr="003A196E">
        <w:rPr>
          <w:rFonts w:ascii="Palatino Linotype" w:hAnsi="Palatino Linotype" w:cstheme="minorHAnsi"/>
          <w:b/>
          <w:sz w:val="20"/>
          <w:szCs w:val="20"/>
        </w:rPr>
        <w:t xml:space="preserve">Supplementary Figure </w:t>
      </w:r>
      <w:bookmarkEnd w:id="0"/>
      <w:r w:rsidR="00337A80">
        <w:rPr>
          <w:rFonts w:ascii="Palatino Linotype" w:hAnsi="Palatino Linotype" w:cstheme="minorHAnsi"/>
          <w:b/>
          <w:sz w:val="20"/>
          <w:szCs w:val="20"/>
        </w:rPr>
        <w:t>4</w:t>
      </w:r>
      <w:r w:rsidRPr="003A196E">
        <w:rPr>
          <w:rFonts w:ascii="Palatino Linotype" w:hAnsi="Palatino Linotype" w:cstheme="minorHAnsi"/>
          <w:b/>
          <w:sz w:val="20"/>
          <w:szCs w:val="20"/>
        </w:rPr>
        <w:t xml:space="preserve">: Rarefaction analysis on the RNA sequencing samples. </w:t>
      </w:r>
      <w:r w:rsidRPr="003A196E">
        <w:rPr>
          <w:rFonts w:ascii="Palatino Linotype" w:hAnsi="Palatino Linotype"/>
          <w:sz w:val="20"/>
          <w:szCs w:val="20"/>
        </w:rPr>
        <w:t>The graphs indicate the number of genes mapped by at least 10</w:t>
      </w:r>
      <w:r w:rsidRPr="003A196E">
        <w:rPr>
          <w:rFonts w:ascii="Palatino Linotype" w:hAnsi="Palatino Linotype" w:cstheme="minorHAnsi"/>
          <w:sz w:val="20"/>
          <w:szCs w:val="20"/>
        </w:rPr>
        <w:t xml:space="preserve"> (left panel) or</w:t>
      </w:r>
      <w:r w:rsidRPr="003A196E">
        <w:rPr>
          <w:rFonts w:ascii="Palatino Linotype" w:hAnsi="Palatino Linotype"/>
          <w:sz w:val="20"/>
          <w:szCs w:val="20"/>
        </w:rPr>
        <w:t xml:space="preserve"> 100 reads (right panel)</w:t>
      </w:r>
      <w:r w:rsidRPr="003A196E">
        <w:rPr>
          <w:rFonts w:ascii="Palatino Linotype" w:hAnsi="Palatino Linotype" w:cstheme="minorHAnsi"/>
          <w:sz w:val="20"/>
          <w:szCs w:val="20"/>
        </w:rPr>
        <w:t xml:space="preserve">. Triplicates were used for each condition. Due to the low number of reads (BPDL-2 and BPDL-3), the sequencing and mapping were repeated for two samples (BPDL-2b and BPDL-3b). BPDL-1 sample was removed from the analysis. </w:t>
      </w:r>
      <w:r w:rsidRPr="003A196E">
        <w:rPr>
          <w:rFonts w:ascii="Palatino Linotype" w:hAnsi="Palatino Linotype" w:cstheme="minorHAnsi"/>
          <w:color w:val="000000" w:themeColor="text1"/>
          <w:sz w:val="20"/>
          <w:szCs w:val="20"/>
        </w:rPr>
        <w:t xml:space="preserve">The absence of reads mapping on some genes indicates that </w:t>
      </w:r>
      <w:r w:rsidRPr="003A196E">
        <w:rPr>
          <w:rFonts w:ascii="Palatino Linotype" w:hAnsi="Palatino Linotype"/>
          <w:sz w:val="20"/>
          <w:szCs w:val="20"/>
        </w:rPr>
        <w:t xml:space="preserve">these genes are very </w:t>
      </w:r>
      <w:r w:rsidRPr="003A196E">
        <w:rPr>
          <w:rFonts w:ascii="Palatino Linotype" w:hAnsi="Palatino Linotype" w:cstheme="minorHAnsi"/>
          <w:color w:val="000000" w:themeColor="text1"/>
          <w:sz w:val="20"/>
          <w:szCs w:val="20"/>
        </w:rPr>
        <w:t>lowly expressed under the considered condition, or that the annotation of the genome at these loci is incorrect.</w:t>
      </w:r>
      <w:r w:rsidRPr="003A196E">
        <w:rPr>
          <w:rFonts w:ascii="Palatino Linotype" w:hAnsi="Palatino Linotype" w:cstheme="minorHAnsi"/>
          <w:b/>
          <w:sz w:val="20"/>
          <w:szCs w:val="20"/>
        </w:rPr>
        <w:br w:type="page"/>
      </w:r>
    </w:p>
    <w:p w:rsidR="009762C2" w:rsidRPr="003A196E" w:rsidRDefault="009762C2" w:rsidP="009762C2">
      <w:pPr>
        <w:rPr>
          <w:rFonts w:ascii="Palatino Linotype" w:hAnsi="Palatino Linotype" w:cstheme="minorHAnsi"/>
          <w:sz w:val="20"/>
          <w:szCs w:val="20"/>
        </w:rPr>
      </w:pPr>
      <w:r w:rsidRPr="003A196E">
        <w:rPr>
          <w:rFonts w:ascii="Palatino Linotype" w:hAnsi="Palatino Linotype" w:cstheme="minorHAnsi"/>
          <w:b/>
          <w:noProof/>
          <w:sz w:val="20"/>
          <w:szCs w:val="20"/>
          <w:lang w:eastAsia="en-GB"/>
        </w:rPr>
        <w:lastRenderedPageBreak/>
        <w:drawing>
          <wp:anchor distT="0" distB="0" distL="114300" distR="114300" simplePos="0" relativeHeight="251659264" behindDoc="0" locked="0" layoutInCell="1" allowOverlap="1" wp14:anchorId="3D39920D" wp14:editId="64A4D19D">
            <wp:simplePos x="0" y="0"/>
            <wp:positionH relativeFrom="column">
              <wp:posOffset>528320</wp:posOffset>
            </wp:positionH>
            <wp:positionV relativeFrom="paragraph">
              <wp:posOffset>-5080</wp:posOffset>
            </wp:positionV>
            <wp:extent cx="4914900" cy="4499610"/>
            <wp:effectExtent l="0" t="0" r="0" b="0"/>
            <wp:wrapTopAndBottom/>
            <wp:docPr id="1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PDL_vs_24h_plotSmear_FRD0.1_AS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48"/>
                    <a:stretch/>
                  </pic:blipFill>
                  <pic:spPr bwMode="auto">
                    <a:xfrm>
                      <a:off x="0" y="0"/>
                      <a:ext cx="4914900" cy="4499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A196E">
        <w:rPr>
          <w:rFonts w:ascii="Palatino Linotype" w:hAnsi="Palatino Linotype" w:cstheme="minorHAnsi"/>
          <w:b/>
          <w:sz w:val="20"/>
          <w:szCs w:val="20"/>
        </w:rPr>
        <w:t xml:space="preserve"> Supplementary Figure </w:t>
      </w:r>
      <w:r w:rsidR="003C46D1">
        <w:rPr>
          <w:rFonts w:ascii="Palatino Linotype" w:hAnsi="Palatino Linotype" w:cstheme="minorHAnsi"/>
          <w:b/>
          <w:sz w:val="20"/>
          <w:szCs w:val="20"/>
        </w:rPr>
        <w:t>5</w:t>
      </w:r>
      <w:r w:rsidRPr="003A196E">
        <w:rPr>
          <w:rFonts w:ascii="Palatino Linotype" w:hAnsi="Palatino Linotype" w:cstheme="minorHAnsi"/>
          <w:b/>
          <w:sz w:val="20"/>
          <w:szCs w:val="20"/>
        </w:rPr>
        <w:t xml:space="preserve">: Gene expression in BPDL-treated </w:t>
      </w:r>
      <w:r w:rsidRPr="003A196E">
        <w:rPr>
          <w:rFonts w:ascii="Palatino Linotype" w:hAnsi="Palatino Linotype" w:cstheme="minorHAnsi"/>
          <w:b/>
          <w:i/>
          <w:sz w:val="20"/>
          <w:szCs w:val="20"/>
        </w:rPr>
        <w:t>W. chondrophila</w:t>
      </w:r>
      <w:r w:rsidRPr="003A196E">
        <w:rPr>
          <w:rFonts w:ascii="Palatino Linotype" w:hAnsi="Palatino Linotype" w:cstheme="minorHAnsi"/>
          <w:b/>
          <w:iCs/>
          <w:sz w:val="20"/>
          <w:szCs w:val="20"/>
        </w:rPr>
        <w:t xml:space="preserve"> versus untreated RBs</w:t>
      </w:r>
      <w:r w:rsidRPr="003A196E">
        <w:rPr>
          <w:rFonts w:ascii="Palatino Linotype" w:hAnsi="Palatino Linotype" w:cstheme="minorHAnsi"/>
          <w:b/>
          <w:sz w:val="20"/>
          <w:szCs w:val="20"/>
        </w:rPr>
        <w:t xml:space="preserve">. </w:t>
      </w:r>
      <w:r w:rsidRPr="003A196E">
        <w:rPr>
          <w:rFonts w:ascii="Palatino Linotype" w:hAnsi="Palatino Linotype" w:cstheme="minorHAnsi"/>
          <w:sz w:val="20"/>
          <w:szCs w:val="20"/>
        </w:rPr>
        <w:t>The smear plot indicates the relation between the log2 fold change and the average log counts per million. Each point represents the average value for one gene. Significantly up-regulated genes are in red whereas significantly down-regulated genes are in blue (FDR ≤ 0.01).</w:t>
      </w:r>
    </w:p>
    <w:p w:rsidR="009762C2" w:rsidRDefault="009762C2">
      <w:pPr>
        <w:spacing w:after="160" w:line="259" w:lineRule="auto"/>
        <w:jc w:val="lef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:rsidR="0029042B" w:rsidRPr="0056453B" w:rsidRDefault="0056453B">
      <w:pPr>
        <w:rPr>
          <w:rFonts w:ascii="Palatino Linotype" w:hAnsi="Palatino Linotype"/>
          <w:sz w:val="20"/>
        </w:rPr>
      </w:pPr>
      <w:r w:rsidRPr="00CE3A2E">
        <w:rPr>
          <w:noProof/>
          <w:lang w:eastAsia="en-GB"/>
        </w:rPr>
        <w:lastRenderedPageBreak/>
        <w:drawing>
          <wp:inline distT="0" distB="0" distL="0" distR="0" wp14:anchorId="174717AA" wp14:editId="1D639127">
            <wp:extent cx="5508000" cy="6448649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ure 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8000" cy="6448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6453B">
        <w:rPr>
          <w:rFonts w:ascii="Palatino Linotype" w:hAnsi="Palatino Linotype" w:cstheme="minorHAnsi"/>
          <w:b/>
          <w:sz w:val="20"/>
          <w:szCs w:val="20"/>
        </w:rPr>
        <w:t xml:space="preserve"> </w:t>
      </w:r>
      <w:r w:rsidRPr="003A196E">
        <w:rPr>
          <w:rFonts w:ascii="Palatino Linotype" w:hAnsi="Palatino Linotype" w:cstheme="minorHAnsi"/>
          <w:b/>
          <w:sz w:val="20"/>
          <w:szCs w:val="20"/>
        </w:rPr>
        <w:t xml:space="preserve">Supplementary Figure </w:t>
      </w:r>
      <w:r w:rsidR="003C46D1">
        <w:rPr>
          <w:rFonts w:ascii="Palatino Linotype" w:hAnsi="Palatino Linotype" w:cstheme="minorHAnsi"/>
          <w:b/>
          <w:sz w:val="20"/>
          <w:szCs w:val="20"/>
        </w:rPr>
        <w:t>6</w:t>
      </w:r>
      <w:r>
        <w:rPr>
          <w:rFonts w:ascii="Palatino Linotype" w:hAnsi="Palatino Linotype" w:cstheme="minorHAnsi"/>
          <w:b/>
          <w:sz w:val="20"/>
          <w:szCs w:val="20"/>
        </w:rPr>
        <w:t xml:space="preserve">. </w:t>
      </w:r>
      <w:r w:rsidR="00E979F1" w:rsidRPr="0056453B">
        <w:rPr>
          <w:rFonts w:ascii="Palatino Linotype" w:hAnsi="Palatino Linotype"/>
          <w:b/>
          <w:sz w:val="20"/>
        </w:rPr>
        <w:t xml:space="preserve">Normalized expression profile of the top down-regulated genes in response to iron deprivation. </w:t>
      </w:r>
      <w:r w:rsidR="00E979F1" w:rsidRPr="0056453B">
        <w:rPr>
          <w:rFonts w:ascii="Palatino Linotype" w:hAnsi="Palatino Linotype"/>
          <w:sz w:val="20"/>
        </w:rPr>
        <w:t>The</w:t>
      </w:r>
      <w:r w:rsidR="00E979F1" w:rsidRPr="0056453B">
        <w:rPr>
          <w:rFonts w:ascii="Palatino Linotype" w:hAnsi="Palatino Linotype"/>
          <w:b/>
          <w:sz w:val="20"/>
        </w:rPr>
        <w:t xml:space="preserve"> </w:t>
      </w:r>
      <w:r w:rsidR="00E979F1" w:rsidRPr="0056453B">
        <w:rPr>
          <w:rFonts w:ascii="Palatino Linotype" w:hAnsi="Palatino Linotype"/>
          <w:sz w:val="20"/>
        </w:rPr>
        <w:t xml:space="preserve">heatmap displays significantly down-regulated genes exhibiting at least a twofold decreased expression in BPDL-treated samples as compared to the untreated control (log2FC ≤ -1; FDR ≤ 0.01). In total, 56 genes were significantly down-regulated in </w:t>
      </w:r>
      <w:r w:rsidR="00E979F1" w:rsidRPr="0056453B">
        <w:rPr>
          <w:rFonts w:ascii="Palatino Linotype" w:hAnsi="Palatino Linotype"/>
          <w:i/>
          <w:sz w:val="20"/>
        </w:rPr>
        <w:t xml:space="preserve">W. chondrophila </w:t>
      </w:r>
      <w:r w:rsidR="00E979F1" w:rsidRPr="0056453B">
        <w:rPr>
          <w:rFonts w:ascii="Palatino Linotype" w:hAnsi="Palatino Linotype"/>
          <w:sz w:val="20"/>
        </w:rPr>
        <w:t>aberrant bodies. Red indicates higher expression values whereas blue corresponds to lower expression values.</w:t>
      </w:r>
    </w:p>
    <w:p w:rsidR="0056453B" w:rsidRDefault="0056453B" w:rsidP="0056453B">
      <w:pPr>
        <w:pStyle w:val="MDPI51figurecaption"/>
        <w:rPr>
          <w:b/>
        </w:rPr>
      </w:pPr>
      <w:r w:rsidRPr="00CE3A2E">
        <w:rPr>
          <w:noProof/>
          <w:lang w:val="en-GB" w:eastAsia="en-GB" w:bidi="ar-SA"/>
        </w:rPr>
        <w:lastRenderedPageBreak/>
        <w:drawing>
          <wp:inline distT="0" distB="0" distL="0" distR="0" wp14:anchorId="0D3DC350" wp14:editId="157A8837">
            <wp:extent cx="3591594" cy="8172000"/>
            <wp:effectExtent l="0" t="0" r="889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ure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1594" cy="81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6453B">
        <w:rPr>
          <w:b/>
        </w:rPr>
        <w:t xml:space="preserve"> </w:t>
      </w:r>
    </w:p>
    <w:p w:rsidR="00442775" w:rsidRDefault="0056453B" w:rsidP="00505FFE">
      <w:pPr>
        <w:pStyle w:val="MDPI51figurecaption"/>
        <w:spacing w:line="480" w:lineRule="auto"/>
        <w:rPr>
          <w:sz w:val="20"/>
        </w:rPr>
      </w:pPr>
      <w:r w:rsidRPr="0056453B">
        <w:rPr>
          <w:rFonts w:cstheme="minorHAnsi"/>
          <w:b/>
          <w:sz w:val="20"/>
        </w:rPr>
        <w:lastRenderedPageBreak/>
        <w:t xml:space="preserve">Supplementary Figure </w:t>
      </w:r>
      <w:r w:rsidR="003C46D1">
        <w:rPr>
          <w:rFonts w:cstheme="minorHAnsi"/>
          <w:b/>
          <w:sz w:val="20"/>
        </w:rPr>
        <w:t>7</w:t>
      </w:r>
      <w:r w:rsidRPr="0056453B">
        <w:rPr>
          <w:rFonts w:cstheme="minorHAnsi"/>
          <w:b/>
          <w:sz w:val="20"/>
        </w:rPr>
        <w:t xml:space="preserve">. </w:t>
      </w:r>
      <w:r w:rsidRPr="0056453B">
        <w:rPr>
          <w:b/>
          <w:sz w:val="20"/>
        </w:rPr>
        <w:t xml:space="preserve">Normalized expression profile of the top up-regulated genes in response to iron deprivation. </w:t>
      </w:r>
      <w:r w:rsidRPr="0056453B">
        <w:rPr>
          <w:sz w:val="20"/>
        </w:rPr>
        <w:t xml:space="preserve">The heatmap shows significantly up-regulated genes exhibiting at least a twofold increased expression in BPDL-treated samples compared to the untreated control (log2FC ≥ 1; FDR ≤ 0.01). In total, 88 genes were significantly up-regulated in </w:t>
      </w:r>
      <w:r w:rsidRPr="0056453B">
        <w:rPr>
          <w:i/>
          <w:sz w:val="20"/>
        </w:rPr>
        <w:t>W. chondrophila</w:t>
      </w:r>
      <w:r w:rsidRPr="0056453B">
        <w:rPr>
          <w:sz w:val="20"/>
        </w:rPr>
        <w:t xml:space="preserve"> aberrant bodies. Red colour indicates higher expression values whereas blue corresponds to lower expression values.</w:t>
      </w:r>
    </w:p>
    <w:p w:rsidR="00442775" w:rsidRDefault="00442775">
      <w:pPr>
        <w:spacing w:after="160" w:line="259" w:lineRule="auto"/>
        <w:jc w:val="left"/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</w:pPr>
      <w:r>
        <w:rPr>
          <w:sz w:val="20"/>
        </w:rPr>
        <w:br w:type="page"/>
      </w:r>
    </w:p>
    <w:p w:rsidR="0056453B" w:rsidRDefault="00442775" w:rsidP="00505FFE">
      <w:pPr>
        <w:pStyle w:val="MDPI51figurecaption"/>
        <w:spacing w:line="480" w:lineRule="auto"/>
        <w:rPr>
          <w:color w:val="auto"/>
          <w:sz w:val="20"/>
        </w:rPr>
      </w:pPr>
      <w:r w:rsidRPr="0056453B">
        <w:rPr>
          <w:rFonts w:cstheme="minorHAnsi"/>
          <w:b/>
          <w:sz w:val="20"/>
        </w:rPr>
        <w:lastRenderedPageBreak/>
        <w:t xml:space="preserve">Supplementary </w:t>
      </w:r>
      <w:r>
        <w:rPr>
          <w:rFonts w:cstheme="minorHAnsi"/>
          <w:b/>
          <w:sz w:val="20"/>
        </w:rPr>
        <w:t>Table 1 (.xlsx file)</w:t>
      </w:r>
      <w:r w:rsidRPr="0056453B">
        <w:rPr>
          <w:rFonts w:cstheme="minorHAnsi"/>
          <w:b/>
          <w:sz w:val="20"/>
        </w:rPr>
        <w:t xml:space="preserve">. </w:t>
      </w:r>
      <w:r w:rsidRPr="00442775">
        <w:rPr>
          <w:color w:val="auto"/>
          <w:sz w:val="20"/>
        </w:rPr>
        <w:t>RNA-seq data. The counts and fold change (BPDL-treated vs untreated control, expressed as log2FC) of all the genes whose transcripts were detected by RNA-seq are reported in Table S1. Up-regulated genes: list of the 332 significantly up-regulated (FDR ≤ 0.01) genes. Genes with a log2FC ≥ 1 are in bold. Genes with a log2FC ≥ 2 are in red. Down-regulated genes: list of the 325 significantly down-regulated (FDR ≤ 0.01) genes. Genes with a log2FC ≥ 1 are in bold. Genes with a log2FC ≥ 2 are in blue.</w:t>
      </w:r>
    </w:p>
    <w:p w:rsidR="00442775" w:rsidRPr="00442775" w:rsidRDefault="00442775" w:rsidP="00505FFE">
      <w:pPr>
        <w:pStyle w:val="MDPI51figurecaption"/>
        <w:spacing w:line="480" w:lineRule="auto"/>
        <w:rPr>
          <w:color w:val="auto"/>
          <w:sz w:val="20"/>
        </w:rPr>
      </w:pPr>
      <w:r w:rsidRPr="00442775">
        <w:rPr>
          <w:b/>
          <w:color w:val="auto"/>
          <w:sz w:val="20"/>
        </w:rPr>
        <w:t>Table S2</w:t>
      </w:r>
      <w:r>
        <w:rPr>
          <w:b/>
          <w:color w:val="auto"/>
          <w:sz w:val="20"/>
        </w:rPr>
        <w:t xml:space="preserve"> </w:t>
      </w:r>
      <w:r>
        <w:rPr>
          <w:rFonts w:cstheme="minorHAnsi"/>
          <w:b/>
          <w:sz w:val="20"/>
        </w:rPr>
        <w:t>(.xlsx file)</w:t>
      </w:r>
      <w:r w:rsidRPr="00442775">
        <w:rPr>
          <w:b/>
          <w:color w:val="auto"/>
          <w:sz w:val="20"/>
        </w:rPr>
        <w:t>.</w:t>
      </w:r>
      <w:r w:rsidRPr="00442775">
        <w:rPr>
          <w:bCs/>
          <w:color w:val="auto"/>
          <w:sz w:val="20"/>
        </w:rPr>
        <w:t xml:space="preserve"> </w:t>
      </w:r>
      <w:r w:rsidRPr="00442775">
        <w:rPr>
          <w:color w:val="auto"/>
          <w:sz w:val="20"/>
        </w:rPr>
        <w:t xml:space="preserve">Gene ontology enrichment analysis of down-regulated genes. Table S2 contains detailed results of the Gene ontology enrichment analysis with raw and corrected p-values, as well as the list of loci annotated with the corresponding GO term. Abbreviations: BP, Biological Process; MF, Molecular Function; CC, Cellular Component; e, enriched term; p, under-represented term. </w:t>
      </w:r>
    </w:p>
    <w:p w:rsidR="00442775" w:rsidRPr="00442775" w:rsidRDefault="00442775" w:rsidP="00505FFE">
      <w:pPr>
        <w:pStyle w:val="MDPI51figurecaption"/>
        <w:spacing w:line="480" w:lineRule="auto"/>
        <w:rPr>
          <w:rFonts w:cstheme="minorHAnsi"/>
          <w:sz w:val="20"/>
        </w:rPr>
      </w:pPr>
      <w:r w:rsidRPr="00442775">
        <w:rPr>
          <w:b/>
          <w:color w:val="auto"/>
          <w:sz w:val="20"/>
        </w:rPr>
        <w:t>Table S3</w:t>
      </w:r>
      <w:r>
        <w:rPr>
          <w:b/>
          <w:color w:val="auto"/>
          <w:sz w:val="20"/>
        </w:rPr>
        <w:t xml:space="preserve"> </w:t>
      </w:r>
      <w:r>
        <w:rPr>
          <w:rFonts w:cstheme="minorHAnsi"/>
          <w:b/>
          <w:sz w:val="20"/>
        </w:rPr>
        <w:t>(.xlsx file)</w:t>
      </w:r>
      <w:bookmarkStart w:id="1" w:name="_GoBack"/>
      <w:bookmarkEnd w:id="1"/>
      <w:r w:rsidRPr="00442775">
        <w:rPr>
          <w:b/>
          <w:color w:val="auto"/>
          <w:sz w:val="20"/>
        </w:rPr>
        <w:t>.</w:t>
      </w:r>
      <w:r w:rsidRPr="00442775">
        <w:rPr>
          <w:bCs/>
          <w:color w:val="auto"/>
          <w:sz w:val="20"/>
        </w:rPr>
        <w:t xml:space="preserve"> </w:t>
      </w:r>
      <w:r w:rsidRPr="00442775">
        <w:rPr>
          <w:color w:val="auto"/>
          <w:sz w:val="20"/>
        </w:rPr>
        <w:t>Gene ontology enrichment analysis of up-regulated genes. Table S3 contains detailed results of the Gene ontology enrichment analysis with raw and corrected p-values, as well as the list of loci annotated with the corresponding GO term. Abbreviations: BP, Biological Process; MF, Molecular Function; CC, Cellular Component; e, enriched term; p, under-represented term.</w:t>
      </w:r>
    </w:p>
    <w:sectPr w:rsidR="00442775" w:rsidRPr="00442775" w:rsidSect="00505FFE">
      <w:headerReference w:type="even" r:id="rId13"/>
      <w:footerReference w:type="even" r:id="rId14"/>
      <w:footerReference w:type="default" r:id="rId15"/>
      <w:pgSz w:w="12240" w:h="15840"/>
      <w:pgMar w:top="1417" w:right="1417" w:bottom="1417" w:left="1417" w:header="709" w:footer="283" w:gutter="0"/>
      <w:lnNumType w:countBy="1" w:restart="continuous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509A" w:rsidRDefault="005403C3">
      <w:pPr>
        <w:spacing w:line="240" w:lineRule="auto"/>
      </w:pPr>
      <w:r>
        <w:separator/>
      </w:r>
    </w:p>
  </w:endnote>
  <w:endnote w:type="continuationSeparator" w:id="0">
    <w:p w:rsidR="006A509A" w:rsidRDefault="005403C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0468" w:rsidRDefault="009762C2" w:rsidP="005541EB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F0468" w:rsidRDefault="0044277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3893149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65BE7" w:rsidRDefault="00D65BE7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42775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D65BE7" w:rsidRDefault="00D65BE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509A" w:rsidRDefault="005403C3">
      <w:pPr>
        <w:spacing w:line="240" w:lineRule="auto"/>
      </w:pPr>
      <w:r>
        <w:separator/>
      </w:r>
    </w:p>
  </w:footnote>
  <w:footnote w:type="continuationSeparator" w:id="0">
    <w:p w:rsidR="006A509A" w:rsidRDefault="005403C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0468" w:rsidRDefault="009762C2" w:rsidP="00DB72C0">
    <w:pPr>
      <w:pStyle w:val="Head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EF0468" w:rsidRDefault="00442775" w:rsidP="00DB72C0">
    <w:pPr>
      <w:pStyle w:val="Header"/>
      <w:ind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2C2"/>
    <w:rsid w:val="000F56A4"/>
    <w:rsid w:val="001552E4"/>
    <w:rsid w:val="0029042B"/>
    <w:rsid w:val="00337A80"/>
    <w:rsid w:val="003557B4"/>
    <w:rsid w:val="003A196E"/>
    <w:rsid w:val="003C46D1"/>
    <w:rsid w:val="00442775"/>
    <w:rsid w:val="00485886"/>
    <w:rsid w:val="00505FFE"/>
    <w:rsid w:val="005403C3"/>
    <w:rsid w:val="0056453B"/>
    <w:rsid w:val="00587A93"/>
    <w:rsid w:val="005D449D"/>
    <w:rsid w:val="005D6C1D"/>
    <w:rsid w:val="006A509A"/>
    <w:rsid w:val="008455FD"/>
    <w:rsid w:val="009762C2"/>
    <w:rsid w:val="009A2494"/>
    <w:rsid w:val="00A41DD3"/>
    <w:rsid w:val="00B5389E"/>
    <w:rsid w:val="00D65BE7"/>
    <w:rsid w:val="00E979F1"/>
    <w:rsid w:val="00F55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9D6B9A2"/>
  <w15:chartTrackingRefBased/>
  <w15:docId w15:val="{A10B7B71-26E3-4809-8322-53C93C0E6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762C2"/>
    <w:pPr>
      <w:spacing w:after="0" w:line="480" w:lineRule="auto"/>
      <w:jc w:val="both"/>
    </w:pPr>
    <w:rPr>
      <w:rFonts w:ascii="Times New Roman" w:hAnsi="Times New Roman" w:cs="Times New Roman"/>
      <w:sz w:val="24"/>
      <w:szCs w:val="24"/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762C2"/>
    <w:pPr>
      <w:tabs>
        <w:tab w:val="center" w:pos="4536"/>
        <w:tab w:val="right" w:pos="9072"/>
      </w:tabs>
    </w:pPr>
    <w:rPr>
      <w:rFonts w:asciiTheme="minorHAnsi" w:hAnsiTheme="minorHAnsi" w:cstheme="minorBidi"/>
      <w:sz w:val="22"/>
      <w:szCs w:val="22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9762C2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9762C2"/>
    <w:pPr>
      <w:tabs>
        <w:tab w:val="center" w:pos="4536"/>
        <w:tab w:val="right" w:pos="9072"/>
      </w:tabs>
    </w:pPr>
    <w:rPr>
      <w:rFonts w:asciiTheme="minorHAnsi" w:hAnsiTheme="minorHAnsi" w:cstheme="minorBidi"/>
      <w:sz w:val="22"/>
      <w:szCs w:val="22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9762C2"/>
    <w:rPr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762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762C2"/>
    <w:rPr>
      <w:rFonts w:asciiTheme="minorHAnsi" w:hAnsiTheme="minorHAnsi" w:cstheme="minorBidi"/>
      <w:sz w:val="20"/>
      <w:szCs w:val="20"/>
      <w:lang w:val="en-US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762C2"/>
    <w:rPr>
      <w:sz w:val="20"/>
      <w:szCs w:val="20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9762C2"/>
  </w:style>
  <w:style w:type="table" w:styleId="PlainTable3">
    <w:name w:val="Plain Table 3"/>
    <w:basedOn w:val="TableNormal"/>
    <w:uiPriority w:val="43"/>
    <w:rsid w:val="009762C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9762C2"/>
  </w:style>
  <w:style w:type="paragraph" w:styleId="BalloonText">
    <w:name w:val="Balloon Text"/>
    <w:basedOn w:val="Normal"/>
    <w:link w:val="BalloonTextChar"/>
    <w:uiPriority w:val="99"/>
    <w:semiHidden/>
    <w:unhideWhenUsed/>
    <w:rsid w:val="009762C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762C2"/>
    <w:rPr>
      <w:rFonts w:ascii="Segoe UI" w:hAnsi="Segoe UI" w:cs="Segoe UI"/>
      <w:sz w:val="18"/>
      <w:szCs w:val="18"/>
      <w:lang w:val="en-GB" w:eastAsia="fr-FR"/>
    </w:rPr>
  </w:style>
  <w:style w:type="paragraph" w:customStyle="1" w:styleId="MDPI51figurecaption">
    <w:name w:val="MDPI_5.1_figure_caption"/>
    <w:qFormat/>
    <w:rsid w:val="0056453B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771</Words>
  <Characters>4397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CHUV | Centre hospitalier universitaire vaudois</Company>
  <LinksUpToDate>false</LinksUpToDate>
  <CharactersWithSpaces>5158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Ardissone Silvia</dc:creator>
  <cp:keywords/>
  <dc:description/>
  <cp:lastModifiedBy>Ardissone Silvia</cp:lastModifiedBy>
  <cp:revision>2</cp:revision>
  <dcterms:created xsi:type="dcterms:W3CDTF">2020-11-23T15:40:00Z</dcterms:created>
  <dcterms:modified xsi:type="dcterms:W3CDTF">2020-11-23T15:40:00Z</dcterms:modified>
</cp:coreProperties>
</file>