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C4A" w:rsidRPr="001718EE" w:rsidRDefault="00AB2C4A" w:rsidP="00AB2C4A">
      <w:pPr>
        <w:spacing w:after="0" w:line="260" w:lineRule="atLeast"/>
        <w:textAlignment w:val="baseline"/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</w:pPr>
      <w:r w:rsidRPr="001718EE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</w:t>
      </w:r>
      <w:r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 xml:space="preserve">upplementary Table </w:t>
      </w:r>
      <w:r w:rsidR="00125304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</w:t>
      </w:r>
      <w:bookmarkStart w:id="0" w:name="_GoBack"/>
      <w:bookmarkEnd w:id="0"/>
      <w:r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4</w:t>
      </w:r>
      <w:r w:rsidRPr="001718EE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 xml:space="preserve">. 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Mean relative abundances of bacterial 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genera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in ruminal samples of sheep when fed a concentrate with different doses of spent coffee grounds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60"/>
        <w:gridCol w:w="917"/>
        <w:gridCol w:w="733"/>
        <w:gridCol w:w="733"/>
        <w:gridCol w:w="733"/>
        <w:gridCol w:w="766"/>
        <w:gridCol w:w="804"/>
        <w:gridCol w:w="1127"/>
      </w:tblGrid>
      <w:tr w:rsidR="00AB2C4A" w:rsidRPr="00B22579" w:rsidTr="003A11E2"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jc w:val="left"/>
              <w:rPr>
                <w:b/>
              </w:rPr>
            </w:pPr>
            <w:r w:rsidRPr="001718EE">
              <w:rPr>
                <w:b/>
              </w:rPr>
              <w:t>Genus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 w:rsidRPr="001718EE">
              <w:rPr>
                <w:b/>
              </w:rPr>
              <w:t>Treatment</w:t>
            </w:r>
            <w:r w:rsidRPr="001718EE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SEM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P-value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Linear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pStyle w:val="MDPI42tablebody"/>
              <w:spacing w:line="240" w:lineRule="auto"/>
              <w:rPr>
                <w:b/>
              </w:rPr>
            </w:pPr>
            <w:r w:rsidRPr="001718EE">
              <w:rPr>
                <w:b/>
              </w:rPr>
              <w:t>Quadratic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Prevotella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0.153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Ruminococcaceae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9.78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0.214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Clostridiales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0.621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Lachnospiracea</w:t>
            </w: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e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0.155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Coriobacteriaceae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0.547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Bacteroidales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0.368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BS11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1.2041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0.681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BF311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0.3753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0.810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RF16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0.032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S24_7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0.079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Paraprevotellaceae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0.414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_CF231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0.043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_YRC221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0.504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Anaerostipes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0.837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Butyrivibrio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0.196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Coprococcus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0.247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Pseudobutyrivibrio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0.374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Shuttleworthia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0.890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Ruminococcus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0.174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Anaerovibrio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0.426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Selenomonas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0.071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83798A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Mogibacteriaceae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0.009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83798A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Victivallaceae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0.799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Desulfovibrio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0.610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Treponema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0,831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lang w:val="en-US" w:eastAsia="de-DE" w:bidi="en-US"/>
              </w:rPr>
              <w:t>Anaeroplasma</w:t>
            </w:r>
            <w:r w:rsidRPr="001718EE">
              <w:rPr>
                <w:rFonts w:ascii="Palatino Linotype" w:eastAsia="Times New Roman" w:hAnsi="Palatino Linotype" w:cs="Times New Roman"/>
                <w:i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1.091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0.191</w:t>
            </w:r>
          </w:p>
        </w:tc>
      </w:tr>
      <w:tr w:rsidR="00AB2C4A" w:rsidRPr="00B22579" w:rsidTr="003A11E2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UG_</w:t>
            </w: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RFP12</w:t>
            </w:r>
            <w:r w:rsidRPr="0083798A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AB2C4A" w:rsidRPr="001718EE" w:rsidRDefault="00AB2C4A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1718EE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0.526</w:t>
            </w:r>
          </w:p>
        </w:tc>
      </w:tr>
    </w:tbl>
    <w:p w:rsidR="00AB2C4A" w:rsidRPr="001718EE" w:rsidRDefault="00AB2C4A" w:rsidP="00AB2C4A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proofErr w:type="spellStart"/>
      <w:r w:rsidRPr="001718EE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a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Control</w:t>
      </w:r>
      <w:proofErr w:type="spellEnd"/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concentrate; 3, 5 and 10, treatment groups supplemented with 30 g/kg, 50g/kg and 100 g/kg of spent coffee grounds in the concentrate, respectively;</w:t>
      </w:r>
      <w:r w:rsidRPr="001718EE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 xml:space="preserve">  1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Untransformed data, </w:t>
      </w:r>
      <w:r w:rsidRPr="001718EE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2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Ln transformation, </w:t>
      </w:r>
      <w:r w:rsidRPr="001718EE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3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square root transformation, </w:t>
      </w:r>
      <w:r w:rsidRPr="001718EE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 xml:space="preserve">4 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reciprocal transformation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; </w:t>
      </w:r>
      <w:r w:rsidRPr="001718EE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SEM: standard error of the mean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 UG: undefined genera.</w:t>
      </w:r>
    </w:p>
    <w:p w:rsidR="00AB2C4A" w:rsidRPr="001718EE" w:rsidRDefault="00AB2C4A" w:rsidP="00AB2C4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s-ES"/>
        </w:rPr>
      </w:pPr>
    </w:p>
    <w:p w:rsidR="00AB2C4A" w:rsidRDefault="00AB2C4A" w:rsidP="00AB2C4A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sectPr w:rsidR="00AB2C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C4A"/>
    <w:rsid w:val="00125304"/>
    <w:rsid w:val="00A71941"/>
    <w:rsid w:val="00AB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013A1D"/>
  <w15:docId w15:val="{11B16D5D-0A52-42E6-B0D1-4EC4A12B4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C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B2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AB2C4A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B2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B2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 Garcia</dc:creator>
  <cp:lastModifiedBy>Goiri Zamora, Idoia</cp:lastModifiedBy>
  <cp:revision>2</cp:revision>
  <dcterms:created xsi:type="dcterms:W3CDTF">2020-11-13T13:05:00Z</dcterms:created>
  <dcterms:modified xsi:type="dcterms:W3CDTF">2020-12-07T18:13:00Z</dcterms:modified>
</cp:coreProperties>
</file>