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84952E" w14:textId="5527F4C1" w:rsidR="00273E6A" w:rsidRDefault="00AE338A" w:rsidP="005E1723">
      <w:pPr>
        <w:jc w:val="center"/>
      </w:pPr>
      <w:r>
        <w:rPr>
          <w:noProof/>
        </w:rPr>
        <w:drawing>
          <wp:inline distT="0" distB="0" distL="0" distR="0" wp14:anchorId="451ACB2D" wp14:editId="59155D01">
            <wp:extent cx="4597400" cy="342622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402" cy="3429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94B02" w14:textId="6385DCD9" w:rsidR="004B132E" w:rsidRDefault="00273E6A" w:rsidP="005E1723">
      <w:pPr>
        <w:jc w:val="both"/>
      </w:pPr>
      <w:r w:rsidRPr="009A6834">
        <w:rPr>
          <w:b/>
        </w:rPr>
        <w:t>F</w:t>
      </w:r>
      <w:r w:rsidR="00051D9D">
        <w:rPr>
          <w:b/>
        </w:rPr>
        <w:t>igure</w:t>
      </w:r>
      <w:r w:rsidRPr="009A6834">
        <w:rPr>
          <w:b/>
        </w:rPr>
        <w:t xml:space="preserve"> S1</w:t>
      </w:r>
      <w:r w:rsidRPr="005E1723">
        <w:t>. Alpha diversity measure for different dietary supplements at four time points. Common indicator-Observed Features was used to measure bacterial diversity in all groups.</w:t>
      </w:r>
      <w:r w:rsidR="00A60860">
        <w:t xml:space="preserve"> </w:t>
      </w:r>
      <w:r w:rsidRPr="005E1723">
        <w:t>An asterisk (</w:t>
      </w:r>
      <w:r w:rsidR="006114CB">
        <w:t xml:space="preserve">*) </w:t>
      </w:r>
      <w:r w:rsidRPr="005E1723">
        <w:t>indicates a tendency for treatments significantly different</w:t>
      </w:r>
      <w:r w:rsidR="006114CB">
        <w:t xml:space="preserve"> (0</w:t>
      </w:r>
      <w:r w:rsidR="006114CB" w:rsidRPr="005E1723">
        <w:t>.1 &lt;</w:t>
      </w:r>
      <w:r w:rsidR="006114CB">
        <w:t xml:space="preserve"> </w:t>
      </w:r>
      <w:r w:rsidR="00A60860">
        <w:rPr>
          <w:i/>
        </w:rPr>
        <w:t>p</w:t>
      </w:r>
      <w:r w:rsidR="006114CB" w:rsidRPr="005E1723">
        <w:t xml:space="preserve"> &lt; </w:t>
      </w:r>
      <w:r w:rsidR="006114CB">
        <w:t>0</w:t>
      </w:r>
      <w:r w:rsidR="006114CB" w:rsidRPr="005E1723">
        <w:t>.05)</w:t>
      </w:r>
      <w:r w:rsidRPr="005E1723">
        <w:t>. NC: basal diet; BA: basal diet+0.5% benzoic acid; SBA0.035: BA+0.035% butyrate; SBA0.070: BA+0.070% butyrate; SBA0.105: BA+0.105% butyrate. Outliers are displayed as black dots.</w:t>
      </w:r>
    </w:p>
    <w:p w14:paraId="4AFB808A" w14:textId="77777777" w:rsidR="004B132E" w:rsidRDefault="004B132E" w:rsidP="005E1723">
      <w:pPr>
        <w:jc w:val="both"/>
      </w:pPr>
    </w:p>
    <w:p w14:paraId="31F065DA" w14:textId="474D14AA" w:rsidR="00273E6A" w:rsidRDefault="00044779" w:rsidP="004B132E">
      <w:pPr>
        <w:jc w:val="center"/>
        <w:rPr>
          <w:sz w:val="24"/>
        </w:rPr>
      </w:pPr>
      <w:r>
        <w:rPr>
          <w:noProof/>
        </w:rPr>
        <w:drawing>
          <wp:inline distT="0" distB="0" distL="0" distR="0" wp14:anchorId="2B2A7D83" wp14:editId="14EA3516">
            <wp:extent cx="3700936" cy="3237464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720" cy="3241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801A62" w14:textId="3BC2486A" w:rsidR="00273E6A" w:rsidRDefault="00273E6A" w:rsidP="00273E6A">
      <w:pPr>
        <w:jc w:val="both"/>
      </w:pPr>
      <w:r w:rsidRPr="009A6834">
        <w:rPr>
          <w:b/>
        </w:rPr>
        <w:t>F</w:t>
      </w:r>
      <w:r w:rsidR="00051D9D">
        <w:rPr>
          <w:b/>
        </w:rPr>
        <w:t>igure</w:t>
      </w:r>
      <w:r w:rsidRPr="009A6834">
        <w:rPr>
          <w:b/>
        </w:rPr>
        <w:t xml:space="preserve"> S2</w:t>
      </w:r>
      <w:r w:rsidRPr="00290264">
        <w:t xml:space="preserve">. </w:t>
      </w:r>
      <w:r w:rsidR="00165DE5" w:rsidRPr="00165DE5">
        <w:t>Principal coordinate analysis based on Bray</w:t>
      </w:r>
      <w:r w:rsidR="002D7591">
        <w:t>-C</w:t>
      </w:r>
      <w:r w:rsidR="00165DE5" w:rsidRPr="00165DE5">
        <w:t xml:space="preserve">urtis distances was used to detect the effects of different concentrations of organic acid blender on bacterial structure on d 21. </w:t>
      </w:r>
      <w:r w:rsidRPr="00290264">
        <w:t xml:space="preserve">Differences in beta diversity between NC and organic acid treatment were tested by the analysis of similarity (ANOSIM). Samples are </w:t>
      </w:r>
      <w:proofErr w:type="spellStart"/>
      <w:r w:rsidRPr="00290264">
        <w:t>colored</w:t>
      </w:r>
      <w:proofErr w:type="spellEnd"/>
      <w:r w:rsidRPr="00290264">
        <w:t xml:space="preserve"> by groups. NC: basal diet; BA: basal diet+0.5% benzoic acid; SBA0.035: BA+0.035% butyrate; SBA0.070: BA+0.070% butyrate; SBA0.105: BA+0.105% butyrate.</w:t>
      </w:r>
    </w:p>
    <w:p w14:paraId="438118AA" w14:textId="6D986A6A" w:rsidR="00273E6A" w:rsidRDefault="00290264" w:rsidP="00FC5ECF">
      <w:pPr>
        <w:spacing w:after="160" w:line="259" w:lineRule="auto"/>
        <w:jc w:val="center"/>
        <w:rPr>
          <w:sz w:val="24"/>
        </w:rPr>
      </w:pPr>
      <w:r>
        <w:rPr>
          <w:noProof/>
        </w:rPr>
        <w:lastRenderedPageBreak/>
        <w:drawing>
          <wp:inline distT="0" distB="0" distL="0" distR="0" wp14:anchorId="6BB99638" wp14:editId="6D4035CB">
            <wp:extent cx="5096068" cy="3138221"/>
            <wp:effectExtent l="0" t="0" r="9525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021" cy="3149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5396D3" w14:textId="7EB223B7" w:rsidR="00273E6A" w:rsidRPr="00290264" w:rsidRDefault="00273E6A" w:rsidP="00273E6A">
      <w:pPr>
        <w:jc w:val="both"/>
      </w:pPr>
      <w:r w:rsidRPr="009A6834">
        <w:rPr>
          <w:b/>
        </w:rPr>
        <w:t>F</w:t>
      </w:r>
      <w:r w:rsidR="00051D9D">
        <w:rPr>
          <w:b/>
        </w:rPr>
        <w:t>igure</w:t>
      </w:r>
      <w:r w:rsidRPr="009A6834">
        <w:rPr>
          <w:b/>
        </w:rPr>
        <w:t xml:space="preserve"> S3</w:t>
      </w:r>
      <w:r w:rsidRPr="00290264">
        <w:t xml:space="preserve">. </w:t>
      </w:r>
      <w:proofErr w:type="spellStart"/>
      <w:r w:rsidRPr="00290264">
        <w:t>LEfSe</w:t>
      </w:r>
      <w:proofErr w:type="spellEnd"/>
      <w:r w:rsidRPr="00290264">
        <w:t xml:space="preserve"> analysis of the swine gut microbiome data</w:t>
      </w:r>
      <w:r w:rsidR="00C5755A">
        <w:t xml:space="preserve"> </w:t>
      </w:r>
      <w:r w:rsidR="00C5755A" w:rsidRPr="00290264">
        <w:t>between NC and BA</w:t>
      </w:r>
      <w:r w:rsidR="00C5755A">
        <w:t xml:space="preserve"> groups</w:t>
      </w:r>
      <w:r w:rsidRPr="00290264">
        <w:t>. Differentially abundant genera between NC and BA piglets were shown by sampling time. Genera in this graph were statistically significant (</w:t>
      </w:r>
      <w:r w:rsidR="002039D7">
        <w:rPr>
          <w:i/>
        </w:rPr>
        <w:t>p</w:t>
      </w:r>
      <w:r w:rsidRPr="00290264">
        <w:t xml:space="preserve"> &lt; </w:t>
      </w:r>
      <w:r w:rsidR="008A207A">
        <w:t>0</w:t>
      </w:r>
      <w:r w:rsidRPr="00290264">
        <w:t>.05) and had an LDA Score &gt; 2. NC: basal diet; BA: NC+0.5% benzoic acid.</w:t>
      </w:r>
    </w:p>
    <w:p w14:paraId="6ACE05C6" w14:textId="77102004" w:rsidR="00273E6A" w:rsidRPr="00FC5ECF" w:rsidRDefault="00273E6A" w:rsidP="00273E6A">
      <w:pPr>
        <w:spacing w:after="160" w:line="259" w:lineRule="auto"/>
        <w:rPr>
          <w:sz w:val="4"/>
        </w:rPr>
      </w:pPr>
    </w:p>
    <w:p w14:paraId="40A92054" w14:textId="77777777" w:rsidR="00FC5ECF" w:rsidRPr="00FC5ECF" w:rsidRDefault="00FC5ECF" w:rsidP="00273E6A">
      <w:pPr>
        <w:spacing w:after="160" w:line="259" w:lineRule="auto"/>
        <w:rPr>
          <w:sz w:val="4"/>
        </w:rPr>
      </w:pPr>
    </w:p>
    <w:p w14:paraId="7EA47DA5" w14:textId="77777777" w:rsidR="00273E6A" w:rsidRDefault="00273E6A" w:rsidP="00FC5ECF">
      <w:pPr>
        <w:jc w:val="center"/>
        <w:rPr>
          <w:sz w:val="24"/>
        </w:rPr>
      </w:pPr>
      <w:r>
        <w:rPr>
          <w:noProof/>
        </w:rPr>
        <w:drawing>
          <wp:inline distT="0" distB="0" distL="0" distR="0" wp14:anchorId="5A7C5CA9" wp14:editId="06A15A41">
            <wp:extent cx="5263367" cy="2355494"/>
            <wp:effectExtent l="0" t="0" r="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332" cy="2374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5253F" w14:textId="5B1DF0D8" w:rsidR="00273E6A" w:rsidRDefault="00273E6A" w:rsidP="00273E6A">
      <w:pPr>
        <w:jc w:val="both"/>
      </w:pPr>
      <w:r w:rsidRPr="009A6834">
        <w:rPr>
          <w:b/>
        </w:rPr>
        <w:t>F</w:t>
      </w:r>
      <w:r w:rsidR="00051D9D">
        <w:rPr>
          <w:b/>
        </w:rPr>
        <w:t>igure</w:t>
      </w:r>
      <w:r w:rsidRPr="009A6834">
        <w:rPr>
          <w:b/>
        </w:rPr>
        <w:t xml:space="preserve"> S4.</w:t>
      </w:r>
      <w:r w:rsidRPr="009A6834">
        <w:t xml:space="preserve"> </w:t>
      </w:r>
      <w:proofErr w:type="spellStart"/>
      <w:r w:rsidRPr="009A6834">
        <w:t>LEfSe</w:t>
      </w:r>
      <w:proofErr w:type="spellEnd"/>
      <w:r w:rsidRPr="009A6834">
        <w:t xml:space="preserve"> analysis of the swine gut microbiome data</w:t>
      </w:r>
      <w:r w:rsidR="002E4D3A">
        <w:t xml:space="preserve"> </w:t>
      </w:r>
      <w:r w:rsidR="002E4D3A" w:rsidRPr="00290264">
        <w:t xml:space="preserve">between NC and </w:t>
      </w:r>
      <w:r w:rsidR="002E4D3A">
        <w:t>S</w:t>
      </w:r>
      <w:r w:rsidR="002E4D3A" w:rsidRPr="00290264">
        <w:t>BA</w:t>
      </w:r>
      <w:r w:rsidR="002E4D3A">
        <w:t>0.070 groups</w:t>
      </w:r>
      <w:r w:rsidRPr="009A6834">
        <w:t>. Differentially abundant genera between NC and SBA0.070 piglets were shown by sampling time. Genera in this graph were statistically significant (</w:t>
      </w:r>
      <w:r w:rsidR="002039D7">
        <w:rPr>
          <w:i/>
        </w:rPr>
        <w:t>p</w:t>
      </w:r>
      <w:r w:rsidRPr="009A6834">
        <w:t xml:space="preserve"> &lt; </w:t>
      </w:r>
      <w:r w:rsidR="008A207A">
        <w:t>0</w:t>
      </w:r>
      <w:r w:rsidRPr="009A6834">
        <w:t xml:space="preserve">.05) and had an LDA Score &gt; 2. NC: basal diet; </w:t>
      </w:r>
      <w:r w:rsidR="000D74D7">
        <w:t>S</w:t>
      </w:r>
      <w:r w:rsidRPr="009A6834">
        <w:t>BA</w:t>
      </w:r>
      <w:r w:rsidR="000D74D7">
        <w:t>0.070</w:t>
      </w:r>
      <w:r w:rsidRPr="009A6834">
        <w:t>: NC+0.5% benzoic acid+0.070% butyrate.</w:t>
      </w:r>
    </w:p>
    <w:p w14:paraId="2B0AB7D7" w14:textId="77777777" w:rsidR="009A6834" w:rsidRPr="009A6834" w:rsidRDefault="009A6834" w:rsidP="00273E6A">
      <w:pPr>
        <w:jc w:val="both"/>
      </w:pPr>
    </w:p>
    <w:p w14:paraId="2D10EABC" w14:textId="763F8834" w:rsidR="00273E6A" w:rsidRDefault="00273E6A" w:rsidP="00820C9E">
      <w:pPr>
        <w:spacing w:after="160" w:line="259" w:lineRule="auto"/>
        <w:jc w:val="center"/>
        <w:rPr>
          <w:sz w:val="24"/>
        </w:rPr>
      </w:pPr>
      <w:r>
        <w:rPr>
          <w:noProof/>
        </w:rPr>
        <w:lastRenderedPageBreak/>
        <w:drawing>
          <wp:inline distT="0" distB="0" distL="0" distR="0" wp14:anchorId="2185EC3B" wp14:editId="44A622A8">
            <wp:extent cx="5062118" cy="2864156"/>
            <wp:effectExtent l="0" t="0" r="571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7368" cy="2878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F16AA" w14:textId="1E5CDE51" w:rsidR="00067797" w:rsidRPr="009A6834" w:rsidRDefault="00273E6A" w:rsidP="00273E6A">
      <w:pPr>
        <w:rPr>
          <w:sz w:val="16"/>
        </w:rPr>
      </w:pPr>
      <w:r w:rsidRPr="009A6834">
        <w:rPr>
          <w:b/>
        </w:rPr>
        <w:t>F</w:t>
      </w:r>
      <w:r w:rsidR="001C6DBF">
        <w:rPr>
          <w:b/>
        </w:rPr>
        <w:t>igure</w:t>
      </w:r>
      <w:r w:rsidRPr="009A6834">
        <w:rPr>
          <w:b/>
        </w:rPr>
        <w:t xml:space="preserve"> S5.</w:t>
      </w:r>
      <w:r w:rsidRPr="009A6834">
        <w:t xml:space="preserve"> </w:t>
      </w:r>
      <w:proofErr w:type="spellStart"/>
      <w:r w:rsidRPr="009A6834">
        <w:t>LEfSe</w:t>
      </w:r>
      <w:proofErr w:type="spellEnd"/>
      <w:r w:rsidRPr="009A6834">
        <w:t xml:space="preserve"> analysis of the swine gut microbiome data</w:t>
      </w:r>
      <w:r w:rsidR="002E4D3A">
        <w:t xml:space="preserve"> </w:t>
      </w:r>
      <w:r w:rsidR="002E4D3A" w:rsidRPr="00290264">
        <w:t xml:space="preserve">between NC and </w:t>
      </w:r>
      <w:r w:rsidR="002E4D3A">
        <w:t>S</w:t>
      </w:r>
      <w:r w:rsidR="002E4D3A" w:rsidRPr="00290264">
        <w:t>BA</w:t>
      </w:r>
      <w:r w:rsidR="002E4D3A">
        <w:t>0.105 groups</w:t>
      </w:r>
      <w:r w:rsidRPr="009A6834">
        <w:t>. Differentially abundant genera between NC and SBA0.105 piglets were shown by sampling time. Genera in this graph were statistically significant (</w:t>
      </w:r>
      <w:r w:rsidR="00370A7E">
        <w:rPr>
          <w:i/>
        </w:rPr>
        <w:t>p</w:t>
      </w:r>
      <w:r w:rsidRPr="009A6834">
        <w:t xml:space="preserve"> &lt; </w:t>
      </w:r>
      <w:r w:rsidR="008A207A">
        <w:t>0</w:t>
      </w:r>
      <w:r w:rsidRPr="009A6834">
        <w:t xml:space="preserve">.05) and had an LDA Score &gt; 2. NC: basal diet; </w:t>
      </w:r>
      <w:r w:rsidR="000D74D7">
        <w:t>S</w:t>
      </w:r>
      <w:r w:rsidRPr="009A6834">
        <w:t>BA</w:t>
      </w:r>
      <w:r w:rsidR="000D74D7">
        <w:t>0.105</w:t>
      </w:r>
      <w:r w:rsidRPr="009A6834">
        <w:t>: NC+0.5% benzoic acid+0.105% butyrate.</w:t>
      </w:r>
    </w:p>
    <w:sectPr w:rsidR="00067797" w:rsidRPr="009A68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B7B"/>
    <w:rsid w:val="00023F83"/>
    <w:rsid w:val="00044779"/>
    <w:rsid w:val="00051D9D"/>
    <w:rsid w:val="00083BC6"/>
    <w:rsid w:val="000D74D7"/>
    <w:rsid w:val="000F6726"/>
    <w:rsid w:val="00146B7B"/>
    <w:rsid w:val="00155F9E"/>
    <w:rsid w:val="00165DE5"/>
    <w:rsid w:val="001C6DBF"/>
    <w:rsid w:val="002039D7"/>
    <w:rsid w:val="00273E6A"/>
    <w:rsid w:val="00290264"/>
    <w:rsid w:val="002D7591"/>
    <w:rsid w:val="002E4D3A"/>
    <w:rsid w:val="00304439"/>
    <w:rsid w:val="00336880"/>
    <w:rsid w:val="00370A7E"/>
    <w:rsid w:val="00413707"/>
    <w:rsid w:val="004B132E"/>
    <w:rsid w:val="005E1723"/>
    <w:rsid w:val="006114CB"/>
    <w:rsid w:val="006E38D0"/>
    <w:rsid w:val="00820C9E"/>
    <w:rsid w:val="008A207A"/>
    <w:rsid w:val="00965B05"/>
    <w:rsid w:val="009A6834"/>
    <w:rsid w:val="00A60860"/>
    <w:rsid w:val="00AE338A"/>
    <w:rsid w:val="00C5755A"/>
    <w:rsid w:val="00EF0BB2"/>
    <w:rsid w:val="00FC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50D58"/>
  <w15:chartTrackingRefBased/>
  <w15:docId w15:val="{BBF96F0E-5206-46BE-8C6D-4FD1BB044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E6A"/>
    <w:pPr>
      <w:spacing w:after="0" w:line="240" w:lineRule="auto"/>
    </w:pPr>
    <w:rPr>
      <w:rFonts w:ascii="Times New Roman" w:eastAsia="Malgun Gothic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iff"/><Relationship Id="rId3" Type="http://schemas.openxmlformats.org/officeDocument/2006/relationships/webSettings" Target="webSettings.xml"/><Relationship Id="rId7" Type="http://schemas.openxmlformats.org/officeDocument/2006/relationships/image" Target="media/image4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Xiaoyuan Wei</dc:creator>
  <cp:keywords/>
  <dc:description/>
  <cp:lastModifiedBy>wei xiaoyuan</cp:lastModifiedBy>
  <cp:revision>30</cp:revision>
  <dcterms:created xsi:type="dcterms:W3CDTF">2020-11-22T22:22:00Z</dcterms:created>
  <dcterms:modified xsi:type="dcterms:W3CDTF">2021-01-05T03:28:00Z</dcterms:modified>
</cp:coreProperties>
</file>