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FF0FBE7" w14:textId="4DA57516" w:rsidR="00E149A8" w:rsidRPr="00E149A8" w:rsidRDefault="002C5C57" w:rsidP="00CE35A0">
      <w:pPr>
        <w:pStyle w:val="MDPI51figurecaption"/>
        <w:ind w:left="425" w:right="425"/>
        <w:jc w:val="center"/>
        <w:rPr>
          <w:b/>
          <w:lang w:val="en"/>
        </w:rPr>
      </w:pPr>
      <w:r>
        <w:rPr>
          <w:b/>
          <w:noProof/>
          <w:lang w:eastAsia="zh-CN" w:bidi="ar-SA"/>
        </w:rPr>
        <w:drawing>
          <wp:inline distT="0" distB="0" distL="0" distR="0" wp14:anchorId="54AA5BB2" wp14:editId="704CD94E">
            <wp:extent cx="3765423" cy="3128618"/>
            <wp:effectExtent l="0" t="0" r="0" b="0"/>
            <wp:docPr id="10" name="Picture 10"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Text&#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3770870" cy="3133144"/>
                    </a:xfrm>
                    <a:prstGeom prst="rect">
                      <a:avLst/>
                    </a:prstGeom>
                  </pic:spPr>
                </pic:pic>
              </a:graphicData>
            </a:graphic>
          </wp:inline>
        </w:drawing>
      </w:r>
      <w:r w:rsidR="008C756A">
        <w:rPr>
          <w:b/>
          <w:noProof/>
          <w:lang w:eastAsia="zh-CN" w:bidi="ar-SA"/>
        </w:rPr>
        <w:drawing>
          <wp:inline distT="0" distB="0" distL="0" distR="0" wp14:anchorId="5F89A315" wp14:editId="77C956A8">
            <wp:extent cx="2600604" cy="2417749"/>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8">
                      <a:extLst>
                        <a:ext uri="{28A0092B-C50C-407E-A947-70E740481C1C}">
                          <a14:useLocalDpi xmlns:a14="http://schemas.microsoft.com/office/drawing/2010/main" val="0"/>
                        </a:ext>
                      </a:extLst>
                    </a:blip>
                    <a:stretch>
                      <a:fillRect/>
                    </a:stretch>
                  </pic:blipFill>
                  <pic:spPr>
                    <a:xfrm>
                      <a:off x="0" y="0"/>
                      <a:ext cx="2618916" cy="2434773"/>
                    </a:xfrm>
                    <a:prstGeom prst="rect">
                      <a:avLst/>
                    </a:prstGeom>
                  </pic:spPr>
                </pic:pic>
              </a:graphicData>
            </a:graphic>
          </wp:inline>
        </w:drawing>
      </w:r>
    </w:p>
    <w:p w14:paraId="3E9E4463" w14:textId="6950BF92" w:rsidR="00E149A8" w:rsidRPr="00C043B0" w:rsidRDefault="00E149A8" w:rsidP="00C043B0">
      <w:pPr>
        <w:pStyle w:val="MDPI51figurecaption"/>
        <w:ind w:left="425" w:right="425"/>
        <w:rPr>
          <w:b/>
          <w:lang w:val="en"/>
        </w:rPr>
      </w:pPr>
      <w:r w:rsidRPr="00E149A8">
        <w:rPr>
          <w:b/>
          <w:lang w:val="en"/>
        </w:rPr>
        <w:t>Figure S1. Single replicate screen of transcriptional response identifies samples of interest.</w:t>
      </w:r>
      <w:r w:rsidR="00C043B0">
        <w:rPr>
          <w:b/>
          <w:lang w:val="en"/>
        </w:rPr>
        <w:t xml:space="preserve"> </w:t>
      </w:r>
      <w:r w:rsidRPr="00C043B0">
        <w:rPr>
          <w:bCs/>
          <w:lang w:val="en"/>
        </w:rPr>
        <w:t xml:space="preserve">A) Single replicate data for RNA-Seq of WT (‘w’, top panel) and </w:t>
      </w:r>
      <w:proofErr w:type="spellStart"/>
      <w:r w:rsidRPr="00C043B0">
        <w:rPr>
          <w:bCs/>
          <w:lang w:val="en"/>
        </w:rPr>
        <w:t>Δ</w:t>
      </w:r>
      <w:r w:rsidRPr="00C043B0">
        <w:rPr>
          <w:bCs/>
          <w:i/>
          <w:lang w:val="en"/>
        </w:rPr>
        <w:t>efgA</w:t>
      </w:r>
      <w:proofErr w:type="spellEnd"/>
      <w:r w:rsidRPr="00C043B0">
        <w:rPr>
          <w:bCs/>
          <w:i/>
          <w:lang w:val="en"/>
        </w:rPr>
        <w:t xml:space="preserve"> </w:t>
      </w:r>
      <w:r w:rsidRPr="00C043B0">
        <w:rPr>
          <w:bCs/>
          <w:lang w:val="en"/>
        </w:rPr>
        <w:t xml:space="preserve">mutant (‘e’, bottom panel) of </w:t>
      </w:r>
      <w:r w:rsidRPr="00C043B0">
        <w:rPr>
          <w:bCs/>
          <w:i/>
          <w:lang w:val="en"/>
        </w:rPr>
        <w:t xml:space="preserve">M. </w:t>
      </w:r>
      <w:proofErr w:type="spellStart"/>
      <w:r w:rsidRPr="00C043B0">
        <w:rPr>
          <w:bCs/>
          <w:i/>
          <w:lang w:val="en"/>
        </w:rPr>
        <w:t>extorquens</w:t>
      </w:r>
      <w:proofErr w:type="spellEnd"/>
      <w:r w:rsidRPr="00C043B0">
        <w:rPr>
          <w:bCs/>
          <w:lang w:val="en"/>
        </w:rPr>
        <w:t xml:space="preserve"> grown in succinate minimal medium and untreated or treated with 5mM formaldehyde (‘f’) for 0 (‘pre’), 40, 180, 360, 720 min. Log2 transformed counts of the entire genome for each sample were plotted against those of WT formaldehyde-treated 720 min post treatment (w.f.720, x-axis) to establish the timescale of the transcriptomic response and identify the conditions most similar to the 720 min timepoint. B) Single replicate data for </w:t>
      </w:r>
      <w:proofErr w:type="spellStart"/>
      <w:r w:rsidRPr="00C043B0">
        <w:rPr>
          <w:bCs/>
          <w:lang w:val="en"/>
        </w:rPr>
        <w:t>RNASeq</w:t>
      </w:r>
      <w:proofErr w:type="spellEnd"/>
      <w:r w:rsidRPr="00C043B0">
        <w:rPr>
          <w:bCs/>
          <w:lang w:val="en"/>
        </w:rPr>
        <w:t xml:space="preserve"> of WT (‘w’, top panel) and </w:t>
      </w:r>
      <w:proofErr w:type="spellStart"/>
      <w:r w:rsidRPr="00C043B0">
        <w:rPr>
          <w:bCs/>
          <w:lang w:val="en"/>
        </w:rPr>
        <w:t>Δ</w:t>
      </w:r>
      <w:r w:rsidRPr="00C043B0">
        <w:rPr>
          <w:bCs/>
          <w:i/>
          <w:lang w:val="en"/>
        </w:rPr>
        <w:t>efgA</w:t>
      </w:r>
      <w:proofErr w:type="spellEnd"/>
      <w:r w:rsidRPr="00C043B0">
        <w:rPr>
          <w:bCs/>
          <w:i/>
          <w:lang w:val="en"/>
        </w:rPr>
        <w:t xml:space="preserve"> </w:t>
      </w:r>
      <w:r w:rsidRPr="00C043B0">
        <w:rPr>
          <w:bCs/>
          <w:lang w:val="en"/>
        </w:rPr>
        <w:t xml:space="preserve">mutant (‘e’, bottom panel) of </w:t>
      </w:r>
      <w:r w:rsidRPr="00C043B0">
        <w:rPr>
          <w:bCs/>
          <w:i/>
          <w:lang w:val="en"/>
        </w:rPr>
        <w:t xml:space="preserve">M. </w:t>
      </w:r>
      <w:proofErr w:type="spellStart"/>
      <w:r w:rsidRPr="00C043B0">
        <w:rPr>
          <w:bCs/>
          <w:i/>
          <w:lang w:val="en"/>
        </w:rPr>
        <w:t>extorquens</w:t>
      </w:r>
      <w:proofErr w:type="spellEnd"/>
      <w:r w:rsidRPr="00C043B0">
        <w:rPr>
          <w:bCs/>
          <w:lang w:val="en"/>
        </w:rPr>
        <w:t xml:space="preserve"> grown in succinate minimal medium and treated with 50 </w:t>
      </w:r>
      <w:proofErr w:type="spellStart"/>
      <w:r w:rsidRPr="00C043B0">
        <w:rPr>
          <w:bCs/>
          <w:lang w:val="en"/>
        </w:rPr>
        <w:t>μg</w:t>
      </w:r>
      <w:proofErr w:type="spellEnd"/>
      <w:r w:rsidRPr="00C043B0">
        <w:rPr>
          <w:bCs/>
          <w:lang w:val="en"/>
        </w:rPr>
        <w:t>/mL kanamycin (‘k’) for 40, 180, 360 min. Log2 transformed counts of the entire genome for each sample were plotted against those of WT pretreatment (</w:t>
      </w:r>
      <w:proofErr w:type="spellStart"/>
      <w:r w:rsidRPr="00C043B0">
        <w:rPr>
          <w:bCs/>
          <w:lang w:val="en"/>
        </w:rPr>
        <w:t>w.pre</w:t>
      </w:r>
      <w:proofErr w:type="spellEnd"/>
      <w:r w:rsidRPr="00C043B0">
        <w:rPr>
          <w:bCs/>
          <w:lang w:val="en"/>
        </w:rPr>
        <w:t>, x-axis). Each point represents one gene.</w:t>
      </w:r>
    </w:p>
    <w:p w14:paraId="722287F3" w14:textId="77777777" w:rsidR="00E149A8" w:rsidRPr="00C043B0" w:rsidRDefault="00E149A8" w:rsidP="00E149A8">
      <w:pPr>
        <w:pStyle w:val="MDPI51figurecaption"/>
        <w:ind w:left="425" w:right="425"/>
        <w:rPr>
          <w:bCs/>
          <w:lang w:val="en"/>
        </w:rPr>
      </w:pPr>
    </w:p>
    <w:p w14:paraId="29F59019" w14:textId="759C2BE0" w:rsidR="00E149A8" w:rsidRPr="00E149A8" w:rsidRDefault="002C5C57" w:rsidP="00CE35A0">
      <w:pPr>
        <w:pStyle w:val="MDPI51figurecaption"/>
        <w:ind w:left="425" w:right="425"/>
        <w:jc w:val="center"/>
        <w:rPr>
          <w:b/>
          <w:lang w:val="en"/>
        </w:rPr>
      </w:pPr>
      <w:r>
        <w:rPr>
          <w:b/>
          <w:noProof/>
          <w:lang w:eastAsia="zh-CN" w:bidi="ar-SA"/>
        </w:rPr>
        <w:lastRenderedPageBreak/>
        <w:drawing>
          <wp:inline distT="0" distB="0" distL="0" distR="0" wp14:anchorId="034C2531" wp14:editId="3E2EB26B">
            <wp:extent cx="4691269" cy="2849903"/>
            <wp:effectExtent l="0" t="0" r="0" b="0"/>
            <wp:docPr id="13" name="Picture 13"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hart, bubble chart&#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4701162" cy="2855913"/>
                    </a:xfrm>
                    <a:prstGeom prst="rect">
                      <a:avLst/>
                    </a:prstGeom>
                  </pic:spPr>
                </pic:pic>
              </a:graphicData>
            </a:graphic>
          </wp:inline>
        </w:drawing>
      </w:r>
    </w:p>
    <w:p w14:paraId="10DD5A54" w14:textId="42D2A40F" w:rsidR="00E149A8" w:rsidRPr="00C043B0" w:rsidRDefault="00E149A8" w:rsidP="00C043B0">
      <w:pPr>
        <w:pStyle w:val="MDPI51figurecaption"/>
        <w:ind w:left="425" w:right="425"/>
        <w:rPr>
          <w:b/>
          <w:lang w:val="en"/>
        </w:rPr>
      </w:pPr>
      <w:r w:rsidRPr="00E149A8">
        <w:rPr>
          <w:b/>
          <w:lang w:val="en"/>
        </w:rPr>
        <w:t xml:space="preserve">Figure S2. Venn diagram of genes differentially expressed in WT and </w:t>
      </w:r>
      <w:proofErr w:type="spellStart"/>
      <w:r w:rsidRPr="00E149A8">
        <w:rPr>
          <w:b/>
          <w:lang w:val="en"/>
        </w:rPr>
        <w:t>Δ</w:t>
      </w:r>
      <w:r w:rsidRPr="00E149A8">
        <w:rPr>
          <w:b/>
          <w:i/>
          <w:lang w:val="en"/>
        </w:rPr>
        <w:t>efgA</w:t>
      </w:r>
      <w:proofErr w:type="spellEnd"/>
      <w:r w:rsidRPr="00E149A8">
        <w:rPr>
          <w:b/>
          <w:i/>
          <w:lang w:val="en"/>
        </w:rPr>
        <w:t xml:space="preserve"> </w:t>
      </w:r>
      <w:r w:rsidRPr="00E149A8">
        <w:rPr>
          <w:b/>
          <w:lang w:val="en"/>
        </w:rPr>
        <w:t>mutant upon formaldehyde treatment.</w:t>
      </w:r>
      <w:r w:rsidR="00C043B0">
        <w:rPr>
          <w:b/>
          <w:lang w:val="en"/>
        </w:rPr>
        <w:t xml:space="preserve"> </w:t>
      </w:r>
      <w:r w:rsidRPr="00C043B0">
        <w:rPr>
          <w:bCs/>
          <w:lang w:val="en"/>
        </w:rPr>
        <w:t xml:space="preserve">Each diagram represents a different timepoint A) 20 min, B) 40 min, C) 180 min. Genes differentially expressed (|log2-fold change| &gt;1) were identified by dividing Log2FC of sample/Log2FC of pretreatment sample (of the respective genotype). Venn diagram for the earliest (5 min) timepoint is depicted in Figure 5. </w:t>
      </w:r>
    </w:p>
    <w:p w14:paraId="0A8F56C1" w14:textId="3FE62F4D" w:rsidR="00E149A8" w:rsidRPr="00E149A8" w:rsidRDefault="002C5C57" w:rsidP="00CE35A0">
      <w:pPr>
        <w:pStyle w:val="MDPI51figurecaption"/>
        <w:ind w:left="425" w:right="425"/>
        <w:jc w:val="center"/>
        <w:rPr>
          <w:b/>
          <w:lang w:val="en"/>
        </w:rPr>
      </w:pPr>
      <w:r>
        <w:rPr>
          <w:b/>
          <w:noProof/>
          <w:lang w:eastAsia="zh-CN" w:bidi="ar-SA"/>
        </w:rPr>
        <w:drawing>
          <wp:inline distT="0" distB="0" distL="0" distR="0" wp14:anchorId="7CB166EC" wp14:editId="1C6D950F">
            <wp:extent cx="4746928" cy="1516695"/>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0">
                      <a:extLst>
                        <a:ext uri="{28A0092B-C50C-407E-A947-70E740481C1C}">
                          <a14:useLocalDpi xmlns:a14="http://schemas.microsoft.com/office/drawing/2010/main" val="0"/>
                        </a:ext>
                      </a:extLst>
                    </a:blip>
                    <a:stretch>
                      <a:fillRect/>
                    </a:stretch>
                  </pic:blipFill>
                  <pic:spPr>
                    <a:xfrm>
                      <a:off x="0" y="0"/>
                      <a:ext cx="4778567" cy="1526804"/>
                    </a:xfrm>
                    <a:prstGeom prst="rect">
                      <a:avLst/>
                    </a:prstGeom>
                  </pic:spPr>
                </pic:pic>
              </a:graphicData>
            </a:graphic>
          </wp:inline>
        </w:drawing>
      </w:r>
    </w:p>
    <w:p w14:paraId="6DE4BB86" w14:textId="57FA71E7" w:rsidR="00E149A8" w:rsidRPr="00C043B0" w:rsidRDefault="00E149A8" w:rsidP="00C043B0">
      <w:pPr>
        <w:pStyle w:val="MDPI51figurecaption"/>
        <w:ind w:left="425" w:right="425"/>
        <w:rPr>
          <w:b/>
          <w:lang w:val="en"/>
        </w:rPr>
      </w:pPr>
      <w:r w:rsidRPr="00E149A8">
        <w:rPr>
          <w:b/>
          <w:lang w:val="en"/>
        </w:rPr>
        <w:t xml:space="preserve">Figure S3. </w:t>
      </w:r>
      <w:r w:rsidRPr="00E149A8">
        <w:rPr>
          <w:b/>
          <w:bCs/>
          <w:lang w:val="en"/>
        </w:rPr>
        <w:t>Response to kanamycin is similar in WT and</w:t>
      </w:r>
      <w:r w:rsidRPr="00E149A8">
        <w:rPr>
          <w:b/>
          <w:lang w:val="en"/>
        </w:rPr>
        <w:t xml:space="preserve"> </w:t>
      </w:r>
      <w:proofErr w:type="spellStart"/>
      <w:r w:rsidRPr="00E149A8">
        <w:rPr>
          <w:b/>
          <w:lang w:val="en"/>
        </w:rPr>
        <w:t>Δ</w:t>
      </w:r>
      <w:r w:rsidRPr="00E149A8">
        <w:rPr>
          <w:b/>
          <w:i/>
          <w:lang w:val="en"/>
        </w:rPr>
        <w:t>efgA</w:t>
      </w:r>
      <w:proofErr w:type="spellEnd"/>
      <w:r w:rsidRPr="00E149A8">
        <w:rPr>
          <w:b/>
          <w:i/>
          <w:lang w:val="en"/>
        </w:rPr>
        <w:t xml:space="preserve"> </w:t>
      </w:r>
      <w:r w:rsidRPr="00E149A8">
        <w:rPr>
          <w:b/>
          <w:lang w:val="en"/>
        </w:rPr>
        <w:t xml:space="preserve">mutant. </w:t>
      </w:r>
      <w:r w:rsidRPr="00C043B0">
        <w:rPr>
          <w:bCs/>
          <w:lang w:val="en"/>
        </w:rPr>
        <w:t xml:space="preserve">Venn diagrams of genes differentially expressed in WT and </w:t>
      </w:r>
      <w:proofErr w:type="spellStart"/>
      <w:r w:rsidRPr="00C043B0">
        <w:rPr>
          <w:bCs/>
          <w:lang w:val="en"/>
        </w:rPr>
        <w:t>Δ</w:t>
      </w:r>
      <w:r w:rsidRPr="00C043B0">
        <w:rPr>
          <w:bCs/>
          <w:i/>
          <w:lang w:val="en"/>
        </w:rPr>
        <w:t>efgA</w:t>
      </w:r>
      <w:proofErr w:type="spellEnd"/>
      <w:r w:rsidRPr="00C043B0">
        <w:rPr>
          <w:bCs/>
          <w:i/>
          <w:lang w:val="en"/>
        </w:rPr>
        <w:t xml:space="preserve"> </w:t>
      </w:r>
      <w:r w:rsidRPr="00C043B0">
        <w:rPr>
          <w:bCs/>
          <w:lang w:val="en"/>
        </w:rPr>
        <w:t xml:space="preserve">mutant upon kanamycin treatment. Each diagram represents both genotypes at a distinct timepoint: A) 180 min and B) 360 min. Genes differentially expressed (|log2-fold change| &gt;1) were identified by dividing Log2FC of sample/Log2FC of pretreatment sample (of the respective genotype). </w:t>
      </w:r>
    </w:p>
    <w:p w14:paraId="7AFB036E" w14:textId="52796864" w:rsidR="00E149A8" w:rsidRPr="00E149A8" w:rsidRDefault="002C5C57" w:rsidP="00CE35A0">
      <w:pPr>
        <w:pStyle w:val="MDPI51figurecaption"/>
        <w:ind w:left="425" w:right="425"/>
        <w:jc w:val="center"/>
        <w:rPr>
          <w:b/>
          <w:lang w:val="en"/>
        </w:rPr>
      </w:pPr>
      <w:r>
        <w:rPr>
          <w:b/>
          <w:noProof/>
          <w:lang w:eastAsia="zh-CN" w:bidi="ar-SA"/>
        </w:rPr>
        <w:drawing>
          <wp:inline distT="0" distB="0" distL="0" distR="0" wp14:anchorId="16A6A2BE" wp14:editId="77BEDAC4">
            <wp:extent cx="4341412" cy="2766375"/>
            <wp:effectExtent l="0" t="0" r="2540" b="2540"/>
            <wp:docPr id="16" name="Picture 16"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hart, pie chart&#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4352751" cy="2773601"/>
                    </a:xfrm>
                    <a:prstGeom prst="rect">
                      <a:avLst/>
                    </a:prstGeom>
                  </pic:spPr>
                </pic:pic>
              </a:graphicData>
            </a:graphic>
          </wp:inline>
        </w:drawing>
      </w:r>
    </w:p>
    <w:p w14:paraId="70C2D7EB" w14:textId="74A13B0A" w:rsidR="00E149A8" w:rsidRDefault="00E149A8" w:rsidP="00C043B0">
      <w:pPr>
        <w:pStyle w:val="MDPI51figurecaption"/>
        <w:ind w:left="425" w:right="425"/>
      </w:pPr>
      <w:r w:rsidRPr="00E149A8">
        <w:rPr>
          <w:b/>
          <w:bCs/>
        </w:rPr>
        <w:lastRenderedPageBreak/>
        <w:t xml:space="preserve">Figure S4. Gene enrichment of the kanamycin-specific response. </w:t>
      </w:r>
      <w:r w:rsidRPr="00C043B0">
        <w:t xml:space="preserve">Summary of functional group response of WT to kanamycin (360 min) was obtained using Comparative GO. All functional groups shown had &gt;2 genes and p&lt;0.05. </w:t>
      </w:r>
    </w:p>
    <w:p w14:paraId="6862E1CC" w14:textId="7819D6C4" w:rsidR="002571BD" w:rsidRDefault="002571BD" w:rsidP="00C043B0">
      <w:pPr>
        <w:pStyle w:val="MDPI51figurecaption"/>
        <w:ind w:left="425" w:right="425"/>
        <w:rPr>
          <w:b/>
        </w:rPr>
      </w:pPr>
    </w:p>
    <w:p w14:paraId="12512474" w14:textId="52339FB1" w:rsidR="002571BD" w:rsidRDefault="002571BD" w:rsidP="008C54D3">
      <w:pPr>
        <w:pStyle w:val="MDPI51figurecaption"/>
        <w:ind w:left="425" w:right="425"/>
        <w:jc w:val="center"/>
        <w:rPr>
          <w:b/>
        </w:rPr>
      </w:pPr>
      <w:r>
        <w:rPr>
          <w:b/>
          <w:noProof/>
          <w:lang w:eastAsia="zh-CN" w:bidi="ar-SA"/>
        </w:rPr>
        <w:drawing>
          <wp:inline distT="0" distB="0" distL="0" distR="0" wp14:anchorId="218239EC" wp14:editId="46421DF6">
            <wp:extent cx="2607397" cy="1837525"/>
            <wp:effectExtent l="0" t="0" r="0" b="4445"/>
            <wp:docPr id="4" name="Picture 4"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diagram&#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2622012" cy="1847825"/>
                    </a:xfrm>
                    <a:prstGeom prst="rect">
                      <a:avLst/>
                    </a:prstGeom>
                  </pic:spPr>
                </pic:pic>
              </a:graphicData>
            </a:graphic>
          </wp:inline>
        </w:drawing>
      </w:r>
    </w:p>
    <w:p w14:paraId="64B42072" w14:textId="18D8CC36" w:rsidR="002571BD" w:rsidRPr="002571BD" w:rsidRDefault="002571BD" w:rsidP="002571BD">
      <w:pPr>
        <w:pStyle w:val="MDPI51figurecaption"/>
        <w:ind w:left="425" w:right="425"/>
        <w:rPr>
          <w:b/>
        </w:rPr>
      </w:pPr>
      <w:r w:rsidRPr="002571BD">
        <w:rPr>
          <w:b/>
          <w:bCs/>
        </w:rPr>
        <w:t xml:space="preserve">Figure </w:t>
      </w:r>
      <w:r w:rsidR="0065692E">
        <w:rPr>
          <w:b/>
          <w:bCs/>
        </w:rPr>
        <w:t>S5</w:t>
      </w:r>
      <w:r w:rsidRPr="002571BD">
        <w:rPr>
          <w:b/>
          <w:bCs/>
        </w:rPr>
        <w:t xml:space="preserve">. Response to kanamycin and formaldehyde has overlapping genes. </w:t>
      </w:r>
      <w:r w:rsidRPr="008C54D3">
        <w:rPr>
          <w:bCs/>
        </w:rPr>
        <w:t>Venn diagram of genes differentially expressed in WT upon formaldehyde treatment (5 min) or kanamycin treatment</w:t>
      </w:r>
      <w:r w:rsidR="0065692E">
        <w:rPr>
          <w:bCs/>
        </w:rPr>
        <w:t xml:space="preserve"> (360 min)</w:t>
      </w:r>
      <w:r w:rsidRPr="008C54D3">
        <w:rPr>
          <w:bCs/>
        </w:rPr>
        <w:t>. Genes differentially expressed (|log2-fold change| &gt;1) were identified by dividing Log2FC of sample/Log2FC of pretreatment sample (of the respective genotype). The 40 min kanamycin timepoint was excluded as expression profiles had not yet changed significantly.</w:t>
      </w:r>
    </w:p>
    <w:p w14:paraId="6A54C4C0" w14:textId="77777777" w:rsidR="002571BD" w:rsidRPr="00C043B0" w:rsidRDefault="002571BD" w:rsidP="00C043B0">
      <w:pPr>
        <w:pStyle w:val="MDPI51figurecaption"/>
        <w:ind w:left="425" w:right="425"/>
        <w:rPr>
          <w:b/>
        </w:rPr>
      </w:pPr>
    </w:p>
    <w:p w14:paraId="2A75829D" w14:textId="2C1C2F7F" w:rsidR="00E149A8" w:rsidRPr="00E149A8" w:rsidRDefault="002C5C57" w:rsidP="00CE35A0">
      <w:pPr>
        <w:pStyle w:val="MDPI51figurecaption"/>
        <w:ind w:left="425" w:right="425"/>
        <w:jc w:val="center"/>
        <w:rPr>
          <w:b/>
          <w:lang w:val="en"/>
        </w:rPr>
      </w:pPr>
      <w:r>
        <w:rPr>
          <w:b/>
          <w:noProof/>
          <w:lang w:eastAsia="zh-CN" w:bidi="ar-SA"/>
        </w:rPr>
        <w:drawing>
          <wp:inline distT="0" distB="0" distL="0" distR="0" wp14:anchorId="5056EAC9" wp14:editId="37A0304F">
            <wp:extent cx="4230094" cy="2324005"/>
            <wp:effectExtent l="0" t="0" r="0" b="635"/>
            <wp:docPr id="18" name="Picture 18"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Chart, pie chart&#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4236899" cy="2327744"/>
                    </a:xfrm>
                    <a:prstGeom prst="rect">
                      <a:avLst/>
                    </a:prstGeom>
                  </pic:spPr>
                </pic:pic>
              </a:graphicData>
            </a:graphic>
          </wp:inline>
        </w:drawing>
      </w:r>
    </w:p>
    <w:p w14:paraId="6E4D89CF" w14:textId="24FEBACD" w:rsidR="00E149A8" w:rsidRPr="00C043B0" w:rsidRDefault="00E149A8" w:rsidP="00C043B0">
      <w:pPr>
        <w:pStyle w:val="MDPI51figurecaption"/>
        <w:ind w:left="425" w:right="425"/>
        <w:rPr>
          <w:b/>
          <w:bCs/>
        </w:rPr>
      </w:pPr>
      <w:r w:rsidRPr="00E149A8">
        <w:rPr>
          <w:b/>
          <w:bCs/>
        </w:rPr>
        <w:t>Figure S</w:t>
      </w:r>
      <w:r w:rsidR="00833382">
        <w:rPr>
          <w:b/>
          <w:bCs/>
        </w:rPr>
        <w:t>6</w:t>
      </w:r>
      <w:r w:rsidRPr="00E149A8">
        <w:rPr>
          <w:b/>
          <w:bCs/>
        </w:rPr>
        <w:t xml:space="preserve">. Enrichment of downregulated genes in both the kanamycin and formaldehyde responses. </w:t>
      </w:r>
      <w:r w:rsidRPr="00C043B0">
        <w:t xml:space="preserve">The overlap of gene functional groups in the downregulated responses of WT to kanamycin (360 min) and formaldehyde (5 min) was obtained using Comparative GO. Gene function is categorized by A) Biological Process B) Molecular Function. All functional groups shown had &gt;2 genes and p&lt;0.05. </w:t>
      </w:r>
    </w:p>
    <w:p w14:paraId="6A08CB80" w14:textId="4A093E01" w:rsidR="00893594" w:rsidRPr="00C043B0" w:rsidRDefault="002571BD" w:rsidP="00893594">
      <w:pPr>
        <w:pStyle w:val="MDPI51figurecaption"/>
        <w:ind w:left="425" w:right="425"/>
        <w:rPr>
          <w:b/>
          <w:lang w:val="en"/>
        </w:rPr>
      </w:pPr>
      <w:r>
        <w:rPr>
          <w:b/>
          <w:noProof/>
          <w:lang w:eastAsia="zh-CN" w:bidi="ar-SA"/>
        </w:rPr>
        <w:lastRenderedPageBreak/>
        <w:drawing>
          <wp:inline distT="0" distB="0" distL="0" distR="0" wp14:anchorId="4253C1F8" wp14:editId="4FCE30DA">
            <wp:extent cx="6527800" cy="7683500"/>
            <wp:effectExtent l="0" t="0" r="0" b="0"/>
            <wp:docPr id="3" name="Picture 3"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imeline&#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6527800" cy="7683500"/>
                    </a:xfrm>
                    <a:prstGeom prst="rect">
                      <a:avLst/>
                    </a:prstGeom>
                  </pic:spPr>
                </pic:pic>
              </a:graphicData>
            </a:graphic>
          </wp:inline>
        </w:drawing>
      </w:r>
      <w:r w:rsidRPr="00E149A8">
        <w:rPr>
          <w:b/>
          <w:lang w:val="en"/>
        </w:rPr>
        <w:t xml:space="preserve">Figure </w:t>
      </w:r>
      <w:r w:rsidR="00833382">
        <w:rPr>
          <w:b/>
          <w:lang w:val="en"/>
        </w:rPr>
        <w:t>S7</w:t>
      </w:r>
      <w:r w:rsidRPr="00E149A8">
        <w:rPr>
          <w:b/>
          <w:lang w:val="en"/>
        </w:rPr>
        <w:t xml:space="preserve">. Temporal expression of genes of methanol utilization pathways. </w:t>
      </w:r>
      <w:r w:rsidRPr="00C043B0">
        <w:rPr>
          <w:bCs/>
          <w:lang w:val="en"/>
        </w:rPr>
        <w:t xml:space="preserve">Temporal </w:t>
      </w:r>
      <w:r w:rsidR="00893594">
        <w:rPr>
          <w:bCs/>
          <w:lang w:val="en"/>
        </w:rPr>
        <w:t xml:space="preserve">heatmap </w:t>
      </w:r>
      <w:r w:rsidRPr="00C043B0">
        <w:rPr>
          <w:bCs/>
          <w:lang w:val="en"/>
        </w:rPr>
        <w:t xml:space="preserve">of the Log2FC of all genes involved in methanol utilization pathways in WT (left) and </w:t>
      </w:r>
      <w:proofErr w:type="spellStart"/>
      <w:r w:rsidRPr="00C043B0">
        <w:rPr>
          <w:bCs/>
          <w:lang w:val="en"/>
        </w:rPr>
        <w:t>Δ</w:t>
      </w:r>
      <w:r w:rsidRPr="00C043B0">
        <w:rPr>
          <w:bCs/>
          <w:i/>
          <w:lang w:val="en"/>
        </w:rPr>
        <w:t>efgA</w:t>
      </w:r>
      <w:proofErr w:type="spellEnd"/>
      <w:r w:rsidRPr="00C043B0">
        <w:rPr>
          <w:bCs/>
          <w:i/>
          <w:lang w:val="en"/>
        </w:rPr>
        <w:t xml:space="preserve"> </w:t>
      </w:r>
      <w:r w:rsidRPr="00C043B0">
        <w:rPr>
          <w:bCs/>
          <w:lang w:val="en"/>
        </w:rPr>
        <w:t xml:space="preserve">mutant (right). Each </w:t>
      </w:r>
      <w:r w:rsidR="00CC6E67">
        <w:rPr>
          <w:bCs/>
          <w:lang w:val="en"/>
        </w:rPr>
        <w:t xml:space="preserve">horizontal pair of </w:t>
      </w:r>
      <w:proofErr w:type="spellStart"/>
      <w:r w:rsidR="00CC6E67">
        <w:rPr>
          <w:bCs/>
          <w:lang w:val="en"/>
        </w:rPr>
        <w:t>heatmaps</w:t>
      </w:r>
      <w:proofErr w:type="spellEnd"/>
      <w:r w:rsidRPr="00C043B0">
        <w:rPr>
          <w:bCs/>
          <w:lang w:val="en"/>
        </w:rPr>
        <w:t xml:space="preserve"> represents genes involved in 1) methanol oxidation, 2) formaldehyde oxidation, 3) </w:t>
      </w:r>
      <w:proofErr w:type="spellStart"/>
      <w:r w:rsidRPr="00C043B0">
        <w:rPr>
          <w:bCs/>
          <w:lang w:val="en"/>
        </w:rPr>
        <w:t>formate</w:t>
      </w:r>
      <w:proofErr w:type="spellEnd"/>
      <w:r w:rsidRPr="00C043B0">
        <w:rPr>
          <w:bCs/>
          <w:lang w:val="en"/>
        </w:rPr>
        <w:t xml:space="preserve"> assimilation, 4) </w:t>
      </w:r>
      <w:proofErr w:type="spellStart"/>
      <w:r w:rsidRPr="00C043B0">
        <w:rPr>
          <w:bCs/>
          <w:lang w:val="en"/>
        </w:rPr>
        <w:t>formate</w:t>
      </w:r>
      <w:proofErr w:type="spellEnd"/>
      <w:r w:rsidRPr="00C043B0">
        <w:rPr>
          <w:bCs/>
          <w:lang w:val="en"/>
        </w:rPr>
        <w:t xml:space="preserve"> oxidation, and 5) serine cycle.</w:t>
      </w:r>
      <w:r w:rsidR="00893594" w:rsidRPr="00893594">
        <w:rPr>
          <w:bCs/>
          <w:lang w:val="en"/>
        </w:rPr>
        <w:t xml:space="preserve"> </w:t>
      </w:r>
      <w:r w:rsidR="00CC6E67">
        <w:rPr>
          <w:bCs/>
          <w:lang w:val="en"/>
        </w:rPr>
        <w:t xml:space="preserve">Within each individual heat maps, each column represents a different gene and each row represents a particular time; organization is the same for both genotypes. </w:t>
      </w:r>
      <w:r w:rsidR="00893594">
        <w:rPr>
          <w:bCs/>
          <w:lang w:val="en"/>
        </w:rPr>
        <w:t>Genes includes those</w:t>
      </w:r>
      <w:r w:rsidR="00893594" w:rsidRPr="00C043B0">
        <w:rPr>
          <w:bCs/>
          <w:lang w:val="en"/>
        </w:rPr>
        <w:t xml:space="preserve"> involved in cofactor synthesis (PQQ</w:t>
      </w:r>
      <w:r w:rsidR="00893594">
        <w:rPr>
          <w:bCs/>
          <w:lang w:val="en"/>
        </w:rPr>
        <w:t xml:space="preserve">, </w:t>
      </w:r>
      <w:r w:rsidR="00893594" w:rsidRPr="00C043B0">
        <w:rPr>
          <w:bCs/>
          <w:lang w:val="en"/>
        </w:rPr>
        <w:t>dH</w:t>
      </w:r>
      <w:r w:rsidR="00893594" w:rsidRPr="00C043B0">
        <w:rPr>
          <w:bCs/>
          <w:vertAlign w:val="subscript"/>
          <w:lang w:val="en"/>
        </w:rPr>
        <w:t>4</w:t>
      </w:r>
      <w:r w:rsidR="00893594" w:rsidRPr="00C043B0">
        <w:rPr>
          <w:bCs/>
          <w:lang w:val="en"/>
        </w:rPr>
        <w:t>MPT</w:t>
      </w:r>
      <w:r w:rsidR="00893594">
        <w:rPr>
          <w:bCs/>
          <w:lang w:val="en"/>
        </w:rPr>
        <w:t>,</w:t>
      </w:r>
      <w:r w:rsidR="00893594" w:rsidRPr="00C043B0">
        <w:rPr>
          <w:bCs/>
          <w:lang w:val="en"/>
        </w:rPr>
        <w:t xml:space="preserve"> T</w:t>
      </w:r>
      <w:r w:rsidR="00893594" w:rsidRPr="00C043B0">
        <w:rPr>
          <w:bCs/>
          <w:vertAlign w:val="subscript"/>
          <w:lang w:val="en"/>
        </w:rPr>
        <w:t>4</w:t>
      </w:r>
      <w:r w:rsidR="00893594" w:rsidRPr="00C043B0">
        <w:rPr>
          <w:bCs/>
          <w:lang w:val="en"/>
        </w:rPr>
        <w:t xml:space="preserve">H) </w:t>
      </w:r>
      <w:r w:rsidR="00893594">
        <w:rPr>
          <w:bCs/>
          <w:lang w:val="en"/>
        </w:rPr>
        <w:t>and</w:t>
      </w:r>
      <w:r w:rsidR="00893594" w:rsidRPr="00C043B0">
        <w:rPr>
          <w:bCs/>
          <w:lang w:val="en"/>
        </w:rPr>
        <w:t xml:space="preserve"> </w:t>
      </w:r>
      <w:r w:rsidR="00893594">
        <w:rPr>
          <w:bCs/>
          <w:lang w:val="en"/>
        </w:rPr>
        <w:t xml:space="preserve">all </w:t>
      </w:r>
      <w:proofErr w:type="spellStart"/>
      <w:r w:rsidR="00893594" w:rsidRPr="00C043B0">
        <w:rPr>
          <w:bCs/>
          <w:lang w:val="en"/>
        </w:rPr>
        <w:t>formate</w:t>
      </w:r>
      <w:proofErr w:type="spellEnd"/>
      <w:r w:rsidR="00893594" w:rsidRPr="00C043B0">
        <w:rPr>
          <w:bCs/>
          <w:lang w:val="en"/>
        </w:rPr>
        <w:t xml:space="preserve"> dehydrogenases (FDH1, FDH2, FDH3, FDH4)</w:t>
      </w:r>
      <w:r w:rsidR="00893594">
        <w:rPr>
          <w:bCs/>
          <w:lang w:val="en"/>
        </w:rPr>
        <w:t>; individual gene</w:t>
      </w:r>
      <w:r w:rsidR="00CC6E67">
        <w:rPr>
          <w:bCs/>
          <w:lang w:val="en"/>
        </w:rPr>
        <w:t xml:space="preserve"> locus tags and expression values</w:t>
      </w:r>
      <w:r w:rsidR="00893594">
        <w:rPr>
          <w:bCs/>
          <w:lang w:val="en"/>
        </w:rPr>
        <w:t xml:space="preserve"> are </w:t>
      </w:r>
      <w:r w:rsidR="00CC6E67">
        <w:rPr>
          <w:bCs/>
          <w:lang w:val="en"/>
        </w:rPr>
        <w:t xml:space="preserve">provided </w:t>
      </w:r>
      <w:r w:rsidR="00893594">
        <w:rPr>
          <w:bCs/>
          <w:lang w:val="en"/>
        </w:rPr>
        <w:t xml:space="preserve">in </w:t>
      </w:r>
      <w:r w:rsidR="00CC6E67">
        <w:rPr>
          <w:bCs/>
          <w:lang w:val="en"/>
        </w:rPr>
        <w:t xml:space="preserve">the </w:t>
      </w:r>
      <w:r w:rsidR="00893594">
        <w:rPr>
          <w:bCs/>
          <w:lang w:val="en"/>
        </w:rPr>
        <w:t>supplemental data table</w:t>
      </w:r>
      <w:r w:rsidR="00893594" w:rsidRPr="00C043B0">
        <w:rPr>
          <w:bCs/>
          <w:lang w:val="en"/>
        </w:rPr>
        <w:t>.</w:t>
      </w:r>
      <w:r w:rsidR="00893594">
        <w:rPr>
          <w:b/>
          <w:lang w:val="en"/>
        </w:rPr>
        <w:t xml:space="preserve"> </w:t>
      </w:r>
      <w:r w:rsidR="00893594" w:rsidRPr="00C043B0">
        <w:rPr>
          <w:bCs/>
          <w:lang w:val="en"/>
        </w:rPr>
        <w:t>The up or down directionality of expression change is indicated by the red or blue color gradient, respectively.</w:t>
      </w:r>
    </w:p>
    <w:p w14:paraId="163C1C4E" w14:textId="77777777" w:rsidR="002571BD" w:rsidRPr="00E149A8" w:rsidRDefault="002571BD" w:rsidP="002571BD">
      <w:pPr>
        <w:pStyle w:val="MDPI51figurecaption"/>
        <w:ind w:left="425" w:right="425"/>
        <w:jc w:val="center"/>
        <w:rPr>
          <w:b/>
          <w:lang w:val="en"/>
        </w:rPr>
      </w:pPr>
      <w:r>
        <w:rPr>
          <w:b/>
          <w:lang w:val="en"/>
        </w:rPr>
        <w:lastRenderedPageBreak/>
        <w:t xml:space="preserve">      </w:t>
      </w:r>
      <w:r>
        <w:rPr>
          <w:b/>
          <w:noProof/>
          <w:lang w:eastAsia="zh-CN" w:bidi="ar-SA"/>
        </w:rPr>
        <w:drawing>
          <wp:inline distT="0" distB="0" distL="0" distR="0" wp14:anchorId="66C374C8" wp14:editId="736401CE">
            <wp:extent cx="4300276" cy="2609502"/>
            <wp:effectExtent l="0" t="0" r="5080" b="0"/>
            <wp:docPr id="20" name="Picture 20" descr="Chart, bar chart, funne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Chart, bar chart, funnel char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4309377" cy="2615025"/>
                    </a:xfrm>
                    <a:prstGeom prst="rect">
                      <a:avLst/>
                    </a:prstGeom>
                  </pic:spPr>
                </pic:pic>
              </a:graphicData>
            </a:graphic>
          </wp:inline>
        </w:drawing>
      </w:r>
      <w:r>
        <w:rPr>
          <w:b/>
          <w:noProof/>
          <w:lang w:eastAsia="zh-CN" w:bidi="ar-SA"/>
        </w:rPr>
        <w:drawing>
          <wp:inline distT="0" distB="0" distL="0" distR="0" wp14:anchorId="5EA64447" wp14:editId="2B964F28">
            <wp:extent cx="4635611" cy="3939782"/>
            <wp:effectExtent l="0" t="0" r="0" b="0"/>
            <wp:docPr id="21" name="Picture 2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Chart&#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4670023" cy="3969029"/>
                    </a:xfrm>
                    <a:prstGeom prst="rect">
                      <a:avLst/>
                    </a:prstGeom>
                  </pic:spPr>
                </pic:pic>
              </a:graphicData>
            </a:graphic>
          </wp:inline>
        </w:drawing>
      </w:r>
    </w:p>
    <w:p w14:paraId="1B168DA4" w14:textId="158B2D7A" w:rsidR="002571BD" w:rsidRPr="00C043B0" w:rsidRDefault="002571BD" w:rsidP="002571BD">
      <w:pPr>
        <w:pStyle w:val="MDPI51figurecaption"/>
        <w:ind w:left="425" w:right="425"/>
        <w:rPr>
          <w:b/>
          <w:lang w:val="en"/>
        </w:rPr>
      </w:pPr>
      <w:r w:rsidRPr="00E149A8">
        <w:rPr>
          <w:b/>
          <w:lang w:val="en"/>
        </w:rPr>
        <w:t xml:space="preserve">Figure </w:t>
      </w:r>
      <w:r w:rsidR="00833382">
        <w:rPr>
          <w:b/>
          <w:lang w:val="en"/>
        </w:rPr>
        <w:t>S8</w:t>
      </w:r>
      <w:r w:rsidRPr="00E149A8">
        <w:rPr>
          <w:b/>
          <w:lang w:val="en"/>
        </w:rPr>
        <w:t xml:space="preserve">. Gene ontology of the early formaldehyde response of WT. </w:t>
      </w:r>
      <w:r w:rsidRPr="00C043B0">
        <w:rPr>
          <w:bCs/>
          <w:lang w:val="en"/>
        </w:rPr>
        <w:t xml:space="preserve">Summary of functional group response of WT at 5min (fastest response) and 20min (most intense response) was obtained using DAVID 6.7. Enrichment scores for each functional group is plotted for A) upregulated and B) downregulated genes; the number of genes in each functional group is indicated by ‘n’. All functional groups shown had p&lt;0.05. </w:t>
      </w:r>
    </w:p>
    <w:p w14:paraId="1FD9C657" w14:textId="42214E5E" w:rsidR="00E149A8" w:rsidRPr="00C043B0" w:rsidRDefault="00723944" w:rsidP="00371391">
      <w:pPr>
        <w:pStyle w:val="MDPI51figurecaption"/>
        <w:ind w:left="425" w:right="425"/>
        <w:jc w:val="center"/>
        <w:rPr>
          <w:b/>
          <w:lang w:val="en"/>
        </w:rPr>
      </w:pPr>
      <w:r>
        <w:rPr>
          <w:b/>
          <w:lang w:val="en"/>
        </w:rPr>
        <w:t xml:space="preserve">      </w:t>
      </w:r>
      <w:r w:rsidR="00E149A8" w:rsidRPr="00C043B0">
        <w:rPr>
          <w:bCs/>
          <w:lang w:val="en"/>
        </w:rPr>
        <w:t xml:space="preserve"> </w:t>
      </w:r>
    </w:p>
    <w:p w14:paraId="31B6C67E" w14:textId="77777777" w:rsidR="00E149A8" w:rsidRPr="00E149A8" w:rsidRDefault="00E149A8" w:rsidP="00E149A8">
      <w:pPr>
        <w:pStyle w:val="MDPI51figurecaption"/>
        <w:ind w:left="425" w:right="425"/>
        <w:rPr>
          <w:b/>
          <w:lang w:val="en"/>
        </w:rPr>
      </w:pPr>
    </w:p>
    <w:p w14:paraId="77DB0885" w14:textId="5185411A" w:rsidR="00E149A8" w:rsidRPr="00E149A8" w:rsidRDefault="00650122" w:rsidP="00CE35A0">
      <w:pPr>
        <w:pStyle w:val="MDPI51figurecaption"/>
        <w:ind w:left="425" w:right="425"/>
        <w:jc w:val="center"/>
        <w:rPr>
          <w:b/>
          <w:lang w:val="en"/>
        </w:rPr>
      </w:pPr>
      <w:r>
        <w:rPr>
          <w:b/>
          <w:noProof/>
          <w:lang w:eastAsia="zh-CN" w:bidi="ar-SA"/>
        </w:rPr>
        <w:lastRenderedPageBreak/>
        <w:drawing>
          <wp:inline distT="0" distB="0" distL="0" distR="0" wp14:anchorId="001F594B" wp14:editId="7CAFA7EC">
            <wp:extent cx="4809159" cy="1775979"/>
            <wp:effectExtent l="0" t="0" r="4445" b="2540"/>
            <wp:docPr id="28" name="Picture 2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Chart, line chart&#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4832673" cy="1784663"/>
                    </a:xfrm>
                    <a:prstGeom prst="rect">
                      <a:avLst/>
                    </a:prstGeom>
                  </pic:spPr>
                </pic:pic>
              </a:graphicData>
            </a:graphic>
          </wp:inline>
        </w:drawing>
      </w:r>
    </w:p>
    <w:p w14:paraId="1EBFFB59" w14:textId="7C7345A9" w:rsidR="00E149A8" w:rsidRPr="00C043B0" w:rsidRDefault="00E149A8" w:rsidP="00C043B0">
      <w:pPr>
        <w:pStyle w:val="MDPI51figurecaption"/>
        <w:ind w:left="425" w:right="425"/>
        <w:rPr>
          <w:b/>
          <w:lang w:val="en"/>
        </w:rPr>
      </w:pPr>
      <w:r w:rsidRPr="00E149A8">
        <w:rPr>
          <w:b/>
          <w:lang w:val="en"/>
        </w:rPr>
        <w:t>Figure S</w:t>
      </w:r>
      <w:r w:rsidR="00833382">
        <w:rPr>
          <w:b/>
          <w:lang w:val="en"/>
        </w:rPr>
        <w:t>9</w:t>
      </w:r>
      <w:r w:rsidRPr="00E149A8">
        <w:rPr>
          <w:b/>
          <w:lang w:val="en"/>
        </w:rPr>
        <w:t>.</w:t>
      </w:r>
      <w:r w:rsidRPr="00E149A8">
        <w:rPr>
          <w:b/>
          <w:i/>
          <w:lang w:val="en"/>
        </w:rPr>
        <w:t xml:space="preserve"> </w:t>
      </w:r>
      <w:proofErr w:type="spellStart"/>
      <w:r w:rsidRPr="00E149A8">
        <w:rPr>
          <w:b/>
          <w:i/>
          <w:lang w:val="en"/>
        </w:rPr>
        <w:t>efgA</w:t>
      </w:r>
      <w:proofErr w:type="spellEnd"/>
      <w:r w:rsidRPr="00E149A8">
        <w:rPr>
          <w:b/>
          <w:i/>
          <w:lang w:val="en"/>
        </w:rPr>
        <w:t xml:space="preserve"> </w:t>
      </w:r>
      <w:r w:rsidRPr="00E149A8">
        <w:rPr>
          <w:b/>
          <w:lang w:val="en"/>
        </w:rPr>
        <w:t xml:space="preserve">and </w:t>
      </w:r>
      <w:proofErr w:type="spellStart"/>
      <w:r w:rsidRPr="00E149A8">
        <w:rPr>
          <w:b/>
          <w:i/>
          <w:lang w:val="en"/>
        </w:rPr>
        <w:t>efgB</w:t>
      </w:r>
      <w:proofErr w:type="spellEnd"/>
      <w:r w:rsidRPr="00E149A8">
        <w:rPr>
          <w:b/>
          <w:i/>
          <w:lang w:val="en"/>
        </w:rPr>
        <w:t xml:space="preserve"> </w:t>
      </w:r>
      <w:r w:rsidRPr="00E149A8">
        <w:rPr>
          <w:b/>
          <w:lang w:val="en"/>
        </w:rPr>
        <w:t xml:space="preserve">are upregulated in response to formaldehyde. </w:t>
      </w:r>
      <w:r w:rsidRPr="00C043B0">
        <w:rPr>
          <w:bCs/>
          <w:lang w:val="en"/>
        </w:rPr>
        <w:t xml:space="preserve">Temporal expression of A) </w:t>
      </w:r>
      <w:proofErr w:type="spellStart"/>
      <w:r w:rsidRPr="00C043B0">
        <w:rPr>
          <w:bCs/>
          <w:i/>
          <w:lang w:val="en"/>
        </w:rPr>
        <w:t>efgA</w:t>
      </w:r>
      <w:proofErr w:type="spellEnd"/>
      <w:r w:rsidRPr="00C043B0">
        <w:rPr>
          <w:bCs/>
          <w:i/>
          <w:lang w:val="en"/>
        </w:rPr>
        <w:t xml:space="preserve"> </w:t>
      </w:r>
      <w:r w:rsidRPr="00C043B0">
        <w:rPr>
          <w:bCs/>
          <w:lang w:val="en"/>
        </w:rPr>
        <w:t xml:space="preserve">in WT and B) </w:t>
      </w:r>
      <w:proofErr w:type="spellStart"/>
      <w:r w:rsidRPr="00C043B0">
        <w:rPr>
          <w:bCs/>
          <w:i/>
          <w:lang w:val="en"/>
        </w:rPr>
        <w:t>efgB</w:t>
      </w:r>
      <w:proofErr w:type="spellEnd"/>
      <w:r w:rsidRPr="00C043B0">
        <w:rPr>
          <w:bCs/>
          <w:i/>
          <w:lang w:val="en"/>
        </w:rPr>
        <w:t xml:space="preserve"> </w:t>
      </w:r>
      <w:r w:rsidRPr="00C043B0">
        <w:rPr>
          <w:bCs/>
          <w:lang w:val="en"/>
        </w:rPr>
        <w:t xml:space="preserve">in WT (black) and the </w:t>
      </w:r>
      <w:proofErr w:type="spellStart"/>
      <w:r w:rsidRPr="00C043B0">
        <w:rPr>
          <w:bCs/>
          <w:i/>
          <w:lang w:val="en"/>
        </w:rPr>
        <w:t>efgA</w:t>
      </w:r>
      <w:proofErr w:type="spellEnd"/>
      <w:r w:rsidRPr="00C043B0">
        <w:rPr>
          <w:bCs/>
          <w:i/>
          <w:lang w:val="en"/>
        </w:rPr>
        <w:t xml:space="preserve"> </w:t>
      </w:r>
      <w:r w:rsidRPr="00C043B0">
        <w:rPr>
          <w:bCs/>
          <w:lang w:val="en"/>
        </w:rPr>
        <w:t xml:space="preserve">mutant (blue) in response to formaldehyde treatment. Log2FC of each gene is plotted. </w:t>
      </w:r>
    </w:p>
    <w:p w14:paraId="461A471E" w14:textId="63542790" w:rsidR="00E149A8" w:rsidRPr="00E149A8" w:rsidRDefault="00810146" w:rsidP="00CE35A0">
      <w:pPr>
        <w:pStyle w:val="MDPI51figurecaption"/>
        <w:ind w:left="425" w:right="425"/>
        <w:jc w:val="center"/>
        <w:rPr>
          <w:b/>
          <w:lang w:val="en"/>
        </w:rPr>
      </w:pPr>
      <w:r>
        <w:rPr>
          <w:b/>
          <w:noProof/>
          <w:lang w:eastAsia="zh-CN" w:bidi="ar-SA"/>
        </w:rPr>
        <w:drawing>
          <wp:inline distT="0" distB="0" distL="0" distR="0" wp14:anchorId="2E7EB242" wp14:editId="7D07B7F9">
            <wp:extent cx="2798859" cy="1939626"/>
            <wp:effectExtent l="0" t="0" r="0" b="3810"/>
            <wp:docPr id="24" name="Picture 24" descr="Chart, diagram,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Chart, diagram, scatter chart&#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2826195" cy="1958570"/>
                    </a:xfrm>
                    <a:prstGeom prst="rect">
                      <a:avLst/>
                    </a:prstGeom>
                  </pic:spPr>
                </pic:pic>
              </a:graphicData>
            </a:graphic>
          </wp:inline>
        </w:drawing>
      </w:r>
    </w:p>
    <w:p w14:paraId="7927362B" w14:textId="6D44517D" w:rsidR="00E149A8" w:rsidRPr="00C043B0" w:rsidRDefault="00E149A8" w:rsidP="00E149A8">
      <w:pPr>
        <w:pStyle w:val="MDPI51figurecaption"/>
        <w:ind w:left="425" w:right="425"/>
        <w:jc w:val="both"/>
        <w:rPr>
          <w:bCs/>
        </w:rPr>
      </w:pPr>
      <w:r w:rsidRPr="00E149A8">
        <w:rPr>
          <w:b/>
          <w:lang w:val="en"/>
        </w:rPr>
        <w:t>Figure S</w:t>
      </w:r>
      <w:r w:rsidR="00833382">
        <w:rPr>
          <w:b/>
          <w:lang w:val="en"/>
        </w:rPr>
        <w:t>10</w:t>
      </w:r>
      <w:r w:rsidRPr="00E149A8">
        <w:rPr>
          <w:b/>
          <w:lang w:val="en"/>
        </w:rPr>
        <w:t xml:space="preserve">. Comparison of early formaldehyde response in different growth conditions. </w:t>
      </w:r>
      <w:r w:rsidRPr="00C043B0">
        <w:rPr>
          <w:bCs/>
          <w:lang w:val="en"/>
        </w:rPr>
        <w:t xml:space="preserve">Expression changes (Log2FC) of all genes at the earliest timepoint (5 min) here, where succinate-grown cells were treated with 5 mM formaldehyde in early exponential phase of growth are plotted against expression changes of the same genes from a previous experiment </w:t>
      </w:r>
      <w:hyperlink r:id="rId19" w:history="1">
        <w:r w:rsidRPr="00C043B0">
          <w:rPr>
            <w:rStyle w:val="Hyperlink"/>
            <w:bCs/>
          </w:rPr>
          <w:t>[50]</w:t>
        </w:r>
      </w:hyperlink>
      <w:r w:rsidRPr="00C043B0">
        <w:rPr>
          <w:bCs/>
          <w:lang w:val="en"/>
        </w:rPr>
        <w:t xml:space="preserve"> where methanol-grown cells were treated with 4 mM formaldehyde in stationary phase of growth and assessed at 4 hr. </w:t>
      </w:r>
    </w:p>
    <w:p w14:paraId="7055FB84" w14:textId="2BF36574" w:rsidR="00E149A8" w:rsidRPr="00E149A8" w:rsidRDefault="00810146" w:rsidP="00CE35A0">
      <w:pPr>
        <w:pStyle w:val="MDPI51figurecaption"/>
        <w:ind w:left="425" w:right="425"/>
        <w:jc w:val="center"/>
        <w:rPr>
          <w:b/>
          <w:lang w:val="en"/>
        </w:rPr>
      </w:pPr>
      <w:r>
        <w:rPr>
          <w:b/>
          <w:noProof/>
          <w:lang w:eastAsia="zh-CN" w:bidi="ar-SA"/>
        </w:rPr>
        <w:drawing>
          <wp:inline distT="0" distB="0" distL="0" distR="0" wp14:anchorId="3387E3EA" wp14:editId="5967428B">
            <wp:extent cx="3099629" cy="2270080"/>
            <wp:effectExtent l="0" t="0" r="0" b="3810"/>
            <wp:docPr id="25" name="Picture 25"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 scatter chart&#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3108702" cy="2276725"/>
                    </a:xfrm>
                    <a:prstGeom prst="rect">
                      <a:avLst/>
                    </a:prstGeom>
                  </pic:spPr>
                </pic:pic>
              </a:graphicData>
            </a:graphic>
          </wp:inline>
        </w:drawing>
      </w:r>
    </w:p>
    <w:p w14:paraId="43F8A83F" w14:textId="70F7143B" w:rsidR="00E149A8" w:rsidRPr="00C043B0" w:rsidRDefault="00E149A8" w:rsidP="00C043B0">
      <w:pPr>
        <w:pStyle w:val="MDPI51figurecaption"/>
        <w:ind w:left="425" w:right="425"/>
        <w:rPr>
          <w:b/>
          <w:lang w:val="en"/>
        </w:rPr>
      </w:pPr>
      <w:r w:rsidRPr="00E149A8">
        <w:rPr>
          <w:b/>
          <w:lang w:val="en"/>
        </w:rPr>
        <w:t>Figure S</w:t>
      </w:r>
      <w:r w:rsidR="00833382">
        <w:rPr>
          <w:b/>
          <w:lang w:val="en"/>
        </w:rPr>
        <w:t>11</w:t>
      </w:r>
      <w:r w:rsidRPr="00E149A8">
        <w:rPr>
          <w:b/>
          <w:lang w:val="en"/>
        </w:rPr>
        <w:t xml:space="preserve">. Response of genes involved in formaldehyde tolerance heterogeneity. </w:t>
      </w:r>
      <w:r w:rsidRPr="00C043B0">
        <w:rPr>
          <w:bCs/>
          <w:lang w:val="en"/>
        </w:rPr>
        <w:t xml:space="preserve">Expression changes (Log2FC) of genes predicted to be differentially expressed in formaldehyde tolerant subpopulations were examined in untreated (x-axis) and formaldehyde-treated (y-axis) samples. </w:t>
      </w:r>
    </w:p>
    <w:p w14:paraId="295E715D" w14:textId="08FBEB60" w:rsidR="00E149A8" w:rsidRPr="00E149A8" w:rsidRDefault="002571BD" w:rsidP="00CE35A0">
      <w:pPr>
        <w:pStyle w:val="MDPI51figurecaption"/>
        <w:ind w:left="425" w:right="425"/>
        <w:jc w:val="center"/>
        <w:rPr>
          <w:b/>
          <w:lang w:val="en"/>
        </w:rPr>
      </w:pPr>
      <w:r>
        <w:rPr>
          <w:b/>
          <w:noProof/>
          <w:lang w:eastAsia="zh-CN" w:bidi="ar-SA"/>
        </w:rPr>
        <w:lastRenderedPageBreak/>
        <w:drawing>
          <wp:inline distT="0" distB="0" distL="0" distR="0" wp14:anchorId="1D2EC2BF" wp14:editId="6F883235">
            <wp:extent cx="4073658" cy="2670976"/>
            <wp:effectExtent l="0" t="0" r="3175" b="0"/>
            <wp:docPr id="1" name="Picture 1"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bar chart&#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4084374" cy="2678002"/>
                    </a:xfrm>
                    <a:prstGeom prst="rect">
                      <a:avLst/>
                    </a:prstGeom>
                  </pic:spPr>
                </pic:pic>
              </a:graphicData>
            </a:graphic>
          </wp:inline>
        </w:drawing>
      </w:r>
    </w:p>
    <w:p w14:paraId="6F9D3D10" w14:textId="3B721AD6" w:rsidR="00E149A8" w:rsidRPr="00C043B0" w:rsidRDefault="00E149A8" w:rsidP="00C043B0">
      <w:pPr>
        <w:pStyle w:val="MDPI51figurecaption"/>
        <w:ind w:left="425" w:right="425"/>
        <w:rPr>
          <w:b/>
          <w:lang w:val="en"/>
        </w:rPr>
      </w:pPr>
      <w:r w:rsidRPr="00E149A8">
        <w:rPr>
          <w:b/>
          <w:lang w:val="en"/>
        </w:rPr>
        <w:t>Figure S</w:t>
      </w:r>
      <w:r w:rsidR="00833382">
        <w:rPr>
          <w:b/>
          <w:lang w:val="en"/>
        </w:rPr>
        <w:t>12</w:t>
      </w:r>
      <w:r w:rsidRPr="00E149A8">
        <w:rPr>
          <w:b/>
          <w:lang w:val="en"/>
        </w:rPr>
        <w:t xml:space="preserve">. Genes involved in Nuclease activity and DNA metabolism &amp; repair suggest the </w:t>
      </w:r>
      <w:proofErr w:type="spellStart"/>
      <w:r w:rsidRPr="00E149A8">
        <w:rPr>
          <w:b/>
          <w:lang w:val="en"/>
        </w:rPr>
        <w:t>Δ</w:t>
      </w:r>
      <w:r w:rsidRPr="00E149A8">
        <w:rPr>
          <w:b/>
          <w:i/>
          <w:lang w:val="en"/>
        </w:rPr>
        <w:t>efgA</w:t>
      </w:r>
      <w:proofErr w:type="spellEnd"/>
      <w:r w:rsidRPr="00E149A8">
        <w:rPr>
          <w:b/>
          <w:i/>
          <w:lang w:val="en"/>
        </w:rPr>
        <w:t xml:space="preserve"> </w:t>
      </w:r>
      <w:r w:rsidRPr="00E149A8">
        <w:rPr>
          <w:b/>
          <w:lang w:val="en"/>
        </w:rPr>
        <w:t xml:space="preserve">mutant experiences different DNA stress than WT. </w:t>
      </w:r>
      <w:r w:rsidRPr="00C043B0">
        <w:rPr>
          <w:bCs/>
          <w:lang w:val="en"/>
        </w:rPr>
        <w:t xml:space="preserve">Expression of genes involved in nuclease activity and DNA metabolism &amp; repair are shown for WT (black) and </w:t>
      </w:r>
      <w:proofErr w:type="spellStart"/>
      <w:r w:rsidRPr="00C043B0">
        <w:rPr>
          <w:bCs/>
          <w:i/>
          <w:lang w:val="en"/>
        </w:rPr>
        <w:t>efgA</w:t>
      </w:r>
      <w:proofErr w:type="spellEnd"/>
      <w:r w:rsidRPr="00C043B0">
        <w:rPr>
          <w:bCs/>
          <w:i/>
          <w:lang w:val="en"/>
        </w:rPr>
        <w:t xml:space="preserve"> </w:t>
      </w:r>
      <w:r w:rsidRPr="00C043B0">
        <w:rPr>
          <w:bCs/>
          <w:lang w:val="en"/>
        </w:rPr>
        <w:t>(blue)</w:t>
      </w:r>
      <w:r w:rsidRPr="00C043B0">
        <w:rPr>
          <w:bCs/>
          <w:i/>
          <w:lang w:val="en"/>
        </w:rPr>
        <w:t>.</w:t>
      </w:r>
      <w:r w:rsidRPr="00C043B0">
        <w:rPr>
          <w:bCs/>
          <w:lang w:val="en"/>
        </w:rPr>
        <w:t xml:space="preserve"> Log2FC of each gene in response to formaldehyde (5 min) is plotted. </w:t>
      </w:r>
    </w:p>
    <w:p w14:paraId="271C5642" w14:textId="08506100" w:rsidR="00C07039" w:rsidRDefault="00C07039" w:rsidP="00AC703F">
      <w:pPr>
        <w:pStyle w:val="MDPI71References"/>
        <w:numPr>
          <w:ilvl w:val="0"/>
          <w:numId w:val="0"/>
        </w:numPr>
        <w:ind w:left="990" w:hanging="540"/>
      </w:pPr>
      <w:bookmarkStart w:id="0" w:name="_GoBack"/>
      <w:bookmarkEnd w:id="0"/>
    </w:p>
    <w:sectPr w:rsidR="00C07039" w:rsidSect="0092412C">
      <w:headerReference w:type="even" r:id="rId22"/>
      <w:footerReference w:type="default" r:id="rId23"/>
      <w:headerReference w:type="first" r:id="rId24"/>
      <w:type w:val="continuous"/>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0AE4B71" w14:textId="77777777" w:rsidR="00CE5F36" w:rsidRDefault="00CE5F36">
      <w:pPr>
        <w:spacing w:line="240" w:lineRule="auto"/>
      </w:pPr>
      <w:r>
        <w:separator/>
      </w:r>
    </w:p>
  </w:endnote>
  <w:endnote w:type="continuationSeparator" w:id="0">
    <w:p w14:paraId="4AE2F345" w14:textId="77777777" w:rsidR="00CE5F36" w:rsidRDefault="00CE5F3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Cordia New">
    <w:panose1 w:val="020B0304020202020204"/>
    <w:charset w:val="DE"/>
    <w:family w:val="roman"/>
    <w:notTrueType/>
    <w:pitch w:val="variable"/>
    <w:sig w:usb0="01000001" w:usb1="00000000" w:usb2="00000000" w:usb3="00000000" w:csb0="00010000" w:csb1="00000000"/>
  </w:font>
  <w:font w:name="Tahoma">
    <w:panose1 w:val="020B0604030504040204"/>
    <w:charset w:val="00"/>
    <w:family w:val="swiss"/>
    <w:pitch w:val="variable"/>
    <w:sig w:usb0="E1002EFF" w:usb1="C000605B" w:usb2="00000029" w:usb3="00000000" w:csb0="000101FF" w:csb1="00000000"/>
  </w:font>
  <w:font w:name="DengXian">
    <w:altName w:val="等线"/>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EF2C01" w14:textId="77777777" w:rsidR="00C44BC3" w:rsidRPr="00D63625" w:rsidRDefault="00C44BC3" w:rsidP="00D87F42">
    <w:pPr>
      <w:pStyle w:val="Footer"/>
      <w:spacing w:line="240" w:lineRule="auto"/>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F473867" w14:textId="77777777" w:rsidR="00CE5F36" w:rsidRDefault="00CE5F36">
      <w:pPr>
        <w:spacing w:line="240" w:lineRule="auto"/>
      </w:pPr>
      <w:r>
        <w:separator/>
      </w:r>
    </w:p>
  </w:footnote>
  <w:footnote w:type="continuationSeparator" w:id="0">
    <w:p w14:paraId="67361C17" w14:textId="77777777" w:rsidR="00CE5F36" w:rsidRDefault="00CE5F36">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E12B43" w14:textId="77777777" w:rsidR="00C44BC3" w:rsidRDefault="00C44BC3" w:rsidP="00D87F42">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482" w:type="dxa"/>
      <w:tblCellMar>
        <w:left w:w="0" w:type="dxa"/>
        <w:right w:w="0" w:type="dxa"/>
      </w:tblCellMar>
      <w:tblLook w:val="04A0" w:firstRow="1" w:lastRow="0" w:firstColumn="1" w:lastColumn="0" w:noHBand="0" w:noVBand="1"/>
    </w:tblPr>
    <w:tblGrid>
      <w:gridCol w:w="3674"/>
      <w:gridCol w:w="4535"/>
      <w:gridCol w:w="2273"/>
    </w:tblGrid>
    <w:tr w:rsidR="00C44BC3" w:rsidRPr="0050065C" w14:paraId="60B62B52" w14:textId="77777777" w:rsidTr="0050065C">
      <w:trPr>
        <w:trHeight w:val="686"/>
      </w:trPr>
      <w:tc>
        <w:tcPr>
          <w:tcW w:w="3674" w:type="dxa"/>
          <w:shd w:val="clear" w:color="auto" w:fill="auto"/>
          <w:vAlign w:val="center"/>
        </w:tcPr>
        <w:p w14:paraId="41DADBB9" w14:textId="77777777" w:rsidR="00C44BC3" w:rsidRPr="00EB148C" w:rsidRDefault="00C44BC3" w:rsidP="0050065C">
          <w:pPr>
            <w:pStyle w:val="Header"/>
            <w:pBdr>
              <w:bottom w:val="none" w:sz="0" w:space="0" w:color="auto"/>
            </w:pBdr>
            <w:jc w:val="left"/>
            <w:rPr>
              <w:rFonts w:eastAsia="DengXian"/>
              <w:b/>
              <w:bCs/>
            </w:rPr>
          </w:pPr>
          <w:r w:rsidRPr="00EB148C">
            <w:rPr>
              <w:rFonts w:eastAsia="DengXian"/>
              <w:b/>
              <w:bCs/>
            </w:rPr>
            <w:drawing>
              <wp:inline distT="0" distB="0" distL="0" distR="0" wp14:anchorId="380119D1" wp14:editId="1D4826B1">
                <wp:extent cx="2218690" cy="429260"/>
                <wp:effectExtent l="0" t="0" r="0" b="0"/>
                <wp:docPr id="5" name="Picture 5" descr="C:\Users\home\Desktop\logos\带白边的logo\JCDD-Water\Microorganisms\Microorganisms_big-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C:\Users\home\Desktop\logos\带白边的logo\JCDD-Water\Microorganisms\Microorganisms_big-01.png"/>
                        <pic:cNvPicPr>
                          <a:picLocks/>
                        </pic:cNvPicPr>
                      </pic:nvPicPr>
                      <pic:blipFill>
                        <a:blip r:embed="rId1">
                          <a:extLst>
                            <a:ext uri="{28A0092B-C50C-407E-A947-70E740481C1C}">
                              <a14:useLocalDpi xmlns:a14="http://schemas.microsoft.com/office/drawing/2010/main" val="0"/>
                            </a:ext>
                          </a:extLst>
                        </a:blip>
                        <a:srcRect l="2766" t="10683" b="9511"/>
                        <a:stretch>
                          <a:fillRect/>
                        </a:stretch>
                      </pic:blipFill>
                      <pic:spPr bwMode="auto">
                        <a:xfrm>
                          <a:off x="0" y="0"/>
                          <a:ext cx="2218690" cy="429260"/>
                        </a:xfrm>
                        <a:prstGeom prst="rect">
                          <a:avLst/>
                        </a:prstGeom>
                        <a:noFill/>
                        <a:ln>
                          <a:noFill/>
                        </a:ln>
                      </pic:spPr>
                    </pic:pic>
                  </a:graphicData>
                </a:graphic>
              </wp:inline>
            </w:drawing>
          </w:r>
        </w:p>
      </w:tc>
      <w:tc>
        <w:tcPr>
          <w:tcW w:w="4535" w:type="dxa"/>
          <w:shd w:val="clear" w:color="auto" w:fill="auto"/>
          <w:vAlign w:val="center"/>
        </w:tcPr>
        <w:p w14:paraId="042C1503" w14:textId="77777777" w:rsidR="00C44BC3" w:rsidRPr="00EB148C" w:rsidRDefault="00C44BC3" w:rsidP="0050065C">
          <w:pPr>
            <w:pStyle w:val="Header"/>
            <w:pBdr>
              <w:bottom w:val="none" w:sz="0" w:space="0" w:color="auto"/>
            </w:pBdr>
            <w:rPr>
              <w:rFonts w:eastAsia="DengXian"/>
              <w:b/>
              <w:bCs/>
            </w:rPr>
          </w:pPr>
        </w:p>
      </w:tc>
      <w:tc>
        <w:tcPr>
          <w:tcW w:w="2273" w:type="dxa"/>
          <w:shd w:val="clear" w:color="auto" w:fill="auto"/>
          <w:vAlign w:val="center"/>
        </w:tcPr>
        <w:p w14:paraId="2A2ECE89" w14:textId="77777777" w:rsidR="00C44BC3" w:rsidRPr="00EB148C" w:rsidRDefault="00C44BC3" w:rsidP="0050065C">
          <w:pPr>
            <w:pStyle w:val="Header"/>
            <w:pBdr>
              <w:bottom w:val="none" w:sz="0" w:space="0" w:color="auto"/>
            </w:pBdr>
            <w:jc w:val="right"/>
            <w:rPr>
              <w:rFonts w:eastAsia="DengXian"/>
              <w:b/>
              <w:bCs/>
            </w:rPr>
          </w:pPr>
          <w:r w:rsidRPr="00EB148C">
            <w:rPr>
              <w:rFonts w:eastAsia="DengXian"/>
              <w:b/>
              <w:bCs/>
            </w:rPr>
            <w:drawing>
              <wp:inline distT="0" distB="0" distL="0" distR="0" wp14:anchorId="74011DE1" wp14:editId="69E428D0">
                <wp:extent cx="540385" cy="357505"/>
                <wp:effectExtent l="0" t="0" r="0" b="0"/>
                <wp:docPr id="6"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0385" cy="357505"/>
                        </a:xfrm>
                        <a:prstGeom prst="rect">
                          <a:avLst/>
                        </a:prstGeom>
                        <a:noFill/>
                        <a:ln>
                          <a:noFill/>
                        </a:ln>
                      </pic:spPr>
                    </pic:pic>
                  </a:graphicData>
                </a:graphic>
              </wp:inline>
            </w:drawing>
          </w:r>
        </w:p>
      </w:tc>
    </w:tr>
  </w:tbl>
  <w:p w14:paraId="47A8C28E" w14:textId="77777777" w:rsidR="00C44BC3" w:rsidRPr="00725AE4" w:rsidRDefault="00C44BC3" w:rsidP="00552641">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8B468F5"/>
    <w:multiLevelType w:val="hybridMultilevel"/>
    <w:tmpl w:val="F7E250A8"/>
    <w:lvl w:ilvl="0" w:tplc="5A92E4B0">
      <w:start w:val="1"/>
      <w:numFmt w:val="decimal"/>
      <w:lvlRestart w:val="0"/>
      <w:pStyle w:val="MDPI71References"/>
      <w:lvlText w:val="%1."/>
      <w:lvlJc w:val="left"/>
      <w:pPr>
        <w:ind w:left="425" w:hanging="425"/>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2">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4">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6">
    <w:nsid w:val="4AFE3832"/>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8">
    <w:nsid w:val="706D5736"/>
    <w:multiLevelType w:val="hybridMultilevel"/>
    <w:tmpl w:val="E3640C5C"/>
    <w:lvl w:ilvl="0" w:tplc="0409000F">
      <w:start w:val="1"/>
      <w:numFmt w:val="decimal"/>
      <w:lvlText w:val="%1."/>
      <w:lvlJc w:val="left"/>
      <w:pPr>
        <w:ind w:left="1429" w:hanging="360"/>
      </w:pPr>
      <w:rPr>
        <w:rFonts w:hint="eastAsia"/>
      </w:r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num w:numId="1">
    <w:abstractNumId w:val="3"/>
  </w:num>
  <w:num w:numId="2">
    <w:abstractNumId w:val="5"/>
  </w:num>
  <w:num w:numId="3">
    <w:abstractNumId w:val="2"/>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num>
  <w:num w:numId="6">
    <w:abstractNumId w:val="7"/>
  </w:num>
  <w:num w:numId="7">
    <w:abstractNumId w:val="1"/>
  </w:num>
  <w:num w:numId="8">
    <w:abstractNumId w:val="7"/>
  </w:num>
  <w:num w:numId="9">
    <w:abstractNumId w:val="1"/>
  </w:num>
  <w:num w:numId="10">
    <w:abstractNumId w:val="7"/>
  </w:num>
  <w:num w:numId="11">
    <w:abstractNumId w:val="1"/>
  </w:num>
  <w:num w:numId="12">
    <w:abstractNumId w:val="8"/>
  </w:num>
  <w:num w:numId="13">
    <w:abstractNumId w:val="7"/>
  </w:num>
  <w:num w:numId="14">
    <w:abstractNumId w:val="1"/>
  </w:num>
  <w:num w:numId="15">
    <w:abstractNumId w:val="0"/>
  </w:num>
  <w:num w:numId="1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bordersDoNotSurroundHeader/>
  <w:bordersDoNotSurroundFooter/>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paperpile-doc-id" w:val="P316C466Y757W577"/>
    <w:docVar w:name="paperpile-doc-name" w:val="Bazurto et al F response-Microorganisms Supplemental figures-REVISION.docx"/>
  </w:docVars>
  <w:rsids>
    <w:rsidRoot w:val="007F6862"/>
    <w:rsid w:val="000002AD"/>
    <w:rsid w:val="000014B3"/>
    <w:rsid w:val="00041C3C"/>
    <w:rsid w:val="00055202"/>
    <w:rsid w:val="0007365B"/>
    <w:rsid w:val="000A3E8E"/>
    <w:rsid w:val="000B2D7F"/>
    <w:rsid w:val="000B7104"/>
    <w:rsid w:val="000E1FE9"/>
    <w:rsid w:val="000F332F"/>
    <w:rsid w:val="000F5DBA"/>
    <w:rsid w:val="000F5F27"/>
    <w:rsid w:val="000F7CE7"/>
    <w:rsid w:val="001018D2"/>
    <w:rsid w:val="00161A19"/>
    <w:rsid w:val="00163C3A"/>
    <w:rsid w:val="001667AA"/>
    <w:rsid w:val="00174D93"/>
    <w:rsid w:val="00181271"/>
    <w:rsid w:val="001A056A"/>
    <w:rsid w:val="001D623B"/>
    <w:rsid w:val="001E2AEB"/>
    <w:rsid w:val="00216305"/>
    <w:rsid w:val="00250FEB"/>
    <w:rsid w:val="002530E9"/>
    <w:rsid w:val="002571BD"/>
    <w:rsid w:val="00260DA7"/>
    <w:rsid w:val="00261599"/>
    <w:rsid w:val="00277F38"/>
    <w:rsid w:val="00297DDD"/>
    <w:rsid w:val="002B03E0"/>
    <w:rsid w:val="002B1611"/>
    <w:rsid w:val="002B2F06"/>
    <w:rsid w:val="002C11A7"/>
    <w:rsid w:val="002C5C57"/>
    <w:rsid w:val="002D4504"/>
    <w:rsid w:val="002E1DFB"/>
    <w:rsid w:val="002F75E7"/>
    <w:rsid w:val="00301EF2"/>
    <w:rsid w:val="003148F7"/>
    <w:rsid w:val="00326141"/>
    <w:rsid w:val="003369FB"/>
    <w:rsid w:val="003465DE"/>
    <w:rsid w:val="00347439"/>
    <w:rsid w:val="00350100"/>
    <w:rsid w:val="00356636"/>
    <w:rsid w:val="00371391"/>
    <w:rsid w:val="00383077"/>
    <w:rsid w:val="0038582A"/>
    <w:rsid w:val="0038699B"/>
    <w:rsid w:val="00386F61"/>
    <w:rsid w:val="003877B4"/>
    <w:rsid w:val="003A1E47"/>
    <w:rsid w:val="003B77DC"/>
    <w:rsid w:val="003C1A49"/>
    <w:rsid w:val="003D12FA"/>
    <w:rsid w:val="003D7A4C"/>
    <w:rsid w:val="003E476B"/>
    <w:rsid w:val="00401D30"/>
    <w:rsid w:val="004066FA"/>
    <w:rsid w:val="00407FF0"/>
    <w:rsid w:val="00412F5B"/>
    <w:rsid w:val="00417782"/>
    <w:rsid w:val="0044059D"/>
    <w:rsid w:val="00452F25"/>
    <w:rsid w:val="0046230F"/>
    <w:rsid w:val="004824EF"/>
    <w:rsid w:val="00484A0B"/>
    <w:rsid w:val="004B7287"/>
    <w:rsid w:val="004C7FE5"/>
    <w:rsid w:val="004D0C0A"/>
    <w:rsid w:val="004E4D13"/>
    <w:rsid w:val="004F2533"/>
    <w:rsid w:val="0050065C"/>
    <w:rsid w:val="005202B6"/>
    <w:rsid w:val="005209A1"/>
    <w:rsid w:val="00521467"/>
    <w:rsid w:val="00523062"/>
    <w:rsid w:val="0052373D"/>
    <w:rsid w:val="0052437F"/>
    <w:rsid w:val="00525103"/>
    <w:rsid w:val="00537FAD"/>
    <w:rsid w:val="00551DC1"/>
    <w:rsid w:val="00551ED6"/>
    <w:rsid w:val="00552641"/>
    <w:rsid w:val="00553868"/>
    <w:rsid w:val="0056617C"/>
    <w:rsid w:val="00566F8A"/>
    <w:rsid w:val="00576192"/>
    <w:rsid w:val="005832AA"/>
    <w:rsid w:val="0059357D"/>
    <w:rsid w:val="005949F0"/>
    <w:rsid w:val="005A655C"/>
    <w:rsid w:val="00606442"/>
    <w:rsid w:val="00621E4B"/>
    <w:rsid w:val="00624FF1"/>
    <w:rsid w:val="00650122"/>
    <w:rsid w:val="00653283"/>
    <w:rsid w:val="0065692E"/>
    <w:rsid w:val="00674A11"/>
    <w:rsid w:val="00692393"/>
    <w:rsid w:val="006966BE"/>
    <w:rsid w:val="006C1388"/>
    <w:rsid w:val="006E511E"/>
    <w:rsid w:val="006E66E8"/>
    <w:rsid w:val="007113C1"/>
    <w:rsid w:val="00716D7B"/>
    <w:rsid w:val="00723944"/>
    <w:rsid w:val="00725AE4"/>
    <w:rsid w:val="00727FB9"/>
    <w:rsid w:val="00733954"/>
    <w:rsid w:val="0075469A"/>
    <w:rsid w:val="007548A3"/>
    <w:rsid w:val="007778BE"/>
    <w:rsid w:val="00796716"/>
    <w:rsid w:val="007C3655"/>
    <w:rsid w:val="007F6862"/>
    <w:rsid w:val="0080600E"/>
    <w:rsid w:val="00810146"/>
    <w:rsid w:val="00817074"/>
    <w:rsid w:val="00826747"/>
    <w:rsid w:val="00830AC4"/>
    <w:rsid w:val="00833382"/>
    <w:rsid w:val="00844032"/>
    <w:rsid w:val="008455C5"/>
    <w:rsid w:val="008463A3"/>
    <w:rsid w:val="00861FC9"/>
    <w:rsid w:val="00864AB7"/>
    <w:rsid w:val="00873A38"/>
    <w:rsid w:val="00881A0D"/>
    <w:rsid w:val="00893594"/>
    <w:rsid w:val="00896D33"/>
    <w:rsid w:val="008A3462"/>
    <w:rsid w:val="008B17F9"/>
    <w:rsid w:val="008C54D3"/>
    <w:rsid w:val="008C756A"/>
    <w:rsid w:val="009010DE"/>
    <w:rsid w:val="0090247B"/>
    <w:rsid w:val="0092412C"/>
    <w:rsid w:val="009252CA"/>
    <w:rsid w:val="00934B71"/>
    <w:rsid w:val="00945D14"/>
    <w:rsid w:val="00953F02"/>
    <w:rsid w:val="00965912"/>
    <w:rsid w:val="00986CCC"/>
    <w:rsid w:val="009D1A7A"/>
    <w:rsid w:val="009D349C"/>
    <w:rsid w:val="009E60F4"/>
    <w:rsid w:val="009E752A"/>
    <w:rsid w:val="009F70E6"/>
    <w:rsid w:val="00A013D9"/>
    <w:rsid w:val="00A044E1"/>
    <w:rsid w:val="00A1595A"/>
    <w:rsid w:val="00A20258"/>
    <w:rsid w:val="00A2122C"/>
    <w:rsid w:val="00A21A02"/>
    <w:rsid w:val="00A3776B"/>
    <w:rsid w:val="00A401AC"/>
    <w:rsid w:val="00A4172D"/>
    <w:rsid w:val="00A5251D"/>
    <w:rsid w:val="00A643CE"/>
    <w:rsid w:val="00A7362F"/>
    <w:rsid w:val="00A7524C"/>
    <w:rsid w:val="00A778C8"/>
    <w:rsid w:val="00AB3494"/>
    <w:rsid w:val="00AB3D17"/>
    <w:rsid w:val="00AB42B3"/>
    <w:rsid w:val="00AC703F"/>
    <w:rsid w:val="00B005B7"/>
    <w:rsid w:val="00B277A5"/>
    <w:rsid w:val="00B33F8B"/>
    <w:rsid w:val="00B6318B"/>
    <w:rsid w:val="00B66E23"/>
    <w:rsid w:val="00B73EF6"/>
    <w:rsid w:val="00B77121"/>
    <w:rsid w:val="00B77161"/>
    <w:rsid w:val="00BB6AA7"/>
    <w:rsid w:val="00BC1CF0"/>
    <w:rsid w:val="00BF78C7"/>
    <w:rsid w:val="00C043B0"/>
    <w:rsid w:val="00C07039"/>
    <w:rsid w:val="00C17792"/>
    <w:rsid w:val="00C21CE7"/>
    <w:rsid w:val="00C4393A"/>
    <w:rsid w:val="00C446A9"/>
    <w:rsid w:val="00C44BC3"/>
    <w:rsid w:val="00C46BB1"/>
    <w:rsid w:val="00C65199"/>
    <w:rsid w:val="00C65787"/>
    <w:rsid w:val="00C71541"/>
    <w:rsid w:val="00C96857"/>
    <w:rsid w:val="00CA1ABA"/>
    <w:rsid w:val="00CA2DA7"/>
    <w:rsid w:val="00CB3D93"/>
    <w:rsid w:val="00CB748B"/>
    <w:rsid w:val="00CB7DCD"/>
    <w:rsid w:val="00CC6E67"/>
    <w:rsid w:val="00CE15FF"/>
    <w:rsid w:val="00CE35A0"/>
    <w:rsid w:val="00CE5F36"/>
    <w:rsid w:val="00CE7618"/>
    <w:rsid w:val="00CF1104"/>
    <w:rsid w:val="00D005C2"/>
    <w:rsid w:val="00D06913"/>
    <w:rsid w:val="00D3740F"/>
    <w:rsid w:val="00D4016B"/>
    <w:rsid w:val="00D46950"/>
    <w:rsid w:val="00D47266"/>
    <w:rsid w:val="00D56221"/>
    <w:rsid w:val="00D67FD0"/>
    <w:rsid w:val="00D72E53"/>
    <w:rsid w:val="00D87F42"/>
    <w:rsid w:val="00D97ACA"/>
    <w:rsid w:val="00DA4DD6"/>
    <w:rsid w:val="00DD3012"/>
    <w:rsid w:val="00DD5BCE"/>
    <w:rsid w:val="00DE1709"/>
    <w:rsid w:val="00DF190F"/>
    <w:rsid w:val="00DF77AE"/>
    <w:rsid w:val="00E0034B"/>
    <w:rsid w:val="00E149A8"/>
    <w:rsid w:val="00E26B9A"/>
    <w:rsid w:val="00E44C2F"/>
    <w:rsid w:val="00E561ED"/>
    <w:rsid w:val="00E7458B"/>
    <w:rsid w:val="00E74F0C"/>
    <w:rsid w:val="00E82D53"/>
    <w:rsid w:val="00E9195A"/>
    <w:rsid w:val="00EA1AF3"/>
    <w:rsid w:val="00EB148C"/>
    <w:rsid w:val="00EC2562"/>
    <w:rsid w:val="00ED3C8A"/>
    <w:rsid w:val="00EE2AAD"/>
    <w:rsid w:val="00F3089D"/>
    <w:rsid w:val="00F521E9"/>
    <w:rsid w:val="00F52EB1"/>
    <w:rsid w:val="00F65D82"/>
    <w:rsid w:val="00F93A78"/>
    <w:rsid w:val="00FB6FCA"/>
    <w:rsid w:val="00FC4A4C"/>
    <w:rsid w:val="00FD0A1A"/>
    <w:rsid w:val="00FD1C0A"/>
    <w:rsid w:val="00FD393B"/>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3E262C"/>
  <w15:chartTrackingRefBased/>
  <w15:docId w15:val="{9164E701-63E4-0246-805A-22337E8A9D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07039"/>
    <w:pPr>
      <w:spacing w:line="260" w:lineRule="atLeast"/>
      <w:jc w:val="both"/>
    </w:pPr>
    <w:rPr>
      <w:rFonts w:ascii="Palatino Linotype" w:hAnsi="Palatino Linotype"/>
      <w:noProof/>
      <w:color w:val="000000"/>
      <w:lang w:eastAsia="zh-CN"/>
    </w:rPr>
  </w:style>
  <w:style w:type="paragraph" w:styleId="Heading1">
    <w:name w:val="heading 1"/>
    <w:basedOn w:val="Normal"/>
    <w:next w:val="Normal"/>
    <w:link w:val="Heading1Char"/>
    <w:uiPriority w:val="9"/>
    <w:qFormat/>
    <w:rsid w:val="003E476B"/>
    <w:pPr>
      <w:keepNext/>
      <w:keepLines/>
      <w:spacing w:before="400" w:after="120" w:line="276" w:lineRule="auto"/>
      <w:jc w:val="left"/>
      <w:outlineLvl w:val="0"/>
    </w:pPr>
    <w:rPr>
      <w:rFonts w:ascii="Arial" w:eastAsia="Arial" w:hAnsi="Arial" w:cs="Arial"/>
      <w:noProof w:val="0"/>
      <w:color w:val="auto"/>
      <w:sz w:val="40"/>
      <w:szCs w:val="40"/>
      <w:lang w:val="en" w:eastAsia="en-US"/>
    </w:rPr>
  </w:style>
  <w:style w:type="paragraph" w:styleId="Heading2">
    <w:name w:val="heading 2"/>
    <w:basedOn w:val="Normal"/>
    <w:next w:val="Normal"/>
    <w:link w:val="Heading2Char"/>
    <w:uiPriority w:val="9"/>
    <w:unhideWhenUsed/>
    <w:qFormat/>
    <w:rsid w:val="003E476B"/>
    <w:pPr>
      <w:keepNext/>
      <w:keepLines/>
      <w:spacing w:before="360" w:after="120" w:line="276" w:lineRule="auto"/>
      <w:jc w:val="left"/>
      <w:outlineLvl w:val="1"/>
    </w:pPr>
    <w:rPr>
      <w:rFonts w:ascii="Arial" w:eastAsia="Arial" w:hAnsi="Arial" w:cs="Arial"/>
      <w:noProof w:val="0"/>
      <w:color w:val="auto"/>
      <w:sz w:val="32"/>
      <w:szCs w:val="32"/>
      <w:lang w:val="en" w:eastAsia="en-US"/>
    </w:rPr>
  </w:style>
  <w:style w:type="paragraph" w:styleId="Heading3">
    <w:name w:val="heading 3"/>
    <w:basedOn w:val="Normal"/>
    <w:next w:val="Normal"/>
    <w:link w:val="Heading3Char"/>
    <w:uiPriority w:val="9"/>
    <w:unhideWhenUsed/>
    <w:qFormat/>
    <w:rsid w:val="00BB6AA7"/>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3E476B"/>
    <w:pPr>
      <w:keepNext/>
      <w:keepLines/>
      <w:spacing w:before="280" w:after="80" w:line="276" w:lineRule="auto"/>
      <w:jc w:val="left"/>
      <w:outlineLvl w:val="3"/>
    </w:pPr>
    <w:rPr>
      <w:rFonts w:ascii="Arial" w:eastAsia="Arial" w:hAnsi="Arial" w:cs="Arial"/>
      <w:noProof w:val="0"/>
      <w:color w:val="666666"/>
      <w:sz w:val="24"/>
      <w:szCs w:val="24"/>
      <w:lang w:val="en" w:eastAsia="en-US"/>
    </w:rPr>
  </w:style>
  <w:style w:type="paragraph" w:styleId="Heading5">
    <w:name w:val="heading 5"/>
    <w:basedOn w:val="Normal"/>
    <w:next w:val="Normal"/>
    <w:link w:val="Heading5Char"/>
    <w:uiPriority w:val="9"/>
    <w:semiHidden/>
    <w:unhideWhenUsed/>
    <w:qFormat/>
    <w:rsid w:val="003E476B"/>
    <w:pPr>
      <w:keepNext/>
      <w:keepLines/>
      <w:spacing w:before="240" w:after="80" w:line="276" w:lineRule="auto"/>
      <w:jc w:val="left"/>
      <w:outlineLvl w:val="4"/>
    </w:pPr>
    <w:rPr>
      <w:rFonts w:ascii="Arial" w:eastAsia="Arial" w:hAnsi="Arial" w:cs="Arial"/>
      <w:noProof w:val="0"/>
      <w:color w:val="666666"/>
      <w:sz w:val="22"/>
      <w:szCs w:val="22"/>
      <w:lang w:val="en" w:eastAsia="en-US"/>
    </w:rPr>
  </w:style>
  <w:style w:type="paragraph" w:styleId="Heading6">
    <w:name w:val="heading 6"/>
    <w:basedOn w:val="Normal"/>
    <w:next w:val="Normal"/>
    <w:link w:val="Heading6Char"/>
    <w:uiPriority w:val="9"/>
    <w:semiHidden/>
    <w:unhideWhenUsed/>
    <w:qFormat/>
    <w:rsid w:val="003E476B"/>
    <w:pPr>
      <w:keepNext/>
      <w:keepLines/>
      <w:spacing w:before="240" w:after="80" w:line="276" w:lineRule="auto"/>
      <w:jc w:val="left"/>
      <w:outlineLvl w:val="5"/>
    </w:pPr>
    <w:rPr>
      <w:rFonts w:ascii="Arial" w:eastAsia="Arial" w:hAnsi="Arial" w:cs="Arial"/>
      <w:i/>
      <w:noProof w:val="0"/>
      <w:color w:val="666666"/>
      <w:sz w:val="22"/>
      <w:szCs w:val="22"/>
      <w:lang w:val="en"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C07039"/>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C07039"/>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C07039"/>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C07039"/>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C07039"/>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C07039"/>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C07039"/>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C07039"/>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Normal"/>
    <w:uiPriority w:val="99"/>
    <w:rsid w:val="002B1611"/>
    <w:pPr>
      <w:adjustRightInd w:val="0"/>
      <w:snapToGrid w:val="0"/>
      <w:spacing w:line="300" w:lineRule="exact"/>
      <w:jc w:val="center"/>
    </w:pPr>
    <w:rPr>
      <w:rFonts w:ascii="Times New Roman" w:hAnsi="Times New Roman"/>
      <w:lang w:val="de-DE" w:eastAsia="de-DE"/>
    </w:rPr>
    <w:tblPr>
      <w:jc w:val="center"/>
      <w:tblInd w:w="0" w:type="dxa"/>
      <w:tblBorders>
        <w:bottom w:val="single" w:sz="8" w:space="0" w:color="auto"/>
      </w:tblBorders>
      <w:tblCellMar>
        <w:top w:w="0" w:type="dxa"/>
        <w:left w:w="108" w:type="dxa"/>
        <w:bottom w:w="0" w:type="dxa"/>
        <w:right w:w="108" w:type="dxa"/>
      </w:tblCellMar>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C07039"/>
    <w:pPr>
      <w:spacing w:line="260" w:lineRule="atLeast"/>
      <w:jc w:val="both"/>
    </w:pPr>
    <w:rPr>
      <w:rFonts w:ascii="Palatino Linotype" w:hAnsi="Palatino Linotype"/>
      <w:color w:val="00000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rsid w:val="00C07039"/>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C07039"/>
    <w:rPr>
      <w:rFonts w:ascii="Palatino Linotype" w:hAnsi="Palatino Linotype"/>
      <w:noProof/>
      <w:color w:val="000000"/>
      <w:szCs w:val="18"/>
    </w:rPr>
  </w:style>
  <w:style w:type="paragraph" w:styleId="Header">
    <w:name w:val="header"/>
    <w:basedOn w:val="Normal"/>
    <w:link w:val="HeaderChar"/>
    <w:uiPriority w:val="99"/>
    <w:rsid w:val="00C07039"/>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C07039"/>
    <w:rPr>
      <w:rFonts w:ascii="Palatino Linotype" w:hAnsi="Palatino Linotype"/>
      <w:noProof/>
      <w:color w:val="000000"/>
      <w:szCs w:val="18"/>
    </w:rPr>
  </w:style>
  <w:style w:type="paragraph" w:customStyle="1" w:styleId="MDPIheaderjournallogo">
    <w:name w:val="MDPI_header_journal_logo"/>
    <w:qFormat/>
    <w:rsid w:val="00C07039"/>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C07039"/>
    <w:pPr>
      <w:ind w:firstLine="0"/>
    </w:pPr>
  </w:style>
  <w:style w:type="paragraph" w:customStyle="1" w:styleId="MDPI31text">
    <w:name w:val="MDPI_3.1_text"/>
    <w:qFormat/>
    <w:rsid w:val="003369FB"/>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C07039"/>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C07039"/>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C07039"/>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C07039"/>
    <w:pPr>
      <w:numPr>
        <w:numId w:val="13"/>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C07039"/>
    <w:pPr>
      <w:numPr>
        <w:numId w:val="14"/>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C07039"/>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C07039"/>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C07039"/>
    <w:pPr>
      <w:adjustRightInd w:val="0"/>
      <w:snapToGrid w:val="0"/>
      <w:spacing w:before="240" w:after="120" w:line="228" w:lineRule="auto"/>
      <w:ind w:left="2608"/>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56617C"/>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C07039"/>
    <w:pPr>
      <w:adjustRightInd w:val="0"/>
      <w:snapToGrid w:val="0"/>
      <w:spacing w:line="228" w:lineRule="auto"/>
      <w:ind w:left="2608"/>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C07039"/>
    <w:pPr>
      <w:adjustRightInd w:val="0"/>
      <w:snapToGrid w:val="0"/>
      <w:spacing w:before="120" w:after="240" w:line="228" w:lineRule="auto"/>
      <w:ind w:left="2608"/>
    </w:pPr>
    <w:rPr>
      <w:rFonts w:ascii="Palatino Linotype" w:eastAsia="Times New Roman" w:hAnsi="Palatino Linotype"/>
      <w:color w:val="000000"/>
      <w:sz w:val="18"/>
      <w:lang w:eastAsia="de-DE" w:bidi="en-US"/>
    </w:rPr>
  </w:style>
  <w:style w:type="paragraph" w:customStyle="1" w:styleId="MDPI52figure">
    <w:name w:val="MDPI_5.2_figure"/>
    <w:qFormat/>
    <w:rsid w:val="00C07039"/>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23heading3">
    <w:name w:val="MDPI_2.3_heading3"/>
    <w:qFormat/>
    <w:rsid w:val="00C07039"/>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C07039"/>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C07039"/>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861FC9"/>
    <w:pPr>
      <w:numPr>
        <w:numId w:val="15"/>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C07039"/>
    <w:rPr>
      <w:rFonts w:cs="Tahoma"/>
      <w:szCs w:val="18"/>
    </w:rPr>
  </w:style>
  <w:style w:type="character" w:customStyle="1" w:styleId="BalloonTextChar">
    <w:name w:val="Balloon Text Char"/>
    <w:link w:val="BalloonText"/>
    <w:uiPriority w:val="99"/>
    <w:rsid w:val="00C07039"/>
    <w:rPr>
      <w:rFonts w:ascii="Palatino Linotype" w:hAnsi="Palatino Linotype" w:cs="Tahoma"/>
      <w:noProof/>
      <w:color w:val="000000"/>
      <w:szCs w:val="18"/>
    </w:rPr>
  </w:style>
  <w:style w:type="character" w:styleId="LineNumber">
    <w:name w:val="line number"/>
    <w:uiPriority w:val="99"/>
    <w:rsid w:val="0092412C"/>
    <w:rPr>
      <w:rFonts w:ascii="Palatino Linotype" w:hAnsi="Palatino Linotype"/>
      <w:sz w:val="16"/>
    </w:rPr>
  </w:style>
  <w:style w:type="table" w:customStyle="1" w:styleId="MDPI41threelinetable">
    <w:name w:val="MDPI_4.1_three_line_table"/>
    <w:basedOn w:val="TableNormal"/>
    <w:uiPriority w:val="99"/>
    <w:rsid w:val="00C07039"/>
    <w:pPr>
      <w:adjustRightInd w:val="0"/>
      <w:snapToGrid w:val="0"/>
      <w:jc w:val="center"/>
    </w:pPr>
    <w:rPr>
      <w:rFonts w:ascii="Palatino Linotype" w:hAnsi="Palatino Linotype"/>
      <w:color w:val="000000"/>
    </w:rPr>
    <w:tblPr>
      <w:jc w:val="center"/>
      <w:tblInd w:w="0" w:type="dxa"/>
      <w:tblBorders>
        <w:top w:val="single" w:sz="8" w:space="0" w:color="auto"/>
        <w:bottom w:val="single" w:sz="8" w:space="0" w:color="auto"/>
      </w:tblBorders>
      <w:tblCellMar>
        <w:top w:w="0" w:type="dxa"/>
        <w:left w:w="108" w:type="dxa"/>
        <w:bottom w:w="0" w:type="dxa"/>
        <w:right w:w="108" w:type="dxa"/>
      </w:tblCellMar>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C07039"/>
    <w:rPr>
      <w:color w:val="0000FF"/>
      <w:u w:val="single"/>
    </w:rPr>
  </w:style>
  <w:style w:type="character" w:customStyle="1" w:styleId="UnresolvedMention">
    <w:name w:val="Unresolved Mention"/>
    <w:uiPriority w:val="99"/>
    <w:semiHidden/>
    <w:unhideWhenUsed/>
    <w:rsid w:val="00953F02"/>
    <w:rPr>
      <w:color w:val="605E5C"/>
      <w:shd w:val="clear" w:color="auto" w:fill="E1DFDD"/>
    </w:rPr>
  </w:style>
  <w:style w:type="table" w:styleId="PlainTable4">
    <w:name w:val="Plain Table 4"/>
    <w:basedOn w:val="TableNormal"/>
    <w:uiPriority w:val="44"/>
    <w:rsid w:val="00716D7B"/>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34textspacebefore">
    <w:name w:val="MDPI_3.4_text_space_before"/>
    <w:qFormat/>
    <w:rsid w:val="00C07039"/>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81theorem">
    <w:name w:val="MDPI_8.1_theorem"/>
    <w:qFormat/>
    <w:rsid w:val="00C07039"/>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C07039"/>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61Citation">
    <w:name w:val="MDPI_6.1_Citation"/>
    <w:qFormat/>
    <w:rsid w:val="00C07039"/>
    <w:pPr>
      <w:adjustRightInd w:val="0"/>
      <w:snapToGrid w:val="0"/>
      <w:spacing w:line="240" w:lineRule="atLeast"/>
      <w:ind w:right="113"/>
    </w:pPr>
    <w:rPr>
      <w:rFonts w:ascii="Palatino Linotype" w:hAnsi="Palatino Linotype" w:cs="Cordia New"/>
      <w:sz w:val="14"/>
      <w:szCs w:val="22"/>
      <w:lang w:eastAsia="zh-CN"/>
    </w:rPr>
  </w:style>
  <w:style w:type="paragraph" w:customStyle="1" w:styleId="MDPI62BackMatter">
    <w:name w:val="MDPI_6.2_BackMatter"/>
    <w:qFormat/>
    <w:rsid w:val="00C07039"/>
    <w:pPr>
      <w:adjustRightInd w:val="0"/>
      <w:snapToGrid w:val="0"/>
      <w:spacing w:after="120" w:line="228" w:lineRule="auto"/>
      <w:ind w:left="2608"/>
      <w:jc w:val="both"/>
    </w:pPr>
    <w:rPr>
      <w:rFonts w:ascii="Palatino Linotype" w:eastAsia="Times New Roman" w:hAnsi="Palatino Linotype"/>
      <w:snapToGrid w:val="0"/>
      <w:color w:val="000000"/>
      <w:sz w:val="18"/>
      <w:lang w:bidi="en-US"/>
    </w:rPr>
  </w:style>
  <w:style w:type="paragraph" w:customStyle="1" w:styleId="MDPI63Notes">
    <w:name w:val="MDPI_6.3_Notes"/>
    <w:qFormat/>
    <w:rsid w:val="00C07039"/>
    <w:pPr>
      <w:adjustRightInd w:val="0"/>
      <w:snapToGrid w:val="0"/>
      <w:spacing w:after="120" w:line="240" w:lineRule="atLeast"/>
      <w:ind w:right="113"/>
    </w:pPr>
    <w:rPr>
      <w:rFonts w:ascii="Palatino Linotype" w:hAnsi="Palatino Linotype"/>
      <w:snapToGrid w:val="0"/>
      <w:color w:val="000000"/>
      <w:sz w:val="14"/>
      <w:lang w:bidi="en-US"/>
    </w:rPr>
  </w:style>
  <w:style w:type="paragraph" w:customStyle="1" w:styleId="MDPI15academiceditor">
    <w:name w:val="MDPI_1.5_academic_editor"/>
    <w:qFormat/>
    <w:rsid w:val="00C07039"/>
    <w:pPr>
      <w:adjustRightInd w:val="0"/>
      <w:snapToGrid w:val="0"/>
      <w:spacing w:before="24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C07039"/>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C07039"/>
    <w:pPr>
      <w:adjustRightInd w:val="0"/>
      <w:snapToGrid w:val="0"/>
      <w:spacing w:before="240" w:after="120" w:line="260" w:lineRule="atLeast"/>
      <w:jc w:val="center"/>
    </w:pPr>
    <w:rPr>
      <w:rFonts w:ascii="Palatino Linotype" w:hAnsi="Palatino Linotype" w:cs="Cordia New"/>
      <w:noProof/>
      <w:color w:val="000000"/>
      <w:sz w:val="18"/>
      <w:szCs w:val="22"/>
      <w:lang w:eastAsia="zh-CN" w:bidi="en-US"/>
    </w:rPr>
  </w:style>
  <w:style w:type="paragraph" w:customStyle="1" w:styleId="MDPI511onefigurecaption">
    <w:name w:val="MDPI_5.1.1_one_figure_caption"/>
    <w:qFormat/>
    <w:rsid w:val="00C07039"/>
    <w:pPr>
      <w:adjustRightInd w:val="0"/>
      <w:snapToGrid w:val="0"/>
      <w:spacing w:before="240" w:after="120" w:line="260" w:lineRule="atLeast"/>
      <w:jc w:val="center"/>
    </w:pPr>
    <w:rPr>
      <w:rFonts w:ascii="Palatino Linotype" w:hAnsi="Palatino Linotype"/>
      <w:noProof/>
      <w:color w:val="000000"/>
      <w:sz w:val="18"/>
      <w:lang w:eastAsia="zh-CN" w:bidi="en-US"/>
    </w:rPr>
  </w:style>
  <w:style w:type="paragraph" w:customStyle="1" w:styleId="MDPI72Copyright">
    <w:name w:val="MDPI_7.2_Copyright"/>
    <w:qFormat/>
    <w:rsid w:val="00C07039"/>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C07039"/>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C07039"/>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C07039"/>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footerfirstpage">
    <w:name w:val="MDPI_footer_firstpage"/>
    <w:qFormat/>
    <w:rsid w:val="00C07039"/>
    <w:pPr>
      <w:tabs>
        <w:tab w:val="right" w:pos="8845"/>
      </w:tabs>
      <w:spacing w:line="160" w:lineRule="exact"/>
    </w:pPr>
    <w:rPr>
      <w:rFonts w:ascii="Palatino Linotype" w:eastAsia="Times New Roman" w:hAnsi="Palatino Linotype"/>
      <w:color w:val="000000"/>
      <w:sz w:val="16"/>
      <w:lang w:eastAsia="de-DE"/>
    </w:rPr>
  </w:style>
  <w:style w:type="paragraph" w:customStyle="1" w:styleId="MDPIheader">
    <w:name w:val="MDPI_header"/>
    <w:qFormat/>
    <w:rsid w:val="00C07039"/>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C07039"/>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C07039"/>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C07039"/>
    <w:rPr>
      <w:rFonts w:ascii="Palatino Linotype" w:hAnsi="Palatino Linotype"/>
      <w:color w:val="000000"/>
      <w:lang w:val="en-CA"/>
    </w:rPr>
    <w:tblPr>
      <w:tblInd w:w="0" w:type="dxa"/>
      <w:tblCellMar>
        <w:top w:w="0" w:type="dxa"/>
        <w:left w:w="0" w:type="dxa"/>
        <w:bottom w:w="0" w:type="dxa"/>
        <w:right w:w="0" w:type="dxa"/>
      </w:tblCellMar>
    </w:tblPr>
  </w:style>
  <w:style w:type="paragraph" w:customStyle="1" w:styleId="MDPItext">
    <w:name w:val="MDPI_text"/>
    <w:qFormat/>
    <w:rsid w:val="00C07039"/>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C07039"/>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C07039"/>
  </w:style>
  <w:style w:type="paragraph" w:styleId="Bibliography">
    <w:name w:val="Bibliography"/>
    <w:basedOn w:val="Normal"/>
    <w:next w:val="Normal"/>
    <w:uiPriority w:val="37"/>
    <w:semiHidden/>
    <w:unhideWhenUsed/>
    <w:rsid w:val="00C07039"/>
  </w:style>
  <w:style w:type="paragraph" w:styleId="BodyText">
    <w:name w:val="Body Text"/>
    <w:link w:val="BodyTextChar"/>
    <w:rsid w:val="00C07039"/>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C07039"/>
    <w:rPr>
      <w:rFonts w:ascii="Palatino Linotype" w:hAnsi="Palatino Linotype"/>
      <w:color w:val="000000"/>
      <w:sz w:val="24"/>
      <w:lang w:eastAsia="de-DE"/>
    </w:rPr>
  </w:style>
  <w:style w:type="character" w:styleId="CommentReference">
    <w:name w:val="annotation reference"/>
    <w:uiPriority w:val="99"/>
    <w:rsid w:val="00C07039"/>
    <w:rPr>
      <w:sz w:val="21"/>
      <w:szCs w:val="21"/>
    </w:rPr>
  </w:style>
  <w:style w:type="paragraph" w:styleId="CommentText">
    <w:name w:val="annotation text"/>
    <w:basedOn w:val="Normal"/>
    <w:link w:val="CommentTextChar"/>
    <w:uiPriority w:val="99"/>
    <w:rsid w:val="00C07039"/>
  </w:style>
  <w:style w:type="character" w:customStyle="1" w:styleId="CommentTextChar">
    <w:name w:val="Comment Text Char"/>
    <w:link w:val="CommentText"/>
    <w:uiPriority w:val="99"/>
    <w:rsid w:val="00C07039"/>
    <w:rPr>
      <w:rFonts w:ascii="Palatino Linotype" w:hAnsi="Palatino Linotype"/>
      <w:noProof/>
      <w:color w:val="000000"/>
    </w:rPr>
  </w:style>
  <w:style w:type="paragraph" w:styleId="CommentSubject">
    <w:name w:val="annotation subject"/>
    <w:basedOn w:val="CommentText"/>
    <w:next w:val="CommentText"/>
    <w:link w:val="CommentSubjectChar"/>
    <w:uiPriority w:val="99"/>
    <w:rsid w:val="00C07039"/>
    <w:rPr>
      <w:b/>
      <w:bCs/>
    </w:rPr>
  </w:style>
  <w:style w:type="character" w:customStyle="1" w:styleId="CommentSubjectChar">
    <w:name w:val="Comment Subject Char"/>
    <w:link w:val="CommentSubject"/>
    <w:uiPriority w:val="99"/>
    <w:rsid w:val="00C07039"/>
    <w:rPr>
      <w:rFonts w:ascii="Palatino Linotype" w:hAnsi="Palatino Linotype"/>
      <w:b/>
      <w:bCs/>
      <w:noProof/>
      <w:color w:val="000000"/>
    </w:rPr>
  </w:style>
  <w:style w:type="character" w:styleId="EndnoteReference">
    <w:name w:val="endnote reference"/>
    <w:rsid w:val="00C07039"/>
    <w:rPr>
      <w:vertAlign w:val="superscript"/>
    </w:rPr>
  </w:style>
  <w:style w:type="paragraph" w:styleId="EndnoteText">
    <w:name w:val="endnote text"/>
    <w:basedOn w:val="Normal"/>
    <w:link w:val="EndnoteTextChar"/>
    <w:semiHidden/>
    <w:unhideWhenUsed/>
    <w:rsid w:val="00C07039"/>
    <w:pPr>
      <w:spacing w:line="240" w:lineRule="auto"/>
    </w:pPr>
  </w:style>
  <w:style w:type="character" w:customStyle="1" w:styleId="EndnoteTextChar">
    <w:name w:val="Endnote Text Char"/>
    <w:link w:val="EndnoteText"/>
    <w:semiHidden/>
    <w:rsid w:val="00C07039"/>
    <w:rPr>
      <w:rFonts w:ascii="Palatino Linotype" w:hAnsi="Palatino Linotype"/>
      <w:noProof/>
      <w:color w:val="000000"/>
    </w:rPr>
  </w:style>
  <w:style w:type="character" w:styleId="FollowedHyperlink">
    <w:name w:val="FollowedHyperlink"/>
    <w:uiPriority w:val="99"/>
    <w:rsid w:val="00C07039"/>
    <w:rPr>
      <w:color w:val="954F72"/>
      <w:u w:val="single"/>
    </w:rPr>
  </w:style>
  <w:style w:type="paragraph" w:styleId="FootnoteText">
    <w:name w:val="footnote text"/>
    <w:basedOn w:val="Normal"/>
    <w:link w:val="FootnoteTextChar"/>
    <w:semiHidden/>
    <w:unhideWhenUsed/>
    <w:rsid w:val="00C07039"/>
    <w:pPr>
      <w:spacing w:line="240" w:lineRule="auto"/>
    </w:pPr>
  </w:style>
  <w:style w:type="character" w:customStyle="1" w:styleId="FootnoteTextChar">
    <w:name w:val="Footnote Text Char"/>
    <w:link w:val="FootnoteText"/>
    <w:semiHidden/>
    <w:rsid w:val="00C07039"/>
    <w:rPr>
      <w:rFonts w:ascii="Palatino Linotype" w:hAnsi="Palatino Linotype"/>
      <w:noProof/>
      <w:color w:val="000000"/>
    </w:rPr>
  </w:style>
  <w:style w:type="paragraph" w:styleId="NormalWeb">
    <w:name w:val="Normal (Web)"/>
    <w:basedOn w:val="Normal"/>
    <w:uiPriority w:val="99"/>
    <w:rsid w:val="00C07039"/>
    <w:rPr>
      <w:szCs w:val="24"/>
    </w:rPr>
  </w:style>
  <w:style w:type="paragraph" w:customStyle="1" w:styleId="MsoFootnoteText0">
    <w:name w:val="MsoFootnoteText"/>
    <w:basedOn w:val="NormalWeb"/>
    <w:qFormat/>
    <w:rsid w:val="00C07039"/>
    <w:rPr>
      <w:rFonts w:ascii="Times New Roman" w:hAnsi="Times New Roman"/>
    </w:rPr>
  </w:style>
  <w:style w:type="character" w:styleId="PageNumber">
    <w:name w:val="page number"/>
    <w:rsid w:val="00C07039"/>
  </w:style>
  <w:style w:type="character" w:styleId="PlaceholderText">
    <w:name w:val="Placeholder Text"/>
    <w:uiPriority w:val="99"/>
    <w:semiHidden/>
    <w:rsid w:val="00C07039"/>
    <w:rPr>
      <w:color w:val="808080"/>
    </w:rPr>
  </w:style>
  <w:style w:type="character" w:customStyle="1" w:styleId="Heading3Char">
    <w:name w:val="Heading 3 Char"/>
    <w:basedOn w:val="DefaultParagraphFont"/>
    <w:link w:val="Heading3"/>
    <w:uiPriority w:val="9"/>
    <w:semiHidden/>
    <w:rsid w:val="00BB6AA7"/>
    <w:rPr>
      <w:rFonts w:asciiTheme="majorHAnsi" w:eastAsiaTheme="majorEastAsia" w:hAnsiTheme="majorHAnsi" w:cstheme="majorBidi"/>
      <w:noProof/>
      <w:color w:val="1F3763" w:themeColor="accent1" w:themeShade="7F"/>
      <w:sz w:val="24"/>
      <w:szCs w:val="24"/>
      <w:lang w:eastAsia="zh-CN"/>
    </w:rPr>
  </w:style>
  <w:style w:type="paragraph" w:styleId="Revision">
    <w:name w:val="Revision"/>
    <w:hidden/>
    <w:uiPriority w:val="99"/>
    <w:semiHidden/>
    <w:rsid w:val="009E60F4"/>
    <w:rPr>
      <w:rFonts w:ascii="Palatino Linotype" w:hAnsi="Palatino Linotype"/>
      <w:noProof/>
      <w:color w:val="000000"/>
      <w:lang w:eastAsia="zh-CN"/>
    </w:rPr>
  </w:style>
  <w:style w:type="character" w:customStyle="1" w:styleId="Heading1Char">
    <w:name w:val="Heading 1 Char"/>
    <w:basedOn w:val="DefaultParagraphFont"/>
    <w:link w:val="Heading1"/>
    <w:uiPriority w:val="9"/>
    <w:rsid w:val="003E476B"/>
    <w:rPr>
      <w:rFonts w:ascii="Arial" w:eastAsia="Arial" w:hAnsi="Arial" w:cs="Arial"/>
      <w:sz w:val="40"/>
      <w:szCs w:val="40"/>
      <w:lang w:val="en"/>
    </w:rPr>
  </w:style>
  <w:style w:type="character" w:customStyle="1" w:styleId="Heading2Char">
    <w:name w:val="Heading 2 Char"/>
    <w:basedOn w:val="DefaultParagraphFont"/>
    <w:link w:val="Heading2"/>
    <w:uiPriority w:val="9"/>
    <w:rsid w:val="003E476B"/>
    <w:rPr>
      <w:rFonts w:ascii="Arial" w:eastAsia="Arial" w:hAnsi="Arial" w:cs="Arial"/>
      <w:sz w:val="32"/>
      <w:szCs w:val="32"/>
      <w:lang w:val="en"/>
    </w:rPr>
  </w:style>
  <w:style w:type="character" w:customStyle="1" w:styleId="Heading4Char">
    <w:name w:val="Heading 4 Char"/>
    <w:basedOn w:val="DefaultParagraphFont"/>
    <w:link w:val="Heading4"/>
    <w:uiPriority w:val="9"/>
    <w:semiHidden/>
    <w:rsid w:val="003E476B"/>
    <w:rPr>
      <w:rFonts w:ascii="Arial" w:eastAsia="Arial" w:hAnsi="Arial" w:cs="Arial"/>
      <w:color w:val="666666"/>
      <w:sz w:val="24"/>
      <w:szCs w:val="24"/>
      <w:lang w:val="en"/>
    </w:rPr>
  </w:style>
  <w:style w:type="character" w:customStyle="1" w:styleId="Heading5Char">
    <w:name w:val="Heading 5 Char"/>
    <w:basedOn w:val="DefaultParagraphFont"/>
    <w:link w:val="Heading5"/>
    <w:uiPriority w:val="9"/>
    <w:semiHidden/>
    <w:rsid w:val="003E476B"/>
    <w:rPr>
      <w:rFonts w:ascii="Arial" w:eastAsia="Arial" w:hAnsi="Arial" w:cs="Arial"/>
      <w:color w:val="666666"/>
      <w:sz w:val="22"/>
      <w:szCs w:val="22"/>
      <w:lang w:val="en"/>
    </w:rPr>
  </w:style>
  <w:style w:type="character" w:customStyle="1" w:styleId="Heading6Char">
    <w:name w:val="Heading 6 Char"/>
    <w:basedOn w:val="DefaultParagraphFont"/>
    <w:link w:val="Heading6"/>
    <w:uiPriority w:val="9"/>
    <w:semiHidden/>
    <w:rsid w:val="003E476B"/>
    <w:rPr>
      <w:rFonts w:ascii="Arial" w:eastAsia="Arial" w:hAnsi="Arial" w:cs="Arial"/>
      <w:i/>
      <w:color w:val="666666"/>
      <w:sz w:val="22"/>
      <w:szCs w:val="22"/>
      <w:lang w:val="en"/>
    </w:rPr>
  </w:style>
  <w:style w:type="paragraph" w:styleId="Title">
    <w:name w:val="Title"/>
    <w:basedOn w:val="Normal"/>
    <w:next w:val="Normal"/>
    <w:link w:val="TitleChar"/>
    <w:uiPriority w:val="10"/>
    <w:qFormat/>
    <w:rsid w:val="003E476B"/>
    <w:pPr>
      <w:keepNext/>
      <w:keepLines/>
      <w:spacing w:after="60" w:line="276" w:lineRule="auto"/>
      <w:jc w:val="left"/>
    </w:pPr>
    <w:rPr>
      <w:rFonts w:ascii="Arial" w:eastAsia="Arial" w:hAnsi="Arial" w:cs="Arial"/>
      <w:noProof w:val="0"/>
      <w:color w:val="auto"/>
      <w:sz w:val="52"/>
      <w:szCs w:val="52"/>
      <w:lang w:val="en" w:eastAsia="en-US"/>
    </w:rPr>
  </w:style>
  <w:style w:type="character" w:customStyle="1" w:styleId="TitleChar">
    <w:name w:val="Title Char"/>
    <w:basedOn w:val="DefaultParagraphFont"/>
    <w:link w:val="Title"/>
    <w:uiPriority w:val="10"/>
    <w:rsid w:val="003E476B"/>
    <w:rPr>
      <w:rFonts w:ascii="Arial" w:eastAsia="Arial" w:hAnsi="Arial" w:cs="Arial"/>
      <w:sz w:val="52"/>
      <w:szCs w:val="52"/>
      <w:lang w:val="en"/>
    </w:rPr>
  </w:style>
  <w:style w:type="paragraph" w:styleId="Subtitle">
    <w:name w:val="Subtitle"/>
    <w:basedOn w:val="Normal"/>
    <w:next w:val="Normal"/>
    <w:link w:val="SubtitleChar"/>
    <w:uiPriority w:val="11"/>
    <w:qFormat/>
    <w:rsid w:val="003E476B"/>
    <w:pPr>
      <w:keepNext/>
      <w:keepLines/>
      <w:spacing w:after="320" w:line="276" w:lineRule="auto"/>
      <w:jc w:val="left"/>
    </w:pPr>
    <w:rPr>
      <w:rFonts w:ascii="Arial" w:eastAsia="Arial" w:hAnsi="Arial" w:cs="Arial"/>
      <w:noProof w:val="0"/>
      <w:color w:val="666666"/>
      <w:sz w:val="30"/>
      <w:szCs w:val="30"/>
      <w:lang w:val="en" w:eastAsia="en-US"/>
    </w:rPr>
  </w:style>
  <w:style w:type="character" w:customStyle="1" w:styleId="SubtitleChar">
    <w:name w:val="Subtitle Char"/>
    <w:basedOn w:val="DefaultParagraphFont"/>
    <w:link w:val="Subtitle"/>
    <w:uiPriority w:val="11"/>
    <w:rsid w:val="003E476B"/>
    <w:rPr>
      <w:rFonts w:ascii="Arial" w:eastAsia="Arial" w:hAnsi="Arial" w:cs="Arial"/>
      <w:color w:val="666666"/>
      <w:sz w:val="30"/>
      <w:szCs w:val="30"/>
      <w:lang w:val="en"/>
    </w:rPr>
  </w:style>
  <w:style w:type="paragraph" w:styleId="ListParagraph">
    <w:name w:val="List Paragraph"/>
    <w:basedOn w:val="Normal"/>
    <w:uiPriority w:val="34"/>
    <w:qFormat/>
    <w:rsid w:val="003E476B"/>
    <w:pPr>
      <w:spacing w:line="276" w:lineRule="auto"/>
      <w:ind w:left="720"/>
      <w:contextualSpacing/>
      <w:jc w:val="left"/>
    </w:pPr>
    <w:rPr>
      <w:rFonts w:ascii="Arial" w:eastAsia="Arial" w:hAnsi="Arial" w:cs="Arial"/>
      <w:noProof w:val="0"/>
      <w:color w:val="auto"/>
      <w:sz w:val="22"/>
      <w:szCs w:val="22"/>
      <w:lang w:val="en"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5628683">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image" Target="media/image11.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oter" Target="footer1.xml"/><Relationship Id="rId10" Type="http://schemas.openxmlformats.org/officeDocument/2006/relationships/image" Target="media/image4.jpeg"/><Relationship Id="rId19" Type="http://schemas.openxmlformats.org/officeDocument/2006/relationships/hyperlink" Target="https://paperpile.com/c/Siitmp/HQIvp"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eader" Target="header1.xml"/></Relationships>
</file>

<file path=word/_rels/header2.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35</TotalTime>
  <Pages>7</Pages>
  <Words>830</Words>
  <Characters>4645</Characters>
  <Application>Microsoft Office Word</Application>
  <DocSecurity>0</DocSecurity>
  <Lines>71</Lines>
  <Paragraphs>12</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5485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Microsoft Office User</dc:creator>
  <cp:keywords/>
  <dc:description/>
  <cp:lastModifiedBy>MDPI</cp:lastModifiedBy>
  <cp:revision>11</cp:revision>
  <dcterms:created xsi:type="dcterms:W3CDTF">2021-01-31T21:40:00Z</dcterms:created>
  <dcterms:modified xsi:type="dcterms:W3CDTF">2021-02-09T02:38:00Z</dcterms:modified>
</cp:coreProperties>
</file>