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51C4B" w14:textId="29F379CF" w:rsidR="00F618CA" w:rsidRPr="00327033" w:rsidRDefault="00700A71" w:rsidP="00522B8D">
      <w:pPr>
        <w:spacing w:line="276" w:lineRule="auto"/>
        <w:jc w:val="both"/>
        <w:rPr>
          <w:rFonts w:cstheme="minorHAnsi"/>
          <w:sz w:val="20"/>
          <w:szCs w:val="20"/>
        </w:rPr>
      </w:pPr>
      <w:r w:rsidRPr="00937458">
        <w:rPr>
          <w:rFonts w:cstheme="minorHAnsi"/>
          <w:b/>
          <w:bCs/>
          <w:sz w:val="20"/>
          <w:szCs w:val="20"/>
        </w:rPr>
        <w:t xml:space="preserve">Supplementary Table </w:t>
      </w:r>
      <w:r w:rsidR="001215BE">
        <w:rPr>
          <w:rFonts w:cstheme="minorHAnsi"/>
          <w:b/>
          <w:bCs/>
          <w:sz w:val="20"/>
          <w:szCs w:val="20"/>
        </w:rPr>
        <w:t>5</w:t>
      </w:r>
      <w:r w:rsidR="00937458" w:rsidRPr="00937458">
        <w:rPr>
          <w:rFonts w:cstheme="minorHAnsi"/>
          <w:b/>
          <w:bCs/>
          <w:sz w:val="20"/>
          <w:szCs w:val="20"/>
        </w:rPr>
        <w:t>.</w:t>
      </w:r>
      <w:r w:rsidR="00937458" w:rsidRPr="00937458">
        <w:rPr>
          <w:rFonts w:cstheme="minorHAnsi"/>
          <w:sz w:val="20"/>
          <w:szCs w:val="20"/>
        </w:rPr>
        <w:t xml:space="preserve"> </w:t>
      </w:r>
      <w:r w:rsidR="000038EE">
        <w:rPr>
          <w:rFonts w:cstheme="minorHAnsi"/>
          <w:sz w:val="20"/>
          <w:szCs w:val="20"/>
        </w:rPr>
        <w:t xml:space="preserve">Percentages of predicted gene counts assigned to second level KO categories in the metagenomic dataset retrieved from </w:t>
      </w:r>
      <w:proofErr w:type="spellStart"/>
      <w:r w:rsidR="0061269F">
        <w:rPr>
          <w:rFonts w:cstheme="minorHAnsi"/>
          <w:sz w:val="20"/>
          <w:szCs w:val="20"/>
        </w:rPr>
        <w:t>PICRUSt</w:t>
      </w:r>
      <w:proofErr w:type="spellEnd"/>
      <w:r w:rsidR="0061269F">
        <w:rPr>
          <w:rFonts w:cstheme="minorHAnsi"/>
          <w:sz w:val="20"/>
          <w:szCs w:val="20"/>
        </w:rPr>
        <w:t xml:space="preserve"> predictions on 16S rRNA gene dataset from </w:t>
      </w:r>
      <w:r w:rsidR="000038EE">
        <w:rPr>
          <w:rFonts w:cstheme="minorHAnsi"/>
          <w:sz w:val="20"/>
          <w:szCs w:val="20"/>
        </w:rPr>
        <w:t>60 fecal samples from small Indian mongooses.</w:t>
      </w:r>
    </w:p>
    <w:p w14:paraId="06BB3334" w14:textId="77777777" w:rsidR="00700A71" w:rsidRPr="00937458" w:rsidRDefault="00700A71" w:rsidP="00522B8D">
      <w:pPr>
        <w:spacing w:line="276" w:lineRule="auto"/>
        <w:rPr>
          <w:rFonts w:cstheme="minorHAnsi"/>
          <w:sz w:val="20"/>
          <w:szCs w:val="20"/>
        </w:rPr>
      </w:pPr>
    </w:p>
    <w:tbl>
      <w:tblPr>
        <w:tblStyle w:val="PlainTable2"/>
        <w:tblW w:w="6241" w:type="dxa"/>
        <w:tblLook w:val="04A0" w:firstRow="1" w:lastRow="0" w:firstColumn="1" w:lastColumn="0" w:noHBand="0" w:noVBand="1"/>
      </w:tblPr>
      <w:tblGrid>
        <w:gridCol w:w="4253"/>
        <w:gridCol w:w="1988"/>
      </w:tblGrid>
      <w:tr w:rsidR="005430AD" w:rsidRPr="00937458" w14:paraId="5C2E500B" w14:textId="77777777" w:rsidTr="00B35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single" w:sz="18" w:space="0" w:color="auto"/>
              <w:bottom w:val="single" w:sz="18" w:space="0" w:color="auto"/>
            </w:tcBorders>
          </w:tcPr>
          <w:p w14:paraId="56A81014" w14:textId="77777777" w:rsidR="005430AD" w:rsidRPr="005430AD" w:rsidRDefault="005430AD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Function</w:t>
            </w:r>
            <w:r>
              <w:rPr>
                <w:rFonts w:cstheme="minorHAnsi"/>
                <w:b w:val="0"/>
                <w:bCs w:val="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988" w:type="dxa"/>
            <w:tcBorders>
              <w:top w:val="single" w:sz="18" w:space="0" w:color="auto"/>
              <w:bottom w:val="single" w:sz="18" w:space="0" w:color="auto"/>
            </w:tcBorders>
          </w:tcPr>
          <w:p w14:paraId="087DC655" w14:textId="77777777" w:rsidR="005430AD" w:rsidRPr="00937458" w:rsidRDefault="005430AD" w:rsidP="00522B8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Total dataset</w:t>
            </w:r>
            <w:r w:rsidR="00B35CE7">
              <w:rPr>
                <w:rFonts w:cstheme="minorHAnsi"/>
                <w:sz w:val="20"/>
                <w:szCs w:val="20"/>
              </w:rPr>
              <w:t xml:space="preserve"> (n=60)</w:t>
            </w:r>
          </w:p>
        </w:tc>
      </w:tr>
      <w:tr w:rsidR="005430AD" w:rsidRPr="00937458" w14:paraId="6FDD54CC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single" w:sz="18" w:space="0" w:color="auto"/>
              <w:bottom w:val="nil"/>
            </w:tcBorders>
          </w:tcPr>
          <w:p w14:paraId="77C1936E" w14:textId="77777777" w:rsidR="005430AD" w:rsidRPr="00B35CE7" w:rsidRDefault="005430AD" w:rsidP="00522B8D">
            <w:pPr>
              <w:spacing w:line="276" w:lineRule="auto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Metabolism</w:t>
            </w:r>
            <w:r w:rsidR="00B35CE7" w:rsidRPr="00B35CE7">
              <w:rPr>
                <w:rFonts w:cstheme="minorHAnsi"/>
                <w:b w:val="0"/>
                <w:bCs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8" w:type="dxa"/>
            <w:tcBorders>
              <w:top w:val="single" w:sz="18" w:space="0" w:color="auto"/>
              <w:bottom w:val="nil"/>
            </w:tcBorders>
          </w:tcPr>
          <w:p w14:paraId="5841D035" w14:textId="77777777" w:rsidR="005430AD" w:rsidRPr="005235EB" w:rsidRDefault="003A24A5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5235EB">
              <w:rPr>
                <w:rFonts w:cstheme="minorHAnsi"/>
                <w:b/>
                <w:bCs/>
                <w:sz w:val="20"/>
                <w:szCs w:val="20"/>
              </w:rPr>
              <w:t>55.69</w:t>
            </w:r>
          </w:p>
        </w:tc>
      </w:tr>
      <w:tr w:rsidR="005430AD" w:rsidRPr="00937458" w14:paraId="146E31C8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190B0442" w14:textId="77777777" w:rsidR="005430AD" w:rsidRPr="005430AD" w:rsidRDefault="005430AD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Amino acid metabolism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56AF0C0D" w14:textId="77777777" w:rsidR="005430AD" w:rsidRPr="00937458" w:rsidRDefault="00D10EE8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11.27</w:t>
            </w:r>
          </w:p>
        </w:tc>
      </w:tr>
      <w:tr w:rsidR="005430AD" w:rsidRPr="00937458" w14:paraId="105F0F5B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62787E13" w14:textId="77777777" w:rsidR="005430AD" w:rsidRPr="005430AD" w:rsidRDefault="005430AD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Biosynthesis of other secondary metabolites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389967D" w14:textId="77777777" w:rsidR="005430AD" w:rsidRPr="00937458" w:rsidRDefault="00D10EE8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1.03</w:t>
            </w:r>
          </w:p>
        </w:tc>
      </w:tr>
      <w:tr w:rsidR="005430AD" w:rsidRPr="00937458" w14:paraId="2152514F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29DCD6A6" w14:textId="77777777" w:rsidR="005430AD" w:rsidRPr="005430AD" w:rsidRDefault="005430AD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Carbohydrate metabolism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82367D0" w14:textId="77777777" w:rsidR="005430AD" w:rsidRPr="00937458" w:rsidRDefault="00D10EE8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13.20</w:t>
            </w:r>
          </w:p>
        </w:tc>
      </w:tr>
      <w:tr w:rsidR="005430AD" w:rsidRPr="00937458" w14:paraId="04C8E19E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6E0606C2" w14:textId="77777777" w:rsidR="005430AD" w:rsidRPr="005430AD" w:rsidRDefault="005430AD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Energy metabolism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783E301E" w14:textId="77777777" w:rsidR="005430AD" w:rsidRPr="00937458" w:rsidRDefault="00D10EE8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6.61</w:t>
            </w:r>
          </w:p>
        </w:tc>
      </w:tr>
      <w:tr w:rsidR="005430AD" w:rsidRPr="00937458" w14:paraId="4FF23C80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29842179" w14:textId="77777777" w:rsidR="005430AD" w:rsidRPr="005430AD" w:rsidRDefault="005430AD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Enzyme families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D04E5D7" w14:textId="77777777" w:rsidR="005430AD" w:rsidRPr="00937458" w:rsidRDefault="00D10EE8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2.52</w:t>
            </w:r>
          </w:p>
        </w:tc>
      </w:tr>
      <w:tr w:rsidR="005430AD" w:rsidRPr="00937458" w14:paraId="1408A8E4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1B07DAB6" w14:textId="77777777" w:rsidR="005430AD" w:rsidRPr="005430AD" w:rsidRDefault="005430AD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Glycan Biosynthesis and metabolism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175E344A" w14:textId="77777777" w:rsidR="005430AD" w:rsidRPr="00937458" w:rsidRDefault="00D10EE8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2.05</w:t>
            </w:r>
          </w:p>
        </w:tc>
      </w:tr>
      <w:tr w:rsidR="005430AD" w:rsidRPr="00937458" w14:paraId="17A1A499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2B43FA89" w14:textId="77777777" w:rsidR="005430AD" w:rsidRPr="005430AD" w:rsidRDefault="005430AD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Lipid metabolism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69EF2D16" w14:textId="77777777" w:rsidR="005430AD" w:rsidRPr="00937458" w:rsidRDefault="00D10EE8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3.44</w:t>
            </w:r>
          </w:p>
        </w:tc>
      </w:tr>
      <w:tr w:rsidR="005430AD" w:rsidRPr="00937458" w14:paraId="7B3803F4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2F3441DF" w14:textId="77777777" w:rsidR="005430AD" w:rsidRPr="005430AD" w:rsidRDefault="0066498E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Metabolism of cofactors and vitamins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2CFDC03" w14:textId="77777777" w:rsidR="005430AD" w:rsidRPr="00937458" w:rsidRDefault="00D10EE8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4.93</w:t>
            </w:r>
          </w:p>
        </w:tc>
      </w:tr>
      <w:tr w:rsidR="0066498E" w:rsidRPr="00937458" w14:paraId="269B4131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2EFC8F92" w14:textId="77777777" w:rsidR="0066498E" w:rsidRDefault="0066498E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Metabolism of other amino acids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2A1C9C0C" w14:textId="77777777" w:rsidR="0066498E" w:rsidRPr="00937458" w:rsidRDefault="00D10EE8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1.82</w:t>
            </w:r>
          </w:p>
        </w:tc>
      </w:tr>
      <w:tr w:rsidR="0066498E" w:rsidRPr="00937458" w14:paraId="26CB9092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2D20BD8F" w14:textId="77777777" w:rsidR="0066498E" w:rsidRDefault="0066498E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Metabolism of terpenoids and polyketides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5C14D8BC" w14:textId="77777777" w:rsidR="0066498E" w:rsidRPr="00937458" w:rsidRDefault="00D10EE8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1.92</w:t>
            </w:r>
          </w:p>
        </w:tc>
      </w:tr>
      <w:tr w:rsidR="0066498E" w:rsidRPr="00937458" w14:paraId="58E01C2A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6A75F692" w14:textId="77777777" w:rsidR="0066498E" w:rsidRDefault="0066498E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Nucleotide metabolism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A812E75" w14:textId="77777777" w:rsidR="0066498E" w:rsidRPr="00937458" w:rsidRDefault="00D10EE8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4.34</w:t>
            </w:r>
          </w:p>
        </w:tc>
      </w:tr>
      <w:tr w:rsidR="0066498E" w:rsidRPr="00937458" w14:paraId="7E4E6FA8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single" w:sz="4" w:space="0" w:color="auto"/>
            </w:tcBorders>
          </w:tcPr>
          <w:p w14:paraId="28A5530C" w14:textId="77777777" w:rsidR="0066498E" w:rsidRDefault="0066498E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Xenobiotics biodegradation and metabolism</w:t>
            </w:r>
          </w:p>
        </w:tc>
        <w:tc>
          <w:tcPr>
            <w:tcW w:w="1988" w:type="dxa"/>
            <w:tcBorders>
              <w:top w:val="nil"/>
              <w:bottom w:val="single" w:sz="4" w:space="0" w:color="auto"/>
            </w:tcBorders>
          </w:tcPr>
          <w:p w14:paraId="696FBA64" w14:textId="77777777" w:rsidR="0066498E" w:rsidRPr="00937458" w:rsidRDefault="00D10EE8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2.56</w:t>
            </w:r>
          </w:p>
        </w:tc>
      </w:tr>
      <w:tr w:rsidR="0066498E" w:rsidRPr="00937458" w14:paraId="385CF075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single" w:sz="4" w:space="0" w:color="auto"/>
              <w:bottom w:val="nil"/>
            </w:tcBorders>
          </w:tcPr>
          <w:p w14:paraId="221E7E5D" w14:textId="77777777" w:rsidR="0066498E" w:rsidRPr="00B35CE7" w:rsidRDefault="009E3BB2" w:rsidP="00522B8D">
            <w:pPr>
              <w:spacing w:line="276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9E3BB2">
              <w:rPr>
                <w:rFonts w:cstheme="minorHAnsi"/>
                <w:sz w:val="20"/>
                <w:szCs w:val="20"/>
              </w:rPr>
              <w:t>Genetic Information Processing</w:t>
            </w:r>
            <w:r w:rsidR="00B35CE7" w:rsidRPr="00B35CE7">
              <w:rPr>
                <w:rFonts w:cstheme="minorHAnsi"/>
                <w:b w:val="0"/>
                <w:bCs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bottom w:val="nil"/>
            </w:tcBorders>
          </w:tcPr>
          <w:p w14:paraId="06E272DB" w14:textId="77777777" w:rsidR="0066498E" w:rsidRPr="005235EB" w:rsidRDefault="009E3BB2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5235EB">
              <w:rPr>
                <w:rFonts w:cstheme="minorHAnsi"/>
                <w:b/>
                <w:bCs/>
                <w:sz w:val="20"/>
                <w:szCs w:val="20"/>
              </w:rPr>
              <w:t>21.33</w:t>
            </w:r>
          </w:p>
        </w:tc>
      </w:tr>
      <w:tr w:rsidR="0066498E" w:rsidRPr="00937458" w14:paraId="39D1E2A1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60819B7C" w14:textId="77777777" w:rsidR="0066498E" w:rsidRDefault="005B0524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Folding, sorting and degradation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6736BBDC" w14:textId="77777777" w:rsidR="0066498E" w:rsidRPr="00937458" w:rsidRDefault="005235EB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2.62</w:t>
            </w:r>
          </w:p>
        </w:tc>
      </w:tr>
      <w:tr w:rsidR="0066498E" w:rsidRPr="00937458" w14:paraId="2D54F310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43F0100E" w14:textId="77777777" w:rsidR="0066498E" w:rsidRDefault="005B0524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Replication and repair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6BA4D38F" w14:textId="77777777" w:rsidR="0066498E" w:rsidRPr="00937458" w:rsidRDefault="005235EB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9.30</w:t>
            </w:r>
          </w:p>
        </w:tc>
      </w:tr>
      <w:tr w:rsidR="0066498E" w:rsidRPr="00937458" w14:paraId="17DF911B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2EFD65AF" w14:textId="77777777" w:rsidR="0066498E" w:rsidRDefault="005B0524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Transcription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4A32BF3E" w14:textId="77777777" w:rsidR="0066498E" w:rsidRPr="00937458" w:rsidRDefault="005235EB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3.61</w:t>
            </w:r>
          </w:p>
        </w:tc>
      </w:tr>
      <w:tr w:rsidR="005B0524" w:rsidRPr="00937458" w14:paraId="09B342DB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single" w:sz="4" w:space="0" w:color="auto"/>
            </w:tcBorders>
          </w:tcPr>
          <w:p w14:paraId="76CE7BA4" w14:textId="77777777" w:rsidR="005B0524" w:rsidRDefault="005B0524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Translation</w:t>
            </w:r>
          </w:p>
        </w:tc>
        <w:tc>
          <w:tcPr>
            <w:tcW w:w="1988" w:type="dxa"/>
            <w:tcBorders>
              <w:top w:val="nil"/>
              <w:bottom w:val="single" w:sz="4" w:space="0" w:color="auto"/>
            </w:tcBorders>
          </w:tcPr>
          <w:p w14:paraId="6A6A43AD" w14:textId="77777777" w:rsidR="005B0524" w:rsidRPr="00937458" w:rsidRDefault="005235EB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5.80</w:t>
            </w:r>
          </w:p>
        </w:tc>
      </w:tr>
      <w:tr w:rsidR="005B0524" w:rsidRPr="00937458" w14:paraId="11C9B49D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single" w:sz="4" w:space="0" w:color="auto"/>
              <w:bottom w:val="nil"/>
            </w:tcBorders>
          </w:tcPr>
          <w:p w14:paraId="3D187A77" w14:textId="77777777" w:rsidR="005B0524" w:rsidRPr="00B35CE7" w:rsidRDefault="005B0524" w:rsidP="00522B8D">
            <w:pPr>
              <w:spacing w:line="276" w:lineRule="auto"/>
              <w:rPr>
                <w:rFonts w:cstheme="minorHAnsi"/>
                <w:sz w:val="20"/>
                <w:szCs w:val="20"/>
                <w:vertAlign w:val="superscript"/>
              </w:rPr>
            </w:pPr>
            <w:r>
              <w:rPr>
                <w:rFonts w:cstheme="minorHAnsi"/>
                <w:sz w:val="20"/>
                <w:szCs w:val="20"/>
              </w:rPr>
              <w:t>Environmental Information Processing</w:t>
            </w:r>
            <w:r w:rsidR="00B35CE7" w:rsidRPr="00B35CE7">
              <w:rPr>
                <w:rFonts w:cstheme="minorHAnsi"/>
                <w:b w:val="0"/>
                <w:bCs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bottom w:val="nil"/>
            </w:tcBorders>
          </w:tcPr>
          <w:p w14:paraId="6F1EF5D4" w14:textId="77777777" w:rsidR="005B0524" w:rsidRPr="005235EB" w:rsidRDefault="005B0524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5235EB">
              <w:rPr>
                <w:rFonts w:cstheme="minorHAnsi"/>
                <w:b/>
                <w:bCs/>
                <w:sz w:val="20"/>
                <w:szCs w:val="20"/>
              </w:rPr>
              <w:t>19.82</w:t>
            </w:r>
          </w:p>
        </w:tc>
      </w:tr>
      <w:tr w:rsidR="005B0524" w:rsidRPr="00937458" w14:paraId="4B143B0C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0222A269" w14:textId="77777777" w:rsidR="005B0524" w:rsidRDefault="005B0524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Membrane transport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5BD528A" w14:textId="77777777" w:rsidR="005B0524" w:rsidRPr="00937458" w:rsidRDefault="005235EB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17.51</w:t>
            </w:r>
          </w:p>
        </w:tc>
      </w:tr>
      <w:tr w:rsidR="005B0524" w:rsidRPr="00937458" w14:paraId="29479AAA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622A0DB2" w14:textId="77777777" w:rsidR="005B0524" w:rsidRDefault="005B0524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Signal transduction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025C4820" w14:textId="77777777" w:rsidR="005B0524" w:rsidRPr="00937458" w:rsidRDefault="005235EB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</w:t>
            </w:r>
          </w:p>
        </w:tc>
      </w:tr>
      <w:tr w:rsidR="005B0524" w:rsidRPr="00937458" w14:paraId="718445BE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single" w:sz="4" w:space="0" w:color="auto"/>
            </w:tcBorders>
          </w:tcPr>
          <w:p w14:paraId="3B053797" w14:textId="77777777" w:rsidR="005B0524" w:rsidRDefault="005B0524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Signaling molecules and interaction</w:t>
            </w:r>
          </w:p>
        </w:tc>
        <w:tc>
          <w:tcPr>
            <w:tcW w:w="1988" w:type="dxa"/>
            <w:tcBorders>
              <w:top w:val="nil"/>
              <w:bottom w:val="single" w:sz="4" w:space="0" w:color="auto"/>
            </w:tcBorders>
          </w:tcPr>
          <w:p w14:paraId="52325F71" w14:textId="77777777" w:rsidR="005B0524" w:rsidRPr="00937458" w:rsidRDefault="005235EB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0.20</w:t>
            </w:r>
          </w:p>
        </w:tc>
      </w:tr>
      <w:tr w:rsidR="001B00FB" w:rsidRPr="00937458" w14:paraId="17872681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single" w:sz="4" w:space="0" w:color="auto"/>
              <w:bottom w:val="nil"/>
            </w:tcBorders>
          </w:tcPr>
          <w:p w14:paraId="7A74861A" w14:textId="77777777" w:rsidR="001B00FB" w:rsidRPr="00B35CE7" w:rsidRDefault="001B00FB" w:rsidP="00522B8D">
            <w:pPr>
              <w:spacing w:line="276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1B00FB">
              <w:rPr>
                <w:rFonts w:cstheme="minorHAnsi"/>
                <w:sz w:val="20"/>
                <w:szCs w:val="20"/>
              </w:rPr>
              <w:t>Cellular Processes</w:t>
            </w:r>
            <w:r w:rsidR="00B35CE7" w:rsidRPr="00B35CE7">
              <w:rPr>
                <w:rFonts w:cstheme="minorHAnsi"/>
                <w:b w:val="0"/>
                <w:bCs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bottom w:val="nil"/>
            </w:tcBorders>
          </w:tcPr>
          <w:p w14:paraId="63498BDA" w14:textId="77777777" w:rsidR="001B00FB" w:rsidRPr="005235EB" w:rsidRDefault="003B18F8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20"/>
                <w:szCs w:val="20"/>
              </w:rPr>
            </w:pPr>
            <w:r w:rsidRPr="005235EB">
              <w:rPr>
                <w:rFonts w:cstheme="minorHAnsi"/>
                <w:b/>
                <w:bCs/>
                <w:sz w:val="20"/>
                <w:szCs w:val="20"/>
              </w:rPr>
              <w:t>3.15</w:t>
            </w:r>
          </w:p>
        </w:tc>
      </w:tr>
      <w:tr w:rsidR="001B00FB" w:rsidRPr="00937458" w14:paraId="7382750C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36DCE374" w14:textId="77777777" w:rsidR="001B00FB" w:rsidRDefault="001B00FB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Cell growth and death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530EA2A5" w14:textId="77777777" w:rsidR="001B00FB" w:rsidRPr="00937458" w:rsidRDefault="00E57170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0.53</w:t>
            </w:r>
          </w:p>
        </w:tc>
      </w:tr>
      <w:tr w:rsidR="001B00FB" w:rsidRPr="00937458" w14:paraId="1942E41F" w14:textId="77777777" w:rsidTr="00B35C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nil"/>
            </w:tcBorders>
          </w:tcPr>
          <w:p w14:paraId="6ED136C8" w14:textId="77777777" w:rsidR="001B00FB" w:rsidRDefault="001B00FB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Cell motility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14:paraId="6B2F865F" w14:textId="77777777" w:rsidR="001B00FB" w:rsidRPr="00937458" w:rsidRDefault="00E57170" w:rsidP="00522B8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2.39</w:t>
            </w:r>
          </w:p>
        </w:tc>
      </w:tr>
      <w:tr w:rsidR="001B00FB" w:rsidRPr="00937458" w14:paraId="70BAA138" w14:textId="77777777" w:rsidTr="00B35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il"/>
              <w:bottom w:val="single" w:sz="12" w:space="0" w:color="000000"/>
            </w:tcBorders>
          </w:tcPr>
          <w:p w14:paraId="36364B9C" w14:textId="77777777" w:rsidR="001B00FB" w:rsidRDefault="001B00FB" w:rsidP="00522B8D">
            <w:pPr>
              <w:spacing w:line="276" w:lineRule="auto"/>
              <w:rPr>
                <w:rFonts w:cstheme="minorHAnsi"/>
                <w:b w:val="0"/>
                <w:bCs w:val="0"/>
                <w:sz w:val="20"/>
                <w:szCs w:val="20"/>
              </w:rPr>
            </w:pPr>
            <w:r>
              <w:rPr>
                <w:rFonts w:cstheme="minorHAnsi"/>
                <w:b w:val="0"/>
                <w:bCs w:val="0"/>
                <w:sz w:val="20"/>
                <w:szCs w:val="20"/>
              </w:rPr>
              <w:t>Transport and catabolism</w:t>
            </w:r>
          </w:p>
        </w:tc>
        <w:tc>
          <w:tcPr>
            <w:tcW w:w="1988" w:type="dxa"/>
            <w:tcBorders>
              <w:top w:val="nil"/>
              <w:bottom w:val="single" w:sz="12" w:space="0" w:color="000000"/>
            </w:tcBorders>
          </w:tcPr>
          <w:p w14:paraId="5BFF6B0C" w14:textId="77777777" w:rsidR="001B00FB" w:rsidRPr="00937458" w:rsidRDefault="00E57170" w:rsidP="00522B8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0.23</w:t>
            </w:r>
          </w:p>
        </w:tc>
      </w:tr>
    </w:tbl>
    <w:p w14:paraId="42C7D6D5" w14:textId="77777777" w:rsidR="000D0E1E" w:rsidRDefault="000D0E1E" w:rsidP="00522B8D">
      <w:pPr>
        <w:spacing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vertAlign w:val="superscript"/>
        </w:rPr>
        <w:t>1</w:t>
      </w:r>
      <w:r w:rsidR="005430AD">
        <w:rPr>
          <w:rFonts w:cstheme="minorHAnsi"/>
          <w:sz w:val="20"/>
          <w:szCs w:val="20"/>
        </w:rPr>
        <w:t>Functional categories for which no reads were assigned are omitted.</w:t>
      </w:r>
    </w:p>
    <w:p w14:paraId="07897C07" w14:textId="77777777" w:rsidR="0026495E" w:rsidRPr="0026495E" w:rsidRDefault="0026495E" w:rsidP="00522B8D">
      <w:pPr>
        <w:spacing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vertAlign w:val="superscript"/>
        </w:rPr>
        <w:t>2</w:t>
      </w:r>
      <w:r>
        <w:rPr>
          <w:rFonts w:cstheme="minorHAnsi"/>
          <w:sz w:val="20"/>
          <w:szCs w:val="20"/>
        </w:rPr>
        <w:t>Predicted function assigned at level 1 KO category.</w:t>
      </w:r>
    </w:p>
    <w:p w14:paraId="4067D96E" w14:textId="77777777" w:rsidR="00700A71" w:rsidRPr="00937458" w:rsidRDefault="00700A71" w:rsidP="00937458">
      <w:pPr>
        <w:spacing w:line="276" w:lineRule="auto"/>
        <w:rPr>
          <w:rFonts w:cstheme="minorHAnsi"/>
          <w:sz w:val="20"/>
          <w:szCs w:val="20"/>
        </w:rPr>
      </w:pPr>
    </w:p>
    <w:p w14:paraId="6B0D3656" w14:textId="77777777" w:rsidR="006634E5" w:rsidRPr="00937458" w:rsidRDefault="006634E5" w:rsidP="00937458">
      <w:pPr>
        <w:spacing w:line="276" w:lineRule="auto"/>
        <w:rPr>
          <w:rFonts w:cstheme="minorHAnsi"/>
          <w:sz w:val="20"/>
          <w:szCs w:val="20"/>
        </w:rPr>
      </w:pPr>
    </w:p>
    <w:p w14:paraId="74EA783A" w14:textId="77777777" w:rsidR="00D70BF5" w:rsidRPr="00937458" w:rsidRDefault="00D70BF5">
      <w:pPr>
        <w:spacing w:line="276" w:lineRule="auto"/>
        <w:rPr>
          <w:rFonts w:cstheme="minorHAnsi"/>
          <w:sz w:val="20"/>
          <w:szCs w:val="20"/>
        </w:rPr>
      </w:pPr>
    </w:p>
    <w:sectPr w:rsidR="00D70BF5" w:rsidRPr="00937458" w:rsidSect="003377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A71"/>
    <w:rsid w:val="000038EE"/>
    <w:rsid w:val="000D0E1E"/>
    <w:rsid w:val="000E7343"/>
    <w:rsid w:val="001215BE"/>
    <w:rsid w:val="00151E18"/>
    <w:rsid w:val="001B00FB"/>
    <w:rsid w:val="001C7A62"/>
    <w:rsid w:val="00250AD0"/>
    <w:rsid w:val="0026495E"/>
    <w:rsid w:val="00317F23"/>
    <w:rsid w:val="00327033"/>
    <w:rsid w:val="0033627F"/>
    <w:rsid w:val="003377C2"/>
    <w:rsid w:val="003773AE"/>
    <w:rsid w:val="003A24A5"/>
    <w:rsid w:val="003B18F8"/>
    <w:rsid w:val="00516B7A"/>
    <w:rsid w:val="00522B8D"/>
    <w:rsid w:val="005235EB"/>
    <w:rsid w:val="005430AD"/>
    <w:rsid w:val="005B0524"/>
    <w:rsid w:val="00607A7F"/>
    <w:rsid w:val="0061269F"/>
    <w:rsid w:val="00634546"/>
    <w:rsid w:val="006634E5"/>
    <w:rsid w:val="0066498E"/>
    <w:rsid w:val="00670E9C"/>
    <w:rsid w:val="006B5BFC"/>
    <w:rsid w:val="00700A71"/>
    <w:rsid w:val="008A185C"/>
    <w:rsid w:val="00937458"/>
    <w:rsid w:val="00993A96"/>
    <w:rsid w:val="009E3BB2"/>
    <w:rsid w:val="009E7116"/>
    <w:rsid w:val="00A57B21"/>
    <w:rsid w:val="00B35CE7"/>
    <w:rsid w:val="00BB48DC"/>
    <w:rsid w:val="00BB5445"/>
    <w:rsid w:val="00CA6AC4"/>
    <w:rsid w:val="00D10EE8"/>
    <w:rsid w:val="00D70BF5"/>
    <w:rsid w:val="00E57170"/>
    <w:rsid w:val="00F50262"/>
    <w:rsid w:val="00F8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AADBE"/>
  <w15:chartTrackingRefBased/>
  <w15:docId w15:val="{D72C43F1-E8C2-FB47-BC7E-39B51A28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9E711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B8C979-D9CB-AA4B-9A0D-B86CDD64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Anne Anna Maria Johanna</dc:creator>
  <cp:keywords/>
  <dc:description/>
  <cp:lastModifiedBy>Becker, Anne Anna Maria Johanna</cp:lastModifiedBy>
  <cp:revision>42</cp:revision>
  <dcterms:created xsi:type="dcterms:W3CDTF">2020-04-17T09:30:00Z</dcterms:created>
  <dcterms:modified xsi:type="dcterms:W3CDTF">2021-02-12T21:29:00Z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http://www.zotero.org/styles/biomed-central</vt:lpwstr>
  </property>
  <property fmtid="{D5CDD505-2E9C-101B-9397-08002B2CF9AE}" pid="11" name="Mendeley Recent Style Name 4_1">
    <vt:lpwstr>BioMed Central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http://www.zotero.org/styles/microbiome</vt:lpwstr>
  </property>
  <property fmtid="{D5CDD505-2E9C-101B-9397-08002B2CF9AE}" pid="19" name="Mendeley Recent Style Name 8_1">
    <vt:lpwstr>Microbiome</vt:lpwstr>
  </property>
  <property fmtid="{D5CDD505-2E9C-101B-9397-08002B2CF9AE}" pid="20" name="Mendeley Recent Style Id 9_1">
    <vt:lpwstr>http://www.zotero.org/styles/plos-one</vt:lpwstr>
  </property>
  <property fmtid="{D5CDD505-2E9C-101B-9397-08002B2CF9AE}" pid="21" name="Mendeley Recent Style Name 9_1">
    <vt:lpwstr>PLOS ONE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b307e841-1651-3d26-ba05-bf08252a2696</vt:lpwstr>
  </property>
  <property fmtid="{D5CDD505-2E9C-101B-9397-08002B2CF9AE}" pid="24" name="Mendeley Citation Style_1">
    <vt:lpwstr>http://www.zotero.org/styles/biomed-central</vt:lpwstr>
  </property>
</Properties>
</file>