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2B2EF" w14:textId="77777777" w:rsidR="00A37D28" w:rsidRPr="00AF6158" w:rsidRDefault="00A37D28" w:rsidP="00A37D28">
      <w:pPr>
        <w:adjustRightInd w:val="0"/>
        <w:snapToGrid w:val="0"/>
        <w:ind w:right="1000"/>
      </w:pPr>
      <w:r w:rsidRPr="00AF6158">
        <w:rPr>
          <w:b/>
        </w:rPr>
        <w:t>Table S1.</w:t>
      </w:r>
      <w:r w:rsidRPr="00AF6158">
        <w:t xml:space="preserve"> Mutations of the new SARS-CoV-2 lineages B.1.1.7, B.1.351 and P.1 (B.1.1.28.1). Data from Global Initiative on Sharing Avian Influenza Data (GISAID) and Covariants.org/shared-mutations. Full SARS-CoV-2 genome of Wuhan-Hu-1 is available (https://www.ncbi.nlm.nih.gov/nuccore/MN908947).</w:t>
      </w:r>
    </w:p>
    <w:p w14:paraId="3FBF5814" w14:textId="31D275E1" w:rsidR="009259E8" w:rsidRDefault="00A37D28"/>
    <w:tbl>
      <w:tblPr>
        <w:tblW w:w="90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34"/>
        <w:gridCol w:w="1396"/>
        <w:gridCol w:w="1457"/>
        <w:gridCol w:w="1519"/>
        <w:gridCol w:w="1519"/>
      </w:tblGrid>
      <w:tr w:rsidR="00A37D28" w:rsidRPr="00AF6158" w14:paraId="18998CBD" w14:textId="77777777" w:rsidTr="00CF063D">
        <w:trPr>
          <w:trHeight w:val="1093"/>
        </w:trPr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44B3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  <w:rPr>
                <w:b/>
              </w:rPr>
            </w:pPr>
            <w:r w:rsidRPr="00AF6158">
              <w:rPr>
                <w:b/>
              </w:rPr>
              <w:t>Description of mutation</w:t>
            </w:r>
          </w:p>
          <w:p w14:paraId="760571B0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  <w:rPr>
                <w:b/>
              </w:rPr>
            </w:pPr>
            <w:r w:rsidRPr="00AF6158">
              <w:t>(gene, mutations: effects)</w:t>
            </w:r>
          </w:p>
        </w:tc>
        <w:tc>
          <w:tcPr>
            <w:tcW w:w="13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75370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left="-20" w:right="52"/>
              <w:rPr>
                <w:b/>
              </w:rPr>
            </w:pPr>
            <w:r w:rsidRPr="00AF6158">
              <w:rPr>
                <w:b/>
              </w:rPr>
              <w:t>Position in Genome</w:t>
            </w:r>
          </w:p>
        </w:tc>
        <w:tc>
          <w:tcPr>
            <w:tcW w:w="14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8DC1C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/>
              </w:rPr>
            </w:pPr>
            <w:r w:rsidRPr="00AF6158">
              <w:rPr>
                <w:b/>
              </w:rPr>
              <w:t>B.1.1.7</w:t>
            </w:r>
          </w:p>
          <w:p w14:paraId="19A0F1A5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</w:pPr>
            <w:r w:rsidRPr="00AF6158">
              <w:t>N501Y.V1</w:t>
            </w:r>
          </w:p>
        </w:tc>
        <w:tc>
          <w:tcPr>
            <w:tcW w:w="15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307C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/>
              </w:rPr>
            </w:pPr>
            <w:r w:rsidRPr="00AF6158">
              <w:rPr>
                <w:b/>
              </w:rPr>
              <w:t>B.1.351</w:t>
            </w:r>
          </w:p>
          <w:p w14:paraId="482D5586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</w:pPr>
            <w:r w:rsidRPr="00AF6158">
              <w:t>N501Y.V2</w:t>
            </w:r>
          </w:p>
        </w:tc>
        <w:tc>
          <w:tcPr>
            <w:tcW w:w="15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6CA6D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/>
              </w:rPr>
            </w:pPr>
            <w:r w:rsidRPr="00AF6158">
              <w:rPr>
                <w:b/>
              </w:rPr>
              <w:t>P.1</w:t>
            </w:r>
          </w:p>
          <w:p w14:paraId="67007BC8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</w:pPr>
            <w:r w:rsidRPr="00AF6158">
              <w:t>N501Y.V3</w:t>
            </w:r>
          </w:p>
        </w:tc>
      </w:tr>
      <w:tr w:rsidR="00A37D28" w:rsidRPr="00AF6158" w14:paraId="652B74D1" w14:textId="77777777" w:rsidTr="00CF063D">
        <w:trPr>
          <w:trHeight w:val="120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8E369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Spike, T20N: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90830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C21621A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BF97F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</w:pPr>
            <w:r w:rsidRPr="00AF6158"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F51BB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</w:pPr>
            <w:r w:rsidRPr="00AF6158"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F4F8C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/>
              </w:rPr>
            </w:pPr>
            <w:r w:rsidRPr="00AF6158">
              <w:rPr>
                <w:b/>
              </w:rPr>
              <w:t>lineage defining</w:t>
            </w:r>
          </w:p>
        </w:tc>
      </w:tr>
      <w:tr w:rsidR="00A37D28" w:rsidRPr="00AF6158" w14:paraId="66E691CD" w14:textId="77777777" w:rsidTr="00CF063D">
        <w:trPr>
          <w:trHeight w:val="120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D504A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Spike, P26S: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E02F9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C21638T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4C700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</w:pPr>
            <w:r w:rsidRPr="00AF6158"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31BD9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</w:pPr>
            <w:r w:rsidRPr="00AF6158"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02D4B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/>
              </w:rPr>
            </w:pPr>
            <w:r w:rsidRPr="00AF6158">
              <w:rPr>
                <w:b/>
              </w:rPr>
              <w:t>lineage defining</w:t>
            </w:r>
          </w:p>
        </w:tc>
      </w:tr>
      <w:tr w:rsidR="00A37D28" w:rsidRPr="00AF6158" w14:paraId="114D9FE7" w14:textId="77777777" w:rsidTr="00CF063D">
        <w:trPr>
          <w:trHeight w:val="120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45378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Spike, D138Y: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2EEF3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G21974T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59747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</w:pPr>
            <w:r w:rsidRPr="00AF6158"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93EB6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</w:pPr>
            <w:r w:rsidRPr="00AF6158"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77D45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/>
              </w:rPr>
            </w:pPr>
            <w:r w:rsidRPr="00AF6158">
              <w:rPr>
                <w:b/>
              </w:rPr>
              <w:t>lineage defining</w:t>
            </w:r>
          </w:p>
        </w:tc>
      </w:tr>
      <w:tr w:rsidR="00A37D28" w:rsidRPr="00AF6158" w14:paraId="35779C69" w14:textId="77777777" w:rsidTr="00CF063D">
        <w:trPr>
          <w:trHeight w:val="120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C209B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Spike, R190S: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BC349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G22132T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F8D5B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</w:pPr>
            <w:r w:rsidRPr="00AF6158"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E9A9F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</w:pPr>
            <w:r w:rsidRPr="00AF6158"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EB94E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/>
              </w:rPr>
            </w:pPr>
            <w:r w:rsidRPr="00AF6158">
              <w:rPr>
                <w:b/>
              </w:rPr>
              <w:t>lineage defining</w:t>
            </w:r>
          </w:p>
        </w:tc>
      </w:tr>
      <w:tr w:rsidR="00A37D28" w:rsidRPr="00AF6158" w14:paraId="3B804241" w14:textId="77777777" w:rsidTr="00CF063D">
        <w:trPr>
          <w:trHeight w:val="120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82F07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Spike, N501Y: May bind more tightly to the human angiotensin-converting enzyme 2 (ACE2) receptor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109F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A23063T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739B2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D1EA7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DE753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</w:tr>
      <w:tr w:rsidR="00A37D28" w:rsidRPr="00AF6158" w14:paraId="1DFBDA48" w14:textId="77777777" w:rsidTr="00CF063D">
        <w:trPr>
          <w:trHeight w:val="186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A8F0E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Spike, H655Y: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EE4F3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C23525T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22874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6AC74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AE77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</w:tr>
      <w:tr w:rsidR="00A37D28" w:rsidRPr="00AF6158" w14:paraId="623907C3" w14:textId="77777777" w:rsidTr="00CF063D">
        <w:trPr>
          <w:trHeight w:val="186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1C7D5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lastRenderedPageBreak/>
              <w:t>Spike, T1027I: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C21C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C24642T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7A7C2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B6B43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E9C25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</w:tr>
      <w:tr w:rsidR="00A37D28" w:rsidRPr="00AF6158" w14:paraId="6C8CE4A9" w14:textId="77777777" w:rsidTr="00CF063D">
        <w:trPr>
          <w:trHeight w:val="186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BB94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Spike, double deletion (HV 69, 70): Enhances viral infectivity by two-fold, may lead to reduced neutralizing activity of antibodies raised against previous variants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EBE4B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21765–21770 deletion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084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48A9F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6A38B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</w:tr>
      <w:tr w:rsidR="00A37D28" w:rsidRPr="00AF6158" w14:paraId="1214FD97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D0713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Spike, deletion Y144: Confers resistance to 4A8 monoclonal antibody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56274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21991–21993 deletion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EF466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2DB6E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</w:pPr>
            <w:r w:rsidRPr="00AF6158"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8AD80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</w:pPr>
            <w:r w:rsidRPr="00AF6158">
              <w:t>not lineage defining</w:t>
            </w:r>
          </w:p>
        </w:tc>
      </w:tr>
      <w:tr w:rsidR="00A37D28" w:rsidRPr="00AF6158" w14:paraId="0EB5B3FA" w14:textId="77777777" w:rsidTr="00CF063D">
        <w:trPr>
          <w:trHeight w:val="120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14785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Spike, P681H: Adjacent to the furin cleavage site, may plausibly affect transmissibility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1A5F7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C23604A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8B6BE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771D7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</w:pPr>
            <w:r w:rsidRPr="00AF6158"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6FE46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</w:pPr>
            <w:r w:rsidRPr="00AF6158">
              <w:t>not lineage defining</w:t>
            </w:r>
          </w:p>
        </w:tc>
      </w:tr>
      <w:tr w:rsidR="00A37D28" w:rsidRPr="00AF6158" w14:paraId="09BFE2CA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62A8D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Spike, D614G: Already dominant world-wide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B4DEC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A23403G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92363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F5FD6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C6A88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</w:pPr>
            <w:r w:rsidRPr="00AF6158">
              <w:t>not lineage defining</w:t>
            </w:r>
          </w:p>
        </w:tc>
      </w:tr>
      <w:tr w:rsidR="00A37D28" w:rsidRPr="00AF6158" w14:paraId="4EA6C0C8" w14:textId="77777777" w:rsidTr="00CF063D">
        <w:trPr>
          <w:trHeight w:val="153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C0AC5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Spike, E484K: Leads to reduced neutralizing activity of antibodies raised against previous variants, may increase affinity for ACEII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5E190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G23012A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B1B6B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</w:pPr>
            <w:r w:rsidRPr="00AF6158"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7A3FF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B5C76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</w:tr>
      <w:tr w:rsidR="00A37D28" w:rsidRPr="00AF6158" w14:paraId="1445D343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E8F0C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Spike, A570D, T716I, S982A, D1118H: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2C0C2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C23271A, C23709T, T24506G, G24914C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9C6FE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3C322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1C66A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</w:tr>
      <w:tr w:rsidR="00A37D28" w:rsidRPr="00AF6158" w14:paraId="77EE122D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66377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lastRenderedPageBreak/>
              <w:t>Spike, L18F, K417N: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2B9ED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C21614T, G22813T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38FF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5D809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D8FB0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</w:tr>
      <w:tr w:rsidR="00A37D28" w:rsidRPr="00AF6158" w14:paraId="552574A6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C2DE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Spike, D80A, D215G, R246I, A701V: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8C903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A21801C, A22206G, G22299T, C23664T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43B60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6C710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F8DF2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</w:tr>
      <w:tr w:rsidR="00A37D28" w:rsidRPr="00AF6158" w14:paraId="0691CEBA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8E830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ORF1ab, triple deletion SGF 3675–3677: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031C9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11288–11296 deletion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2B646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757E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34959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</w:tr>
      <w:tr w:rsidR="00A37D28" w:rsidRPr="00AF6158" w14:paraId="4407D81A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45E8F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ORF1ab, K1795Q: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C5522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A5648C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AFA9B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CCC86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EFDB5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</w:tr>
      <w:tr w:rsidR="00A37D28" w:rsidRPr="00AF6158" w14:paraId="459EE3AB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A44FE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ORF1ab, T1001I, A1708D, I2230T: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5C586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C3267T, C5388A, T6954C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78C4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8D0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A2EB7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</w:tr>
      <w:tr w:rsidR="00A37D28" w:rsidRPr="00AF6158" w14:paraId="69C0B19A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0F20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ORF1ab, E5665D: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11D3C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G17259T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B267D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0833F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7DFC7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</w:tr>
      <w:tr w:rsidR="00A37D28" w:rsidRPr="00AF6158" w14:paraId="004687BE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A58C2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ORF8, Q27Stop: Early stop codon likely to render ORF8 non-functional. ORF8 deletions/mutations are associated with milder clinical course and lower post-infection inflammation. ORF8 is involved in immune evasion by down-regulation of MHC class 1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BCEF6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C27972T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F8DF4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5BAA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5AF65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</w:tr>
      <w:tr w:rsidR="00A37D28" w:rsidRPr="00AF6158" w14:paraId="71CBA364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23388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lastRenderedPageBreak/>
              <w:t>ORF8, R52I, Y73C: Likely irrelevant due to earlier stop codon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FA208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G28048T, A28111G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7C28E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F9D87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AF2A6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</w:tr>
      <w:tr w:rsidR="00A37D28" w:rsidRPr="00AF6158" w14:paraId="327D9E51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83268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ORF7a, E92K: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29C04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G27667A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8364C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7CA37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57A3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</w:tr>
      <w:tr w:rsidR="00A37D28" w:rsidRPr="00AF6158" w14:paraId="52195A3F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F4E36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ORF8, insertion 28269–28273: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83DB7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ins28269–28273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475FD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F42F4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84E87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</w:tr>
      <w:tr w:rsidR="00A37D28" w:rsidRPr="00AF6158" w14:paraId="3A917607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80E7C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N, P80R: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07E98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C28512G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55501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ABB4A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FDB00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</w:tr>
      <w:tr w:rsidR="00A37D28" w:rsidRPr="00AF6158" w14:paraId="767860A0" w14:textId="77777777" w:rsidTr="00CF063D">
        <w:trPr>
          <w:trHeight w:val="875"/>
        </w:trPr>
        <w:tc>
          <w:tcPr>
            <w:tcW w:w="3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9BB03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1"/>
            </w:pPr>
            <w:r w:rsidRPr="00AF6158">
              <w:t>N, D3L, S235F: Unknown effects</w:t>
            </w:r>
          </w:p>
        </w:tc>
        <w:tc>
          <w:tcPr>
            <w:tcW w:w="1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86570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52"/>
            </w:pPr>
            <w:r w:rsidRPr="00AF6158">
              <w:t>28280 GAT-&gt;CTA, C28977T</w:t>
            </w:r>
          </w:p>
        </w:tc>
        <w:tc>
          <w:tcPr>
            <w:tcW w:w="14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8638F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127"/>
              <w:rPr>
                <w:bCs/>
              </w:rPr>
            </w:pPr>
            <w:r w:rsidRPr="00AF6158">
              <w:rPr>
                <w:bCs/>
              </w:rPr>
              <w:t>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0580A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</w:pPr>
            <w:r w:rsidRPr="00AF6158">
              <w:t>not lineage defining</w:t>
            </w:r>
          </w:p>
        </w:tc>
        <w:tc>
          <w:tcPr>
            <w:tcW w:w="1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E5178" w14:textId="77777777" w:rsidR="00A37D28" w:rsidRPr="00AF6158" w:rsidRDefault="00A37D28" w:rsidP="00CF063D">
            <w:pPr>
              <w:adjustRightInd w:val="0"/>
              <w:snapToGrid w:val="0"/>
              <w:spacing w:line="360" w:lineRule="auto"/>
              <w:ind w:right="60"/>
            </w:pPr>
            <w:r w:rsidRPr="00AF6158">
              <w:t>not lineage defining</w:t>
            </w:r>
          </w:p>
        </w:tc>
      </w:tr>
    </w:tbl>
    <w:p w14:paraId="7200FF05" w14:textId="77777777" w:rsidR="00A37D28" w:rsidRDefault="00A37D28"/>
    <w:sectPr w:rsidR="00A37D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D28"/>
    <w:rsid w:val="00204928"/>
    <w:rsid w:val="008338E3"/>
    <w:rsid w:val="00A3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0963D4"/>
  <w15:chartTrackingRefBased/>
  <w15:docId w15:val="{9927FC2B-1734-5542-BC4D-3CCB7024E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2021-03-24T09:45:00Z</dcterms:created>
  <dcterms:modified xsi:type="dcterms:W3CDTF">2021-03-24T09:46:00Z</dcterms:modified>
</cp:coreProperties>
</file>