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1: Bootstrap results,</w:t>
      </w:r>
      <w:r>
        <w:rPr>
          <w:rFonts w:ascii="Times" w:hAnsi="Times"/>
          <w:sz w:val="24"/>
          <w:szCs w:val="24"/>
          <w:rtl w:val="0"/>
          <w:lang w:val="en-US"/>
        </w:rPr>
        <w:t xml:space="preserve"> Pictured are the results of the home range estimation using the bootstrap-method for the hedgehogs (A) TR_01_2016, (B) TR_02_2016, (C) TR_08_2016, (D) TR_09_2016, (E) TR_13_2016, and (F) TR_17_2016. The lines indicate the different percentiles of the MCP areas (lower dashed blue line: 0%, lower dotted red line: 25%, continuous black line: 50%, upper dotted red line: 75%, upper dashed blue line: 100%).</w:t>
      </w:r>
      <w:r>
        <w:rPr>
          <w:rFonts w:ascii="Times" w:hAnsi="Times" w:hint="default"/>
          <w:sz w:val="24"/>
          <w:szCs w:val="24"/>
          <w:rtl w:val="0"/>
        </w:rPr>
        <w:t> 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 xml:space="preserve">Figure Supplement 2: Bootstrap results. </w:t>
      </w:r>
      <w:r>
        <w:rPr>
          <w:rFonts w:ascii="Times" w:hAnsi="Times"/>
          <w:sz w:val="24"/>
          <w:szCs w:val="24"/>
          <w:rtl w:val="0"/>
          <w:lang w:val="en-US"/>
        </w:rPr>
        <w:t>Pictured are the results of the home range estimation using the bootstrap-method for the hedgehogs (A) TR_19_2016, (B) TR_21_2016, (C) TP_13_2018, (D) TP_18_2018, (E) TP_20_2017, and (F) TP_21_2018. The lines indicate the different percentiles of the MCP areas (lower dashed blue line: 0%, lower dotted red line: 25%, continuous black line: 50%, upper dotted red line: 75%, upper dashed blue line: 100%).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 xml:space="preserve">Figure Supplement 3: Bootstrap results. </w:t>
      </w:r>
      <w:r>
        <w:rPr>
          <w:rFonts w:ascii="Times" w:hAnsi="Times"/>
          <w:sz w:val="24"/>
          <w:szCs w:val="24"/>
          <w:rtl w:val="0"/>
          <w:lang w:val="en-US"/>
        </w:rPr>
        <w:t>Pictured are the results of the home range estimation using the bootstrap-method for the hedgehogs (A) TP_26_2017, (B) TP_28_2017, (C) TP_29_2018, (D) TP_30_2018, (E) TE_02_2019, and (F) TE_03_2019. The lines indicate the different percentiles of the MCP areas (lower dashed blue line: 0%, lower dotted red line: 25%, continuous black line: 50%, upper dotted red line: 75%, upper dashed blue line: 100%).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4: Bootstrap results.</w:t>
      </w:r>
      <w:r>
        <w:rPr>
          <w:rFonts w:ascii="Times" w:hAnsi="Times"/>
          <w:sz w:val="24"/>
          <w:szCs w:val="24"/>
          <w:rtl w:val="0"/>
          <w:lang w:val="en-US"/>
        </w:rPr>
        <w:t xml:space="preserve"> Pictured are the results of the home range estimation using the bootstrap-method for the hedgehogs (A) TE_04_2019, (B) TE_05_2019, (C) TE_07_2019, and (D) TE_10_2019. The lines indicate the different percentiles of the MCP areas (lower dashed blue line: 0%, lower dotted red line: 25%, continuous black line: 50%, upper dotted red line: 75%, upper dashed blue line: 100%).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5: Site fidelity results.</w:t>
      </w:r>
      <w:r>
        <w:rPr>
          <w:rFonts w:ascii="Times" w:hAnsi="Times"/>
          <w:sz w:val="24"/>
          <w:szCs w:val="24"/>
          <w:rtl w:val="0"/>
          <w:lang w:val="en-US"/>
        </w:rPr>
        <w:t xml:space="preserve"> Shown are the site fidelity results for hedgehog TR_01_2016 (A), TR_02_2016 (B), TR_08_2016 (C), TR_09_2016 (D), TR_13_2016 (E), and TR_17_2016 (F). The dashed red lines indicate the interval below which the continuous red line has to be situated to confirm site fidelity for each criterion.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6: Site fidelity results.</w:t>
      </w:r>
      <w:r>
        <w:rPr>
          <w:rFonts w:ascii="Times" w:hAnsi="Times"/>
          <w:sz w:val="24"/>
          <w:szCs w:val="24"/>
          <w:rtl w:val="0"/>
          <w:lang w:val="en-US"/>
        </w:rPr>
        <w:t xml:space="preserve"> Shown are the site fidelity results for hedgehog TR_19_2016 (A), TR_21_2016 (B), TP_13_2018 (C), TP_18_2018 (D), TP_20_2017 (E), and TP_21_2018 (F). The dashed red lines indicate the interval below which the continuous red line has to be situated to confirm site fidelity for each criterion.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7: Site fidelity results.</w:t>
      </w:r>
      <w:r>
        <w:rPr>
          <w:rFonts w:ascii="Times" w:hAnsi="Times"/>
          <w:sz w:val="24"/>
          <w:szCs w:val="24"/>
          <w:rtl w:val="0"/>
          <w:lang w:val="en-US"/>
        </w:rPr>
        <w:t xml:space="preserve"> Shown are the site fidelity results for hedgehog TP_26_2017 (A), TP_28_2017 (B), TP_29_2018 (C), Tp_30_2018 (D), TE_02_2019 (E), and TE_03_2019 (F). The dashed red lines indicate the interval below which the continuous red line has to be situated to confirm site fidelity for each criterion.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en-US"/>
        </w:rPr>
        <w:t>Figure Supplement 8: Site fidelity results.</w:t>
      </w:r>
      <w:r>
        <w:rPr>
          <w:rFonts w:ascii="Times" w:hAnsi="Times"/>
          <w:sz w:val="24"/>
          <w:szCs w:val="24"/>
          <w:rtl w:val="0"/>
          <w:lang w:val="en-US"/>
        </w:rPr>
        <w:t xml:space="preserve"> Shown are the site fidelity results for hedgehog TE_04_2019 (A), TE_05_2019 (B), TE_07_2019 (C), and TE_10_2019 (D). The dashed red lines indicate the interval below which the continuous red line has to be situated to confirm site fidelity for each criterion.</w:t>
      </w: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Arial" w:cs="Arial" w:hAnsi="Arial" w:eastAsia="Arial"/>
          <w:sz w:val="32"/>
          <w:szCs w:val="32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4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