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84D" w:rsidRPr="002770C6" w:rsidRDefault="002770C6" w:rsidP="009B0F9A">
      <w:pPr>
        <w:spacing w:before="120" w:after="240" w:line="260" w:lineRule="atLeast"/>
        <w:rPr>
          <w:rFonts w:ascii="Palatino Linotype" w:hAnsi="Palatino Linotype"/>
          <w:sz w:val="20"/>
          <w:szCs w:val="20"/>
          <w:lang w:val="en-US"/>
        </w:rPr>
      </w:pPr>
      <w:r w:rsidRPr="002770C6">
        <w:rPr>
          <w:rFonts w:ascii="Palatino Linotype" w:hAnsi="Palatino Linotype"/>
          <w:b/>
          <w:sz w:val="20"/>
          <w:szCs w:val="20"/>
          <w:lang w:val="en-US"/>
        </w:rPr>
        <w:t>Table S4.</w:t>
      </w:r>
      <w:r w:rsidRPr="002770C6">
        <w:rPr>
          <w:rFonts w:ascii="Palatino Linotype" w:hAnsi="Palatino Linotype"/>
          <w:sz w:val="20"/>
          <w:szCs w:val="20"/>
          <w:lang w:val="en-US"/>
        </w:rPr>
        <w:t xml:space="preserve"> PANTHER statistical overrepresentation test. Gene lists of the genes located in ROH5 shared by at least 50% or 90% of the genotyped Polish Lowland Sheepdogs </w:t>
      </w:r>
      <w:proofErr w:type="gramStart"/>
      <w:r w:rsidRPr="002770C6">
        <w:rPr>
          <w:rFonts w:ascii="Palatino Linotype" w:hAnsi="Palatino Linotype"/>
          <w:sz w:val="20"/>
          <w:szCs w:val="20"/>
          <w:lang w:val="en-US"/>
        </w:rPr>
        <w:t>were analyzed</w:t>
      </w:r>
      <w:proofErr w:type="gramEnd"/>
      <w:r w:rsidRPr="002770C6">
        <w:rPr>
          <w:rFonts w:ascii="Palatino Linotype" w:hAnsi="Palatino Linotype"/>
          <w:sz w:val="20"/>
          <w:szCs w:val="20"/>
          <w:lang w:val="en-US"/>
        </w:rPr>
        <w:t xml:space="preserve"> with the overrepresentation analysis tool of PANTHER. Given are the biological processes the enriched genes are involved in, their fold enrichment and the false discovery rate (P-value).</w:t>
      </w: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1"/>
        <w:gridCol w:w="1306"/>
        <w:gridCol w:w="1306"/>
      </w:tblGrid>
      <w:tr w:rsidR="00F529F8" w:rsidRPr="00BE65FA" w:rsidTr="00F529F8">
        <w:tc>
          <w:tcPr>
            <w:tcW w:w="49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29F8" w:rsidRPr="00BE65FA" w:rsidRDefault="00F529F8" w:rsidP="00EE3A6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E65FA">
              <w:rPr>
                <w:rFonts w:ascii="Palatino Linotype" w:hAnsi="Palatino Linotype"/>
                <w:sz w:val="20"/>
                <w:szCs w:val="20"/>
                <w:lang w:val="en-US"/>
              </w:rPr>
              <w:t>Process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29F8" w:rsidRPr="00BE65FA" w:rsidRDefault="00F529F8" w:rsidP="00EE3A6E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E65FA">
              <w:rPr>
                <w:rFonts w:ascii="Palatino Linotype" w:hAnsi="Palatino Linotype"/>
                <w:sz w:val="20"/>
                <w:szCs w:val="20"/>
                <w:lang w:val="en-US"/>
              </w:rPr>
              <w:t>Fold enrichment</w:t>
            </w: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529F8" w:rsidRPr="00BE65FA" w:rsidRDefault="00F529F8" w:rsidP="00EE3A6E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E65FA">
              <w:rPr>
                <w:rFonts w:ascii="Palatino Linotype" w:hAnsi="Palatino Linotype"/>
                <w:sz w:val="20"/>
                <w:szCs w:val="20"/>
                <w:lang w:val="en-US"/>
              </w:rPr>
              <w:t>P-value</w:t>
            </w:r>
          </w:p>
        </w:tc>
      </w:tr>
      <w:tr w:rsidR="00EE3A6E" w:rsidRPr="002770C6" w:rsidTr="004C5977">
        <w:tc>
          <w:tcPr>
            <w:tcW w:w="751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3A6E" w:rsidRPr="00BE65FA" w:rsidRDefault="00EE3A6E" w:rsidP="00EE3A6E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EE3A6E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ROH5</w:t>
            </w: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shared by at least 50%</w:t>
            </w:r>
          </w:p>
        </w:tc>
      </w:tr>
      <w:tr w:rsidR="00F529F8" w:rsidRPr="00BE65FA" w:rsidTr="00F529F8">
        <w:tc>
          <w:tcPr>
            <w:tcW w:w="4901" w:type="dxa"/>
            <w:tcBorders>
              <w:top w:val="single" w:sz="4" w:space="0" w:color="auto"/>
            </w:tcBorders>
            <w:vAlign w:val="center"/>
          </w:tcPr>
          <w:p w:rsidR="00F529F8" w:rsidRPr="00BE65FA" w:rsidRDefault="00F529F8" w:rsidP="00EE3A6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E65FA">
              <w:rPr>
                <w:rFonts w:ascii="Palatino Linotype" w:hAnsi="Palatino Linotype"/>
                <w:sz w:val="20"/>
                <w:szCs w:val="20"/>
                <w:lang w:val="en-US"/>
              </w:rPr>
              <w:t>Forelimb morphogenesis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vAlign w:val="center"/>
          </w:tcPr>
          <w:p w:rsidR="00F529F8" w:rsidRPr="00BE65FA" w:rsidRDefault="00F529F8" w:rsidP="00EE3A6E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E65FA">
              <w:rPr>
                <w:rFonts w:ascii="Palatino Linotype" w:hAnsi="Palatino Linotype"/>
                <w:sz w:val="20"/>
                <w:szCs w:val="20"/>
                <w:lang w:val="en-US"/>
              </w:rPr>
              <w:t>7.35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vAlign w:val="center"/>
          </w:tcPr>
          <w:p w:rsidR="00F529F8" w:rsidRPr="00BE65FA" w:rsidRDefault="00F529F8" w:rsidP="00EE3A6E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E65FA">
              <w:rPr>
                <w:rFonts w:ascii="Palatino Linotype" w:hAnsi="Palatino Linotype"/>
                <w:sz w:val="20"/>
                <w:szCs w:val="20"/>
                <w:lang w:val="en-US"/>
              </w:rPr>
              <w:t>0.025</w:t>
            </w:r>
          </w:p>
        </w:tc>
      </w:tr>
      <w:tr w:rsidR="00F529F8" w:rsidRPr="00BE65FA" w:rsidTr="00F529F8">
        <w:tc>
          <w:tcPr>
            <w:tcW w:w="4901" w:type="dxa"/>
            <w:vAlign w:val="center"/>
          </w:tcPr>
          <w:p w:rsidR="00F529F8" w:rsidRPr="00BE65FA" w:rsidRDefault="00F529F8" w:rsidP="00EE3A6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E65FA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Calcium-mediated </w:t>
            </w:r>
            <w:r w:rsidR="00BE65FA" w:rsidRPr="00BE65FA">
              <w:rPr>
                <w:rFonts w:ascii="Palatino Linotype" w:hAnsi="Palatino Linotype"/>
                <w:sz w:val="20"/>
                <w:szCs w:val="20"/>
                <w:lang w:val="en-US"/>
              </w:rPr>
              <w:t>signaling</w:t>
            </w:r>
          </w:p>
        </w:tc>
        <w:tc>
          <w:tcPr>
            <w:tcW w:w="1306" w:type="dxa"/>
            <w:vAlign w:val="center"/>
          </w:tcPr>
          <w:p w:rsidR="00F529F8" w:rsidRPr="00BE65FA" w:rsidRDefault="00F529F8" w:rsidP="00EE3A6E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E65FA">
              <w:rPr>
                <w:rFonts w:ascii="Palatino Linotype" w:hAnsi="Palatino Linotype"/>
                <w:sz w:val="20"/>
                <w:szCs w:val="20"/>
                <w:lang w:val="en-US"/>
              </w:rPr>
              <w:t>3.92</w:t>
            </w:r>
          </w:p>
        </w:tc>
        <w:tc>
          <w:tcPr>
            <w:tcW w:w="1306" w:type="dxa"/>
            <w:vAlign w:val="center"/>
          </w:tcPr>
          <w:p w:rsidR="00F529F8" w:rsidRPr="00BE65FA" w:rsidRDefault="00F529F8" w:rsidP="00EE3A6E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E65FA">
              <w:rPr>
                <w:rFonts w:ascii="Palatino Linotype" w:hAnsi="Palatino Linotype"/>
                <w:sz w:val="20"/>
                <w:szCs w:val="20"/>
                <w:lang w:val="en-US"/>
              </w:rPr>
              <w:t>0.043</w:t>
            </w:r>
          </w:p>
        </w:tc>
        <w:bookmarkStart w:id="0" w:name="_GoBack"/>
        <w:bookmarkEnd w:id="0"/>
      </w:tr>
      <w:tr w:rsidR="00F529F8" w:rsidRPr="00BE65FA" w:rsidTr="00EE3A6E">
        <w:trPr>
          <w:trHeight w:val="432"/>
        </w:trPr>
        <w:tc>
          <w:tcPr>
            <w:tcW w:w="4901" w:type="dxa"/>
            <w:vAlign w:val="center"/>
          </w:tcPr>
          <w:p w:rsidR="00F529F8" w:rsidRPr="00BE65FA" w:rsidRDefault="00F529F8" w:rsidP="00EE3A6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E65FA">
              <w:rPr>
                <w:rFonts w:ascii="Palatino Linotype" w:hAnsi="Palatino Linotype"/>
                <w:sz w:val="20"/>
                <w:szCs w:val="20"/>
                <w:lang w:val="en-US"/>
              </w:rPr>
              <w:t>Detection of chemical stimulus involved in sensory perception of smell</w:t>
            </w:r>
          </w:p>
        </w:tc>
        <w:tc>
          <w:tcPr>
            <w:tcW w:w="1306" w:type="dxa"/>
            <w:vAlign w:val="center"/>
          </w:tcPr>
          <w:p w:rsidR="00F529F8" w:rsidRPr="00BE65FA" w:rsidRDefault="00F529F8" w:rsidP="00EE3A6E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E65FA">
              <w:rPr>
                <w:rFonts w:ascii="Palatino Linotype" w:hAnsi="Palatino Linotype"/>
                <w:sz w:val="20"/>
                <w:szCs w:val="20"/>
                <w:lang w:val="en-US"/>
              </w:rPr>
              <w:t>&lt; 0.01</w:t>
            </w:r>
          </w:p>
        </w:tc>
        <w:tc>
          <w:tcPr>
            <w:tcW w:w="1306" w:type="dxa"/>
            <w:vAlign w:val="center"/>
          </w:tcPr>
          <w:p w:rsidR="00F529F8" w:rsidRPr="00BE65FA" w:rsidRDefault="00F529F8" w:rsidP="00EE3A6E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E65FA">
              <w:rPr>
                <w:rFonts w:ascii="Palatino Linotype" w:hAnsi="Palatino Linotype"/>
                <w:sz w:val="20"/>
                <w:szCs w:val="20"/>
                <w:lang w:val="en-US"/>
              </w:rPr>
              <w:t>0.0001</w:t>
            </w:r>
          </w:p>
        </w:tc>
      </w:tr>
      <w:tr w:rsidR="00F529F8" w:rsidRPr="00BE65FA" w:rsidTr="00EE3A6E">
        <w:trPr>
          <w:trHeight w:val="184"/>
        </w:trPr>
        <w:tc>
          <w:tcPr>
            <w:tcW w:w="4901" w:type="dxa"/>
            <w:tcBorders>
              <w:bottom w:val="single" w:sz="4" w:space="0" w:color="auto"/>
            </w:tcBorders>
            <w:vAlign w:val="center"/>
          </w:tcPr>
          <w:p w:rsidR="00F529F8" w:rsidRPr="00BE65FA" w:rsidRDefault="00F529F8" w:rsidP="00EE3A6E">
            <w:pPr>
              <w:pStyle w:val="Listenabsatz"/>
              <w:numPr>
                <w:ilvl w:val="0"/>
                <w:numId w:val="2"/>
              </w:num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E65FA">
              <w:rPr>
                <w:rFonts w:ascii="Palatino Linotype" w:hAnsi="Palatino Linotype"/>
                <w:sz w:val="20"/>
                <w:szCs w:val="20"/>
                <w:lang w:val="en-US"/>
              </w:rPr>
              <w:t>Sensory perception of smell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:rsidR="00F529F8" w:rsidRPr="00BE65FA" w:rsidRDefault="00F529F8" w:rsidP="00EE3A6E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E65FA">
              <w:rPr>
                <w:rFonts w:ascii="Palatino Linotype" w:hAnsi="Palatino Linotype"/>
                <w:sz w:val="20"/>
                <w:szCs w:val="20"/>
                <w:lang w:val="en-US"/>
              </w:rPr>
              <w:t>0.10</w:t>
            </w:r>
          </w:p>
        </w:tc>
        <w:tc>
          <w:tcPr>
            <w:tcW w:w="1306" w:type="dxa"/>
            <w:tcBorders>
              <w:bottom w:val="single" w:sz="4" w:space="0" w:color="auto"/>
            </w:tcBorders>
            <w:vAlign w:val="center"/>
          </w:tcPr>
          <w:p w:rsidR="00F529F8" w:rsidRPr="00BE65FA" w:rsidRDefault="00F529F8" w:rsidP="00EE3A6E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E65FA">
              <w:rPr>
                <w:rFonts w:ascii="Palatino Linotype" w:hAnsi="Palatino Linotype"/>
                <w:sz w:val="20"/>
                <w:szCs w:val="20"/>
                <w:lang w:val="en-US"/>
              </w:rPr>
              <w:t>0.003</w:t>
            </w:r>
          </w:p>
        </w:tc>
      </w:tr>
      <w:tr w:rsidR="00EE3A6E" w:rsidRPr="002770C6" w:rsidTr="00EE3A6E">
        <w:trPr>
          <w:trHeight w:val="178"/>
        </w:trPr>
        <w:tc>
          <w:tcPr>
            <w:tcW w:w="751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E3A6E" w:rsidRPr="00BE65FA" w:rsidRDefault="00EE3A6E" w:rsidP="00EE3A6E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EE3A6E">
              <w:rPr>
                <w:rFonts w:ascii="Palatino Linotype" w:hAnsi="Palatino Linotype"/>
                <w:i/>
                <w:sz w:val="20"/>
                <w:szCs w:val="20"/>
                <w:lang w:val="en-US"/>
              </w:rPr>
              <w:t>ROH5</w:t>
            </w: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shared by at least 90%</w:t>
            </w:r>
          </w:p>
        </w:tc>
      </w:tr>
      <w:tr w:rsidR="00EE3A6E" w:rsidRPr="00EE3A6E" w:rsidTr="00EE3A6E">
        <w:trPr>
          <w:trHeight w:val="80"/>
        </w:trPr>
        <w:tc>
          <w:tcPr>
            <w:tcW w:w="4901" w:type="dxa"/>
            <w:tcBorders>
              <w:top w:val="single" w:sz="4" w:space="0" w:color="auto"/>
            </w:tcBorders>
            <w:vAlign w:val="center"/>
          </w:tcPr>
          <w:p w:rsidR="00EE3A6E" w:rsidRPr="00EE3A6E" w:rsidRDefault="00EE3A6E" w:rsidP="00EE3A6E">
            <w:pPr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EE3A6E">
              <w:rPr>
                <w:rFonts w:ascii="Palatino Linotype" w:hAnsi="Palatino Linotype"/>
                <w:sz w:val="20"/>
                <w:szCs w:val="20"/>
                <w:lang w:val="en-US"/>
              </w:rPr>
              <w:t>Tie signaling pathway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vAlign w:val="center"/>
          </w:tcPr>
          <w:p w:rsidR="00EE3A6E" w:rsidRPr="00BE65FA" w:rsidRDefault="00EE3A6E" w:rsidP="00EE3A6E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&gt;100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vAlign w:val="center"/>
          </w:tcPr>
          <w:p w:rsidR="00EE3A6E" w:rsidRPr="00BE65FA" w:rsidRDefault="00EE3A6E" w:rsidP="00EE3A6E">
            <w:pPr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/>
                <w:sz w:val="20"/>
                <w:szCs w:val="20"/>
                <w:lang w:val="en-US"/>
              </w:rPr>
              <w:t>&lt;0.0001</w:t>
            </w:r>
          </w:p>
        </w:tc>
      </w:tr>
    </w:tbl>
    <w:p w:rsidR="00681106" w:rsidRPr="00BE65FA" w:rsidRDefault="00681106">
      <w:pPr>
        <w:rPr>
          <w:rFonts w:ascii="Palatino Linotype" w:hAnsi="Palatino Linotype"/>
          <w:sz w:val="20"/>
          <w:szCs w:val="20"/>
          <w:lang w:val="en-US"/>
        </w:rPr>
      </w:pPr>
    </w:p>
    <w:sectPr w:rsidR="00681106" w:rsidRPr="00BE65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27906"/>
    <w:multiLevelType w:val="hybridMultilevel"/>
    <w:tmpl w:val="5882E2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4814F3"/>
    <w:multiLevelType w:val="hybridMultilevel"/>
    <w:tmpl w:val="F690A33E"/>
    <w:lvl w:ilvl="0" w:tplc="2CDC696C"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106"/>
    <w:rsid w:val="000952FE"/>
    <w:rsid w:val="000E3CF5"/>
    <w:rsid w:val="002770C6"/>
    <w:rsid w:val="00542818"/>
    <w:rsid w:val="00681106"/>
    <w:rsid w:val="00706607"/>
    <w:rsid w:val="008211C8"/>
    <w:rsid w:val="009B0F9A"/>
    <w:rsid w:val="00BE65FA"/>
    <w:rsid w:val="00DA2F59"/>
    <w:rsid w:val="00DD28AB"/>
    <w:rsid w:val="00DF3153"/>
    <w:rsid w:val="00EE3A6E"/>
    <w:rsid w:val="00F5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F39DB-678C-4D38-8F9E-29B4B1F9E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81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81106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EE3A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TiHo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Michels, Paula Wiebke</dc:creator>
  <cp:keywords/>
  <dc:description/>
  <cp:lastModifiedBy>Michels, Paula Wiebke</cp:lastModifiedBy>
  <cp:revision>3</cp:revision>
  <dcterms:created xsi:type="dcterms:W3CDTF">2020-08-12T09:03:00Z</dcterms:created>
  <dcterms:modified xsi:type="dcterms:W3CDTF">2020-08-12T12:52:00Z</dcterms:modified>
</cp:coreProperties>
</file>