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86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00"/>
        <w:gridCol w:w="4300"/>
      </w:tblGrid>
      <w:tr w:rsidR="00917728" w:rsidRPr="00917728" w14:paraId="7D7226F2" w14:textId="77777777" w:rsidTr="00917728">
        <w:trPr>
          <w:trHeight w:val="640"/>
        </w:trPr>
        <w:tc>
          <w:tcPr>
            <w:tcW w:w="860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15EE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 xml:space="preserve">Table S1. </w:t>
            </w: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 xml:space="preserve">Diet of healthy control and dogs with HAC </w:t>
            </w:r>
          </w:p>
        </w:tc>
      </w:tr>
      <w:tr w:rsidR="00917728" w:rsidRPr="00917728" w14:paraId="19920291" w14:textId="77777777" w:rsidTr="00917728">
        <w:trPr>
          <w:trHeight w:val="38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F4D09CD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Healthy dogs (n=9)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DC8EC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HAC dogs (n=15)</w:t>
            </w:r>
          </w:p>
        </w:tc>
      </w:tr>
      <w:tr w:rsidR="00917728" w:rsidRPr="00917728" w14:paraId="738CC93B" w14:textId="77777777" w:rsidTr="00917728">
        <w:trPr>
          <w:trHeight w:val="360"/>
        </w:trPr>
        <w:tc>
          <w:tcPr>
            <w:tcW w:w="8600" w:type="dxa"/>
            <w:gridSpan w:val="2"/>
            <w:tcBorders>
              <w:top w:val="single" w:sz="8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3FA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Prescription diet</w:t>
            </w:r>
          </w:p>
        </w:tc>
      </w:tr>
      <w:tr w:rsidR="00917728" w:rsidRPr="00917728" w14:paraId="0510D15A" w14:textId="77777777" w:rsidTr="00917728">
        <w:trPr>
          <w:trHeight w:val="680"/>
        </w:trPr>
        <w:tc>
          <w:tcPr>
            <w:tcW w:w="430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10C029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Hypoallergenic (n=3)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DC1B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Hypoallergenic (n=2)</w:t>
            </w:r>
          </w:p>
        </w:tc>
      </w:tr>
      <w:tr w:rsidR="00917728" w:rsidRPr="00917728" w14:paraId="19EBC31C" w14:textId="77777777" w:rsidTr="00917728">
        <w:trPr>
          <w:trHeight w:val="360"/>
        </w:trPr>
        <w:tc>
          <w:tcPr>
            <w:tcW w:w="4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13C1F7E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0EA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Hepatic (n=1)</w:t>
            </w:r>
          </w:p>
        </w:tc>
      </w:tr>
      <w:tr w:rsidR="00917728" w:rsidRPr="00917728" w14:paraId="1F05B10B" w14:textId="77777777" w:rsidTr="00917728">
        <w:trPr>
          <w:trHeight w:val="680"/>
        </w:trPr>
        <w:tc>
          <w:tcPr>
            <w:tcW w:w="4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4A8C39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51F3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Wet food, Royal Canin, Gastrointestinal low fat (n=1)</w:t>
            </w:r>
          </w:p>
        </w:tc>
      </w:tr>
      <w:tr w:rsidR="00917728" w:rsidRPr="00917728" w14:paraId="4416D0FC" w14:textId="77777777" w:rsidTr="00917728">
        <w:trPr>
          <w:trHeight w:val="680"/>
        </w:trPr>
        <w:tc>
          <w:tcPr>
            <w:tcW w:w="4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65BDB3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598A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Gastrointestinal low fat (n=2)</w:t>
            </w:r>
          </w:p>
        </w:tc>
      </w:tr>
      <w:tr w:rsidR="00917728" w:rsidRPr="00917728" w14:paraId="44CAF405" w14:textId="77777777" w:rsidTr="00917728">
        <w:trPr>
          <w:trHeight w:val="360"/>
        </w:trPr>
        <w:tc>
          <w:tcPr>
            <w:tcW w:w="4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A5C22D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B2DE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Hills, z/d (n=1)</w:t>
            </w:r>
          </w:p>
        </w:tc>
      </w:tr>
      <w:tr w:rsidR="00917728" w:rsidRPr="00917728" w14:paraId="31FDD3DA" w14:textId="77777777" w:rsidTr="00917728">
        <w:trPr>
          <w:trHeight w:val="360"/>
        </w:trPr>
        <w:tc>
          <w:tcPr>
            <w:tcW w:w="430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90049F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1927E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Hills, k/d (n=1)</w:t>
            </w:r>
          </w:p>
        </w:tc>
      </w:tr>
      <w:tr w:rsidR="00917728" w:rsidRPr="00917728" w14:paraId="4A5F355E" w14:textId="77777777" w:rsidTr="00917728">
        <w:trPr>
          <w:trHeight w:val="360"/>
        </w:trPr>
        <w:tc>
          <w:tcPr>
            <w:tcW w:w="860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112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Commercial diet</w:t>
            </w:r>
          </w:p>
        </w:tc>
      </w:tr>
      <w:tr w:rsidR="00917728" w:rsidRPr="00917728" w14:paraId="5A4D4577" w14:textId="77777777" w:rsidTr="00917728">
        <w:trPr>
          <w:trHeight w:val="680"/>
        </w:trPr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F4644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Mini indoor adult (n=2)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86DB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other companies, animal based (n=7)</w:t>
            </w:r>
          </w:p>
        </w:tc>
      </w:tr>
      <w:tr w:rsidR="00917728" w:rsidRPr="00917728" w14:paraId="114E54A9" w14:textId="77777777" w:rsidTr="00917728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6ED220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Light weight (n=1)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050A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917728" w:rsidRPr="00917728" w14:paraId="08FECDE8" w14:textId="77777777" w:rsidTr="00917728">
        <w:trPr>
          <w:trHeight w:val="380"/>
        </w:trPr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128CF9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Pomeranian (n=1)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6DB10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917728" w:rsidRPr="00917728" w14:paraId="1B439AD6" w14:textId="77777777" w:rsidTr="00917728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2DEFA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Royal Canin, Senior (n=1)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EF617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917728" w:rsidRPr="00917728" w14:paraId="36906503" w14:textId="77777777" w:rsidTr="00917728">
        <w:trPr>
          <w:trHeight w:val="70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B97CC5A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Dry food, other companies, animal based (n=1)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4C8B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 xml:space="preserve">　</w:t>
            </w:r>
          </w:p>
        </w:tc>
      </w:tr>
      <w:tr w:rsidR="00917728" w:rsidRPr="00917728" w14:paraId="04136778" w14:textId="77777777" w:rsidTr="00917728">
        <w:trPr>
          <w:trHeight w:val="360"/>
        </w:trPr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7FE8D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HAC, hyperadrenocorticism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A979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</w:tbl>
    <w:p w14:paraId="5677B4F4" w14:textId="48682EC7" w:rsidR="00917728" w:rsidRDefault="00917728"/>
    <w:p w14:paraId="5FD757CA" w14:textId="77777777" w:rsidR="00917728" w:rsidRDefault="00917728">
      <w:pPr>
        <w:widowControl/>
        <w:wordWrap/>
        <w:autoSpaceDE/>
        <w:autoSpaceDN/>
      </w:pPr>
      <w:r>
        <w:br w:type="page"/>
      </w:r>
    </w:p>
    <w:tbl>
      <w:tblPr>
        <w:tblW w:w="722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97"/>
        <w:gridCol w:w="1914"/>
        <w:gridCol w:w="1902"/>
        <w:gridCol w:w="1611"/>
      </w:tblGrid>
      <w:tr w:rsidR="00917728" w:rsidRPr="00917728" w14:paraId="6C1B9032" w14:textId="77777777" w:rsidTr="00917728">
        <w:trPr>
          <w:trHeight w:val="960"/>
        </w:trPr>
        <w:tc>
          <w:tcPr>
            <w:tcW w:w="7224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F423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lastRenderedPageBreak/>
              <w:t xml:space="preserve">Table S2. </w:t>
            </w: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Alpha diversity analyzed using 16S ribosomal ribonucleic acid sequencing in healthy dogs and dogs with HAC</w:t>
            </w:r>
          </w:p>
        </w:tc>
      </w:tr>
      <w:tr w:rsidR="00917728" w:rsidRPr="00917728" w14:paraId="106A1E27" w14:textId="77777777" w:rsidTr="00917728">
        <w:trPr>
          <w:trHeight w:val="7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77B1D1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Alpha diversity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ED8F3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HAC dogs (n=15)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E9D2228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Healthy dogs (n=9)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09D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p-value</w:t>
            </w:r>
          </w:p>
        </w:tc>
      </w:tr>
      <w:tr w:rsidR="00917728" w:rsidRPr="00917728" w14:paraId="535A1009" w14:textId="77777777" w:rsidTr="00917728">
        <w:trPr>
          <w:trHeight w:val="680"/>
        </w:trPr>
        <w:tc>
          <w:tcPr>
            <w:tcW w:w="17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13759D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Chao 1</w:t>
            </w:r>
          </w:p>
        </w:tc>
        <w:tc>
          <w:tcPr>
            <w:tcW w:w="1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93F1C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44(34.00, 47.00)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E84A0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35(31.50, 40.00)</w:t>
            </w: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F69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0.086</w:t>
            </w:r>
          </w:p>
        </w:tc>
      </w:tr>
      <w:tr w:rsidR="00917728" w:rsidRPr="00917728" w14:paraId="5CDB2216" w14:textId="77777777" w:rsidTr="00917728">
        <w:trPr>
          <w:trHeight w:val="700"/>
        </w:trPr>
        <w:tc>
          <w:tcPr>
            <w:tcW w:w="179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12610AC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Shannon index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5A636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1.410(1.220, 1.990)</w:t>
            </w:r>
          </w:p>
        </w:tc>
        <w:tc>
          <w:tcPr>
            <w:tcW w:w="19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2A58811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2.050(1.850, 2.345)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1E000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0.0148*</w:t>
            </w:r>
          </w:p>
        </w:tc>
      </w:tr>
      <w:tr w:rsidR="00917728" w:rsidRPr="00917728" w14:paraId="64E09257" w14:textId="77777777" w:rsidTr="00917728">
        <w:trPr>
          <w:trHeight w:val="360"/>
        </w:trPr>
        <w:tc>
          <w:tcPr>
            <w:tcW w:w="722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87C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Variables are expressed as median (interquartile range)</w:t>
            </w:r>
          </w:p>
        </w:tc>
      </w:tr>
      <w:tr w:rsidR="00917728" w:rsidRPr="00917728" w14:paraId="543B6D47" w14:textId="77777777" w:rsidTr="00917728">
        <w:trPr>
          <w:trHeight w:val="360"/>
        </w:trPr>
        <w:tc>
          <w:tcPr>
            <w:tcW w:w="371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B048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HAC, hyperadrenocorticism</w:t>
            </w:r>
          </w:p>
        </w:tc>
        <w:tc>
          <w:tcPr>
            <w:tcW w:w="19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5841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B8BB5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17728" w:rsidRPr="00917728" w14:paraId="466DFEBA" w14:textId="77777777" w:rsidTr="00917728">
        <w:trPr>
          <w:trHeight w:val="360"/>
        </w:trPr>
        <w:tc>
          <w:tcPr>
            <w:tcW w:w="722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C246C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*p &lt;0.05, statistically significant differences based on Mann–Whitney test.</w:t>
            </w:r>
          </w:p>
        </w:tc>
      </w:tr>
    </w:tbl>
    <w:p w14:paraId="3BEB2E9E" w14:textId="70A4DB1B" w:rsidR="00917728" w:rsidRDefault="00917728"/>
    <w:p w14:paraId="7F768940" w14:textId="77777777" w:rsidR="00917728" w:rsidRDefault="00917728">
      <w:pPr>
        <w:widowControl/>
        <w:wordWrap/>
        <w:autoSpaceDE/>
        <w:autoSpaceDN/>
      </w:pPr>
      <w:r>
        <w:br w:type="page"/>
      </w:r>
    </w:p>
    <w:tbl>
      <w:tblPr>
        <w:tblW w:w="785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0"/>
        <w:gridCol w:w="2082"/>
        <w:gridCol w:w="2074"/>
        <w:gridCol w:w="1691"/>
      </w:tblGrid>
      <w:tr w:rsidR="00917728" w:rsidRPr="00917728" w14:paraId="5EB9D4B0" w14:textId="77777777" w:rsidTr="00917728">
        <w:trPr>
          <w:trHeight w:val="960"/>
        </w:trPr>
        <w:tc>
          <w:tcPr>
            <w:tcW w:w="7857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F71B4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lastRenderedPageBreak/>
              <w:t xml:space="preserve">Table S3. </w:t>
            </w: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 xml:space="preserve">Alpha diversity analyzed using 16S ribosomal ribonucleic acid sequencing in dogs with HAC before and after </w:t>
            </w:r>
            <w:proofErr w:type="spellStart"/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trilostane</w:t>
            </w:r>
            <w:proofErr w:type="spellEnd"/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 xml:space="preserve"> treatment</w:t>
            </w:r>
          </w:p>
        </w:tc>
      </w:tr>
      <w:tr w:rsidR="00917728" w:rsidRPr="00917728" w14:paraId="6F6A8D0A" w14:textId="77777777" w:rsidTr="00917728">
        <w:trPr>
          <w:trHeight w:val="380"/>
        </w:trPr>
        <w:tc>
          <w:tcPr>
            <w:tcW w:w="20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1A215D0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Alpha diversity</w:t>
            </w:r>
          </w:p>
        </w:tc>
        <w:tc>
          <w:tcPr>
            <w:tcW w:w="4156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CFA770A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HAC dogs</w:t>
            </w: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 xml:space="preserve"> </w:t>
            </w: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(n=5)</w:t>
            </w:r>
          </w:p>
        </w:tc>
        <w:tc>
          <w:tcPr>
            <w:tcW w:w="1691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758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p-value</w:t>
            </w:r>
          </w:p>
        </w:tc>
      </w:tr>
      <w:tr w:rsidR="00917728" w:rsidRPr="00917728" w14:paraId="3580FFD8" w14:textId="77777777" w:rsidTr="00917728">
        <w:trPr>
          <w:trHeight w:val="700"/>
        </w:trPr>
        <w:tc>
          <w:tcPr>
            <w:tcW w:w="20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65B1A01B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6A58262A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Pre-treatment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2BD0AD9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b/>
                <w:bCs/>
                <w:color w:val="000000"/>
                <w:kern w:val="0"/>
                <w:sz w:val="24"/>
                <w14:ligatures w14:val="none"/>
              </w:rPr>
              <w:t>Post-treatment</w:t>
            </w:r>
          </w:p>
        </w:tc>
        <w:tc>
          <w:tcPr>
            <w:tcW w:w="1691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560EC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</w:tr>
      <w:tr w:rsidR="00917728" w:rsidRPr="00917728" w14:paraId="725DF63A" w14:textId="77777777" w:rsidTr="00917728">
        <w:trPr>
          <w:trHeight w:val="680"/>
        </w:trPr>
        <w:tc>
          <w:tcPr>
            <w:tcW w:w="201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E3D35E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Chao 1</w:t>
            </w:r>
          </w:p>
        </w:tc>
        <w:tc>
          <w:tcPr>
            <w:tcW w:w="2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308515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39.00(34.50, 46.00)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6E387D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39.00(33.00, 46.50)</w:t>
            </w: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06A6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0.875</w:t>
            </w:r>
          </w:p>
        </w:tc>
      </w:tr>
      <w:tr w:rsidR="00917728" w:rsidRPr="00917728" w14:paraId="149ECE27" w14:textId="77777777" w:rsidTr="00917728">
        <w:trPr>
          <w:trHeight w:val="700"/>
        </w:trPr>
        <w:tc>
          <w:tcPr>
            <w:tcW w:w="201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BC0CCD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Shannon index 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43E685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1.890(1.300, 2.155)</w:t>
            </w:r>
          </w:p>
        </w:tc>
        <w:tc>
          <w:tcPr>
            <w:tcW w:w="207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DEF522F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1.440(1.305, 2.050)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0B510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jc w:val="center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0.8125</w:t>
            </w:r>
          </w:p>
        </w:tc>
      </w:tr>
      <w:tr w:rsidR="00917728" w:rsidRPr="00917728" w14:paraId="545D90B0" w14:textId="77777777" w:rsidTr="00917728">
        <w:trPr>
          <w:trHeight w:val="360"/>
        </w:trPr>
        <w:tc>
          <w:tcPr>
            <w:tcW w:w="785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76F82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Variables are expressed as median (interquartile range)</w:t>
            </w:r>
          </w:p>
        </w:tc>
      </w:tr>
      <w:tr w:rsidR="00917728" w:rsidRPr="00917728" w14:paraId="3E02E073" w14:textId="77777777" w:rsidTr="00917728">
        <w:trPr>
          <w:trHeight w:val="360"/>
        </w:trPr>
        <w:tc>
          <w:tcPr>
            <w:tcW w:w="4092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848E33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HAC, hyperadrenocorticism</w:t>
            </w:r>
          </w:p>
        </w:tc>
        <w:tc>
          <w:tcPr>
            <w:tcW w:w="2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00157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0CAB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917728" w:rsidRPr="00917728" w14:paraId="5D13F196" w14:textId="77777777" w:rsidTr="00917728">
        <w:trPr>
          <w:trHeight w:val="360"/>
        </w:trPr>
        <w:tc>
          <w:tcPr>
            <w:tcW w:w="785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97E03" w14:textId="77777777" w:rsidR="00917728" w:rsidRPr="00917728" w:rsidRDefault="00917728" w:rsidP="00917728">
            <w:pPr>
              <w:widowControl/>
              <w:wordWrap/>
              <w:autoSpaceDE/>
              <w:autoSpaceDN/>
              <w:spacing w:after="0"/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</w:pPr>
            <w:r w:rsidRPr="00917728">
              <w:rPr>
                <w:rFonts w:ascii="Times New Roman" w:eastAsia="맑은 고딕" w:hAnsi="Times New Roman" w:cs="Times New Roman"/>
                <w:color w:val="000000"/>
                <w:kern w:val="0"/>
                <w:sz w:val="24"/>
                <w14:ligatures w14:val="none"/>
              </w:rPr>
              <w:t>*p &lt;0.05, statistically significant differences based on Wilcoxon signed-rank test.</w:t>
            </w:r>
          </w:p>
        </w:tc>
      </w:tr>
    </w:tbl>
    <w:p w14:paraId="0B3E508D" w14:textId="77777777" w:rsidR="005A42F5" w:rsidRPr="00917728" w:rsidRDefault="005A42F5"/>
    <w:sectPr w:rsidR="005A42F5" w:rsidRPr="009177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 w:grammar="clean"/>
  <w:attachedTemplate r:id="rId1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28"/>
    <w:rsid w:val="00034E9E"/>
    <w:rsid w:val="00045A9D"/>
    <w:rsid w:val="00081384"/>
    <w:rsid w:val="00083930"/>
    <w:rsid w:val="00085222"/>
    <w:rsid w:val="000C1C92"/>
    <w:rsid w:val="000C5EEC"/>
    <w:rsid w:val="000D2FA6"/>
    <w:rsid w:val="000D3125"/>
    <w:rsid w:val="0015794D"/>
    <w:rsid w:val="001E290D"/>
    <w:rsid w:val="002A12ED"/>
    <w:rsid w:val="00341BBF"/>
    <w:rsid w:val="00403B6B"/>
    <w:rsid w:val="00426404"/>
    <w:rsid w:val="004438C1"/>
    <w:rsid w:val="004612C6"/>
    <w:rsid w:val="004879FB"/>
    <w:rsid w:val="004E1303"/>
    <w:rsid w:val="0057349A"/>
    <w:rsid w:val="005A42F5"/>
    <w:rsid w:val="005D6964"/>
    <w:rsid w:val="006E4A99"/>
    <w:rsid w:val="0072078C"/>
    <w:rsid w:val="00733C60"/>
    <w:rsid w:val="00740751"/>
    <w:rsid w:val="008233BD"/>
    <w:rsid w:val="00827D74"/>
    <w:rsid w:val="008736DE"/>
    <w:rsid w:val="008759F5"/>
    <w:rsid w:val="008E09C1"/>
    <w:rsid w:val="0090348E"/>
    <w:rsid w:val="00917728"/>
    <w:rsid w:val="009345EE"/>
    <w:rsid w:val="009709BD"/>
    <w:rsid w:val="009A4964"/>
    <w:rsid w:val="009D17E8"/>
    <w:rsid w:val="00A14CF2"/>
    <w:rsid w:val="00A40369"/>
    <w:rsid w:val="00A62770"/>
    <w:rsid w:val="00A70355"/>
    <w:rsid w:val="00AC7629"/>
    <w:rsid w:val="00BA2BF0"/>
    <w:rsid w:val="00BF006C"/>
    <w:rsid w:val="00D12803"/>
    <w:rsid w:val="00D81D60"/>
    <w:rsid w:val="00E473DF"/>
    <w:rsid w:val="00ED2278"/>
    <w:rsid w:val="00ED50EF"/>
    <w:rsid w:val="00EE29BE"/>
    <w:rsid w:val="00F03D8B"/>
    <w:rsid w:val="00F43147"/>
    <w:rsid w:val="00F54C03"/>
    <w:rsid w:val="00F61330"/>
    <w:rsid w:val="00F67F5C"/>
    <w:rsid w:val="00FB3872"/>
    <w:rsid w:val="00FB6894"/>
    <w:rsid w:val="00FF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545E583"/>
  <w15:chartTrackingRefBased/>
  <w15:docId w15:val="{B73ECB9A-838F-A049-8278-5A8603E3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EastAsia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936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 jun Kang</dc:creator>
  <cp:keywords/>
  <dc:description/>
  <cp:lastModifiedBy>희준 강</cp:lastModifiedBy>
  <cp:revision>1</cp:revision>
  <dcterms:created xsi:type="dcterms:W3CDTF">2024-10-03T05:09:00Z</dcterms:created>
  <dcterms:modified xsi:type="dcterms:W3CDTF">2024-10-03T05:10:00Z</dcterms:modified>
</cp:coreProperties>
</file>