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65FAC" w:rsidRDefault="006B19F5">
      <w:r w:rsidRPr="006B19F5">
        <w:drawing>
          <wp:inline distT="0" distB="0" distL="0" distR="0" wp14:anchorId="5074E48E" wp14:editId="1F557C4D">
            <wp:extent cx="4724400" cy="44767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724400" cy="4476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B19F5" w:rsidRDefault="006B19F5"/>
    <w:p w:rsidR="006B19F5" w:rsidRDefault="006B19F5" w:rsidP="006B19F5">
      <w:r>
        <w:t xml:space="preserve">V/Sc vs Sc </w:t>
      </w:r>
    </w:p>
    <w:p w:rsidR="006B19F5" w:rsidRDefault="006B19F5" w:rsidP="006B19F5">
      <w:r>
        <w:t>• V/Sc versus Sc classification diagram</w:t>
      </w:r>
    </w:p>
    <w:p w:rsidR="006B19F5" w:rsidRDefault="006B19F5" w:rsidP="006B19F5">
      <w:r>
        <w:t xml:space="preserve">• Decreasing V/Sc with decreasing Sc signifies fractional </w:t>
      </w:r>
      <w:proofErr w:type="spellStart"/>
      <w:r>
        <w:t>crystallisation</w:t>
      </w:r>
      <w:proofErr w:type="spellEnd"/>
      <w:r>
        <w:t xml:space="preserve"> of magnetite.</w:t>
      </w:r>
    </w:p>
    <w:p w:rsidR="006B19F5" w:rsidRDefault="006B19F5" w:rsidP="006B19F5">
      <w:r>
        <w:rPr>
          <w:rFonts w:ascii="Cambria Math" w:hAnsi="Cambria Math" w:cs="Cambria Math"/>
        </w:rPr>
        <w:t>⇒</w:t>
      </w:r>
      <w:r>
        <w:t xml:space="preserve"> Halley, S. (2020) Mapping magmatic and hydrothermal processes from routine exploration geochemical analyses. Economic Geology v. 115(3)</w:t>
      </w:r>
    </w:p>
    <w:p w:rsidR="006B19F5" w:rsidRDefault="006B19F5" w:rsidP="006B19F5"/>
    <w:p w:rsidR="006B19F5" w:rsidRDefault="006B19F5" w:rsidP="006B19F5">
      <w:r w:rsidRPr="006B19F5">
        <w:lastRenderedPageBreak/>
        <w:drawing>
          <wp:inline distT="0" distB="0" distL="0" distR="0" wp14:anchorId="0606DCD1" wp14:editId="720E74F1">
            <wp:extent cx="4705350" cy="46101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705350" cy="4610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B19F5" w:rsidRDefault="006B19F5" w:rsidP="006B19F5"/>
    <w:p w:rsidR="006B19F5" w:rsidRDefault="006B19F5" w:rsidP="006B19F5"/>
    <w:p w:rsidR="006B19F5" w:rsidRDefault="006B19F5" w:rsidP="006B19F5"/>
    <w:p w:rsidR="006B19F5" w:rsidRDefault="006B19F5" w:rsidP="006B19F5"/>
    <w:p w:rsidR="006B19F5" w:rsidRDefault="006B19F5" w:rsidP="006B19F5">
      <w:r w:rsidRPr="006B19F5">
        <w:lastRenderedPageBreak/>
        <w:drawing>
          <wp:inline distT="0" distB="0" distL="0" distR="0" wp14:anchorId="24563B52" wp14:editId="6268F6EE">
            <wp:extent cx="4724400" cy="447675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24400" cy="4476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B19F5" w:rsidRDefault="006B19F5" w:rsidP="006B19F5">
      <w:r>
        <w:t xml:space="preserve">Sr/Y vs SiO2 wt% </w:t>
      </w:r>
    </w:p>
    <w:p w:rsidR="006B19F5" w:rsidRDefault="006B19F5" w:rsidP="006B19F5">
      <w:r>
        <w:t xml:space="preserve">• Ratio Sr/Y usually effective in discriminating Cu ore-forming magmas from ordinary andesites, dacites and rhyolites in </w:t>
      </w:r>
    </w:p>
    <w:p w:rsidR="006B19F5" w:rsidRDefault="006B19F5" w:rsidP="006B19F5">
      <w:r>
        <w:t xml:space="preserve">• apparently </w:t>
      </w:r>
      <w:r>
        <w:t>unmineralized</w:t>
      </w:r>
      <w:r>
        <w:t xml:space="preserve"> arc segments around the pacific margin. For prospectivity assessments of igneous complexes, sites </w:t>
      </w:r>
    </w:p>
    <w:p w:rsidR="006B19F5" w:rsidRDefault="006B19F5" w:rsidP="006B19F5">
      <w:r>
        <w:t xml:space="preserve">• having Sr/Y&gt;35 at SiO2&gt;57 wt% can be regarded as Cu-fertile. </w:t>
      </w:r>
    </w:p>
    <w:p w:rsidR="006B19F5" w:rsidRDefault="006B19F5" w:rsidP="006B19F5">
      <w:r>
        <w:rPr>
          <w:rFonts w:ascii="Cambria Math" w:hAnsi="Cambria Math" w:cs="Cambria Math"/>
        </w:rPr>
        <w:t>⇒</w:t>
      </w:r>
      <w:r>
        <w:t xml:space="preserve"> Loucks, R.R., 2014, Distinctive composition of copper ore-forming arc magmas: Australian Journal of Earth Sciences, v. 61, pp. 5-16.</w:t>
      </w:r>
    </w:p>
    <w:p w:rsidR="006B19F5" w:rsidRDefault="006B19F5" w:rsidP="006B19F5"/>
    <w:p w:rsidR="006B19F5" w:rsidRDefault="006B19F5" w:rsidP="006B19F5">
      <w:r w:rsidRPr="006B19F5">
        <w:lastRenderedPageBreak/>
        <w:drawing>
          <wp:inline distT="0" distB="0" distL="0" distR="0" wp14:anchorId="0A4216EF" wp14:editId="71661629">
            <wp:extent cx="4724400" cy="447675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724400" cy="4476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B19F5" w:rsidRDefault="006B19F5" w:rsidP="006B19F5">
      <w:r>
        <w:t xml:space="preserve">Porphyry Cu Prospectivity Sr/Y vs Y </w:t>
      </w:r>
    </w:p>
    <w:p w:rsidR="006B19F5" w:rsidRDefault="006B19F5" w:rsidP="006B19F5">
      <w:r>
        <w:t>• Plot of Sr/Y against Y. The fields for typical composition of Adakite-like rocks and normal andesite-dacite-rhyolite rocks are from Richards and Kerrich (2007)</w:t>
      </w:r>
    </w:p>
    <w:p w:rsidR="006B19F5" w:rsidRDefault="006B19F5" w:rsidP="006B19F5">
      <w:r>
        <w:rPr>
          <w:rFonts w:ascii="Cambria Math" w:hAnsi="Cambria Math" w:cs="Cambria Math"/>
        </w:rPr>
        <w:t>⇒</w:t>
      </w:r>
      <w:r>
        <w:t xml:space="preserve"> Richards et al., 2012, High Sr/Y Magmas Reflect Arc Maturity, High Magmatic Water Content, and Porphyry Cu +/- Mo +/- Au Potential: Examples from the Tethyan Arcs of Central and Eastern Iran and Western Pakistan, Economic Geology, v.107, pp. 310, Fig 9c</w:t>
      </w:r>
    </w:p>
    <w:p w:rsidR="006B19F5" w:rsidRDefault="006B19F5" w:rsidP="006B19F5"/>
    <w:p w:rsidR="006B19F5" w:rsidRDefault="006B19F5" w:rsidP="006B19F5">
      <w:r w:rsidRPr="006B19F5">
        <w:lastRenderedPageBreak/>
        <w:drawing>
          <wp:inline distT="0" distB="0" distL="0" distR="0" wp14:anchorId="05747D70" wp14:editId="5FA2DCEE">
            <wp:extent cx="4724400" cy="4476750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724400" cy="4476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B19F5" w:rsidRDefault="006B19F5" w:rsidP="006B19F5"/>
    <w:p w:rsidR="006B19F5" w:rsidRDefault="006B19F5" w:rsidP="006B19F5">
      <w:r>
        <w:t xml:space="preserve">Porphyry Prospectivity Diagram (Sr/MnO vs Sr/Y) </w:t>
      </w:r>
    </w:p>
    <w:p w:rsidR="006B19F5" w:rsidRDefault="006B19F5" w:rsidP="006B19F5">
      <w:r>
        <w:t>• (Automatic Unit conversion will occur)</w:t>
      </w:r>
    </w:p>
    <w:p w:rsidR="006B19F5" w:rsidRDefault="006B19F5" w:rsidP="006B19F5">
      <w:r>
        <w:t>• Prospectivity diagram for porphyry Cu, skarn or epithermal mineralisation constructed using Sr/MnO and Sr/Y ratios.</w:t>
      </w:r>
    </w:p>
    <w:p w:rsidR="006B19F5" w:rsidRDefault="006B19F5" w:rsidP="006B19F5">
      <w:r>
        <w:t xml:space="preserve">• Three prospectivity fields for prospective, </w:t>
      </w:r>
      <w:proofErr w:type="spellStart"/>
      <w:r>
        <w:t>unprospective</w:t>
      </w:r>
      <w:proofErr w:type="spellEnd"/>
      <w:r>
        <w:t xml:space="preserve"> and mixed signals (overlap between prospective and </w:t>
      </w:r>
      <w:proofErr w:type="spellStart"/>
      <w:r>
        <w:t>unprospective</w:t>
      </w:r>
      <w:proofErr w:type="spellEnd"/>
      <w:r>
        <w:t xml:space="preserve"> fields).</w:t>
      </w:r>
    </w:p>
    <w:p w:rsidR="006B19F5" w:rsidRDefault="006B19F5" w:rsidP="006B19F5">
      <w:r>
        <w:rPr>
          <w:rFonts w:ascii="Cambria Math" w:hAnsi="Cambria Math" w:cs="Cambria Math"/>
        </w:rPr>
        <w:t>⇒</w:t>
      </w:r>
      <w:r>
        <w:t xml:space="preserve"> Ahmed et al., 2019 Assessing copper fertility of intrusive rocks using field portable X-ray fluorescence (</w:t>
      </w:r>
      <w:proofErr w:type="spellStart"/>
      <w:r>
        <w:t>pXRF</w:t>
      </w:r>
      <w:proofErr w:type="spellEnd"/>
      <w:r>
        <w:t>) data. Geochemistry: Exploration, Environment, Analysis. Vol. 20, pp. 81-97.</w:t>
      </w:r>
    </w:p>
    <w:p w:rsidR="006B19F5" w:rsidRDefault="006B19F5" w:rsidP="006B19F5"/>
    <w:p w:rsidR="006B19F5" w:rsidRDefault="006B19F5" w:rsidP="006B19F5">
      <w:r w:rsidRPr="006B19F5">
        <w:lastRenderedPageBreak/>
        <w:drawing>
          <wp:inline distT="0" distB="0" distL="0" distR="0" wp14:anchorId="00266F24" wp14:editId="6F621863">
            <wp:extent cx="4724400" cy="4476750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724400" cy="4476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B19F5" w:rsidRDefault="006B19F5" w:rsidP="006B19F5"/>
    <w:p w:rsidR="006B19F5" w:rsidRDefault="006B19F5" w:rsidP="006B19F5">
      <w:r>
        <w:t xml:space="preserve">Sr/Y vs SiO2 </w:t>
      </w:r>
    </w:p>
    <w:p w:rsidR="006B19F5" w:rsidRDefault="006B19F5" w:rsidP="006B19F5">
      <w:r>
        <w:t xml:space="preserve">• Two fields represent i) rock suites associated with Cu-Au ore deposits and ii) a barren reference rock suite defined by samples from NW Pacific volcanic arcs, including </w:t>
      </w:r>
      <w:proofErr w:type="spellStart"/>
      <w:r>
        <w:t>intraoceanic</w:t>
      </w:r>
      <w:proofErr w:type="spellEnd"/>
      <w:r>
        <w:t xml:space="preserve"> and continental margin arcs (Kurile Arc, N. Honshu Arc, Central Ryukyu and </w:t>
      </w:r>
      <w:proofErr w:type="spellStart"/>
      <w:r>
        <w:t>Izu</w:t>
      </w:r>
      <w:proofErr w:type="spellEnd"/>
      <w:r>
        <w:t>-Bonin Arc).</w:t>
      </w:r>
    </w:p>
    <w:p w:rsidR="006B19F5" w:rsidRDefault="006B19F5" w:rsidP="006B19F5">
      <w:r>
        <w:t>• All analyses are from fresh or weakly altered (weakly propylitic at most) whole-rock samples.</w:t>
      </w:r>
    </w:p>
    <w:p w:rsidR="006B19F5" w:rsidRDefault="006B19F5" w:rsidP="006B19F5">
      <w:r>
        <w:rPr>
          <w:rFonts w:ascii="Cambria Math" w:hAnsi="Cambria Math" w:cs="Cambria Math"/>
        </w:rPr>
        <w:t>⇒</w:t>
      </w:r>
      <w:r>
        <w:t xml:space="preserve"> Diagram from Cohen et al. (2010) after </w:t>
      </w:r>
      <w:proofErr w:type="spellStart"/>
      <w:r>
        <w:t>Rohrlach</w:t>
      </w:r>
      <w:proofErr w:type="spellEnd"/>
      <w:r>
        <w:t>, B.D. and Loucks, R.R. (2005).</w:t>
      </w:r>
    </w:p>
    <w:p w:rsidR="006B19F5" w:rsidRDefault="006B19F5" w:rsidP="006B19F5">
      <w:r>
        <w:rPr>
          <w:rFonts w:ascii="Cambria Math" w:hAnsi="Cambria Math" w:cs="Cambria Math"/>
        </w:rPr>
        <w:t>⇒</w:t>
      </w:r>
      <w:r>
        <w:t xml:space="preserve"> Cohen et al., 2010. Major advances in exploration geochemistry, 1998-2007. Geochemistry: Exploration, Environment, Analysis, vol. 10, pp. 3-16</w:t>
      </w:r>
    </w:p>
    <w:p w:rsidR="006B19F5" w:rsidRDefault="006B19F5" w:rsidP="006B19F5">
      <w:r>
        <w:rPr>
          <w:rFonts w:ascii="Cambria Math" w:hAnsi="Cambria Math" w:cs="Cambria Math"/>
        </w:rPr>
        <w:t>⇒</w:t>
      </w:r>
      <w:r>
        <w:t xml:space="preserve"> </w:t>
      </w:r>
      <w:proofErr w:type="spellStart"/>
      <w:r>
        <w:t>Rohrlach</w:t>
      </w:r>
      <w:proofErr w:type="spellEnd"/>
      <w:r>
        <w:t xml:space="preserve">, B.D. and Loucks, R.R. 2005. Multi-million-year cyclic ramp-up of volatiles in a lower crustal magma reservoir trapped below the </w:t>
      </w:r>
      <w:proofErr w:type="spellStart"/>
      <w:r>
        <w:t>Tampakan</w:t>
      </w:r>
      <w:proofErr w:type="spellEnd"/>
      <w:r>
        <w:t xml:space="preserve"> copper-gold deposit by Mio-Pliocene crustal compression in the southern Philippines.</w:t>
      </w:r>
    </w:p>
    <w:p w:rsidR="006B19F5" w:rsidRDefault="006B19F5" w:rsidP="006B19F5">
      <w:r>
        <w:rPr>
          <w:rFonts w:ascii="Cambria Math" w:hAnsi="Cambria Math" w:cs="Cambria Math"/>
        </w:rPr>
        <w:t>⇒</w:t>
      </w:r>
      <w:r>
        <w:t xml:space="preserve"> In: PORTER, T.M. (ed.) Super porphyry copper and gold deposits. A global perspective. PGC Publishing, Perth, vol. 2, 270p.</w:t>
      </w:r>
    </w:p>
    <w:p w:rsidR="006B19F5" w:rsidRDefault="006B19F5" w:rsidP="006B19F5"/>
    <w:p w:rsidR="006B19F5" w:rsidRDefault="006B19F5" w:rsidP="006B19F5"/>
    <w:p w:rsidR="006B19F5" w:rsidRDefault="006B19F5" w:rsidP="006B19F5">
      <w:r w:rsidRPr="006B19F5">
        <w:drawing>
          <wp:inline distT="0" distB="0" distL="0" distR="0" wp14:anchorId="6BB4F9DA" wp14:editId="324D257B">
            <wp:extent cx="4724400" cy="4476750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724400" cy="4476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325E0" w:rsidRDefault="00A325E0" w:rsidP="006B19F5"/>
    <w:p w:rsidR="00A325E0" w:rsidRDefault="00A325E0" w:rsidP="00A325E0">
      <w:r>
        <w:t xml:space="preserve">Porphyry Cu Prospectivity Sr/Y vs SiO2 wt% </w:t>
      </w:r>
    </w:p>
    <w:p w:rsidR="00A325E0" w:rsidRDefault="00A325E0" w:rsidP="00A325E0">
      <w:r>
        <w:t>• Plot of Sr/Y against SiO2. The fields for typical composition of Adakite-like rocks are from Richards and Kerrich (2007)</w:t>
      </w:r>
    </w:p>
    <w:p w:rsidR="00A325E0" w:rsidRDefault="00A325E0" w:rsidP="00A325E0">
      <w:r>
        <w:rPr>
          <w:rFonts w:ascii="Cambria Math" w:hAnsi="Cambria Math" w:cs="Cambria Math"/>
        </w:rPr>
        <w:t>⇒</w:t>
      </w:r>
      <w:r>
        <w:t xml:space="preserve"> Richards et al., 2012, High Sr/Y Magmas Reflect Arc Maturity, High Magmatic Water Content, and Porphyry Cu +/- Mo +/- Au Potential: Examples from the Tethyan Arcs of Central and Eastern Iran and Western Pakistan, Economic Geology, v.107, pp. 310, Fig 9e</w:t>
      </w:r>
    </w:p>
    <w:p w:rsidR="00F059FB" w:rsidRDefault="00F059FB" w:rsidP="00A325E0"/>
    <w:p w:rsidR="00F059FB" w:rsidRDefault="00F059FB" w:rsidP="00A325E0">
      <w:r w:rsidRPr="00F059FB">
        <w:lastRenderedPageBreak/>
        <w:drawing>
          <wp:inline distT="0" distB="0" distL="0" distR="0" wp14:anchorId="343B63E8" wp14:editId="4205B4E7">
            <wp:extent cx="4724400" cy="4476750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724400" cy="4476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85FBA" w:rsidRDefault="00F85FBA" w:rsidP="00F85FBA">
      <w:r>
        <w:t xml:space="preserve">Basalt Th/Yb vs Nb/Yb (Pearce 2008) </w:t>
      </w:r>
    </w:p>
    <w:p w:rsidR="00F85FBA" w:rsidRDefault="00F85FBA" w:rsidP="00F85FBA">
      <w:r>
        <w:t>• Fig 2a. Basalt classification diagram with Th-Nb as proxy for crustal input, divided into oceanic basalts and volcanic arc basalts field.</w:t>
      </w:r>
    </w:p>
    <w:p w:rsidR="00F85FBA" w:rsidRDefault="00F85FBA" w:rsidP="00F85FBA">
      <w:r>
        <w:t>• Acronyms: MORB - Mid-Oceanic Ridge Basalt, OIB - Ocean-Island Basalt, N-MORB - Normal-MORB, E-MORB - Plume-MORB. N-MORB is depleted in trace elements compared to E-MORB.</w:t>
      </w:r>
    </w:p>
    <w:p w:rsidR="00F85FBA" w:rsidRDefault="00F85FBA" w:rsidP="00F85FBA">
      <w:r>
        <w:rPr>
          <w:rFonts w:ascii="Cambria Math" w:hAnsi="Cambria Math" w:cs="Cambria Math"/>
        </w:rPr>
        <w:t>⇒</w:t>
      </w:r>
      <w:r>
        <w:t xml:space="preserve"> Pearce, J.A. 2008. Geochemical fingerprinting of oceanic basalts with applications to ophiolite classification and the search for Archean oceanic crust, Lithos. vol. 100, pp. 14-48</w:t>
      </w:r>
      <w:bookmarkStart w:id="0" w:name="_GoBack"/>
      <w:bookmarkEnd w:id="0"/>
    </w:p>
    <w:sectPr w:rsidR="00F85FBA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19F5"/>
    <w:rsid w:val="00155114"/>
    <w:rsid w:val="00365FAC"/>
    <w:rsid w:val="005B5DAD"/>
    <w:rsid w:val="00633799"/>
    <w:rsid w:val="006B19F5"/>
    <w:rsid w:val="006B2FF8"/>
    <w:rsid w:val="00A325E0"/>
    <w:rsid w:val="00AC3CA8"/>
    <w:rsid w:val="00F059FB"/>
    <w:rsid w:val="00F85F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8E5B48"/>
  <w15:chartTrackingRefBased/>
  <w15:docId w15:val="{56F07009-2586-44C9-B8FC-C9B4A6C0C6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8</Pages>
  <Words>550</Words>
  <Characters>3136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Mineral Resources Authority Papua New Guinea</Company>
  <LinksUpToDate>false</LinksUpToDate>
  <CharactersWithSpaces>3679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Olive Ponyalou</dc:creator>
  <cp:keywords/>
  <dc:description/>
  <cp:lastModifiedBy>Olive Ponyalou</cp:lastModifiedBy>
  <cp:revision>2</cp:revision>
  <dcterms:created xsi:type="dcterms:W3CDTF">2022-07-28T01:46:00Z</dcterms:created>
  <dcterms:modified xsi:type="dcterms:W3CDTF">2022-07-28T02:55:00Z</dcterms:modified>
</cp:coreProperties>
</file>