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B2" w:rsidRPr="001D5809" w:rsidRDefault="006317B2" w:rsidP="006317B2">
      <w:pPr>
        <w:spacing w:line="360" w:lineRule="auto"/>
        <w:ind w:left="0" w:firstLine="0"/>
        <w:rPr>
          <w:rFonts w:ascii="Palatino Linotype" w:hAnsi="Palatino Linotype" w:cs="Times New Roman"/>
          <w:sz w:val="18"/>
          <w:szCs w:val="18"/>
          <w:lang w:val="en-US"/>
        </w:rPr>
      </w:pPr>
      <w:r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Table </w:t>
      </w:r>
      <w:r w:rsidR="001D5809"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>S</w:t>
      </w:r>
      <w:r w:rsidR="000B5697"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>1</w:t>
      </w:r>
      <w:r w:rsidRPr="001D5809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Total sugars, </w:t>
      </w:r>
      <w:proofErr w:type="spellStart"/>
      <w:r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>titratable</w:t>
      </w:r>
      <w:proofErr w:type="spellEnd"/>
      <w:r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 acidity</w:t>
      </w:r>
      <w:r w:rsidR="00637D35"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 (TA)</w:t>
      </w:r>
      <w:r w:rsidRPr="001D5809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, pH and berry weight </w:t>
      </w:r>
      <w:r w:rsidRPr="001D5809">
        <w:rPr>
          <w:rFonts w:ascii="Palatino Linotype" w:hAnsi="Palatino Linotype" w:cs="Times New Roman"/>
          <w:sz w:val="18"/>
          <w:szCs w:val="18"/>
          <w:lang w:val="en-US"/>
        </w:rPr>
        <w:t xml:space="preserve">in </w:t>
      </w:r>
      <w:r w:rsidRPr="001D5809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V. </w:t>
      </w:r>
      <w:proofErr w:type="spellStart"/>
      <w:r w:rsidRPr="001D5809">
        <w:rPr>
          <w:rFonts w:ascii="Palatino Linotype" w:hAnsi="Palatino Linotype" w:cs="Times New Roman"/>
          <w:i/>
          <w:sz w:val="18"/>
          <w:szCs w:val="18"/>
          <w:lang w:val="en-US"/>
        </w:rPr>
        <w:t>vinifera</w:t>
      </w:r>
      <w:proofErr w:type="spellEnd"/>
      <w:r w:rsidRPr="001D5809">
        <w:rPr>
          <w:rFonts w:ascii="Palatino Linotype" w:hAnsi="Palatino Linotype" w:cs="Times New Roman"/>
          <w:sz w:val="18"/>
          <w:szCs w:val="18"/>
          <w:lang w:val="en-US"/>
        </w:rPr>
        <w:t xml:space="preserve"> treated with </w:t>
      </w:r>
      <w:r w:rsidRPr="001D5809">
        <w:rPr>
          <w:rFonts w:ascii="Palatino Linotype" w:hAnsi="Palatino Linotype" w:cs="Times New Roman"/>
          <w:i/>
          <w:sz w:val="18"/>
          <w:szCs w:val="18"/>
          <w:lang w:val="en-US"/>
        </w:rPr>
        <w:t>A. nodosum</w:t>
      </w:r>
      <w:r w:rsidRPr="001D5809">
        <w:rPr>
          <w:rFonts w:ascii="Palatino Linotype" w:hAnsi="Palatino Linotype" w:cs="Times New Roman"/>
          <w:sz w:val="18"/>
          <w:szCs w:val="18"/>
          <w:lang w:val="en-US"/>
        </w:rPr>
        <w:t xml:space="preserve"> extract (SWE) and untreated plants (CTRL), under two irrigation regimes (WW, well-watered; WS, water stressed).</w:t>
      </w:r>
    </w:p>
    <w:p w:rsidR="00637D35" w:rsidRPr="006317B2" w:rsidRDefault="00637D35" w:rsidP="006317B2">
      <w:p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34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992"/>
        <w:gridCol w:w="1134"/>
        <w:gridCol w:w="1134"/>
        <w:gridCol w:w="1134"/>
        <w:gridCol w:w="1134"/>
        <w:gridCol w:w="1134"/>
        <w:gridCol w:w="992"/>
        <w:gridCol w:w="992"/>
      </w:tblGrid>
      <w:tr w:rsidR="006317B2" w:rsidRPr="00977425" w:rsidTr="004B2D62">
        <w:trPr>
          <w:trHeight w:val="3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317B2" w:rsidRPr="00977425" w:rsidRDefault="006317B2" w:rsidP="004B2D62">
            <w:pPr>
              <w:ind w:left="0" w:right="-212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it-I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  <w:t>Total sugars (°Brix)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24"/>
                <w:lang w:val="en-US" w:eastAsia="it-IT"/>
              </w:rPr>
              <w:t>TA (gL</w:t>
            </w:r>
            <w:r w:rsidRPr="00637D3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24"/>
                <w:vertAlign w:val="superscript"/>
                <w:lang w:val="en-US" w:eastAsia="it-IT"/>
              </w:rPr>
              <w:t>-1</w:t>
            </w:r>
            <w:r w:rsidRPr="00637D3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24"/>
                <w:lang w:val="en-US" w:eastAsia="it-IT"/>
              </w:rPr>
              <w:t xml:space="preserve"> tartaric acid)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pH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Berry weight (g)</w:t>
            </w:r>
          </w:p>
        </w:tc>
      </w:tr>
      <w:tr w:rsidR="006317B2" w:rsidRPr="00977425" w:rsidTr="004B2D62">
        <w:trPr>
          <w:trHeight w:val="38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proofErr w:type="spellStart"/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  <w:t>Irrig</w:t>
            </w:r>
            <w:proofErr w:type="spellEnd"/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  <w:t>. Regime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proofErr w:type="spellStart"/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  <w:t>Samp</w:t>
            </w:r>
            <w:proofErr w:type="spellEnd"/>
            <w:r w:rsidRPr="00637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val="en-US" w:eastAsia="it-IT"/>
              </w:rPr>
              <w:t>. Time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CTRL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SWE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CTRL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SWE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CTRL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 xml:space="preserve">    SWE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CTRL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US" w:eastAsia="it-IT"/>
              </w:rPr>
              <w:t>SWE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24"/>
                <w:lang w:val="en-US"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eastAsia="it-IT"/>
              </w:rPr>
            </w:pPr>
            <w:r w:rsidRPr="00637D35">
              <w:rPr>
                <w:rFonts w:ascii="Times New Roman" w:hAnsi="Times New Roman" w:cs="Times New Roman"/>
                <w:sz w:val="18"/>
                <w:lang w:val="en-US"/>
              </w:rPr>
              <w:t>t</w:t>
            </w:r>
            <w:r w:rsidRPr="00637D35">
              <w:rPr>
                <w:rFonts w:ascii="Times New Roman" w:hAnsi="Times New Roman" w:cs="Times New Roman"/>
                <w:sz w:val="1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16.9±0.2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16.4±0.4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13.6±1.0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13.7±1.0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3.09±0.03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3.10±0.03 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1.1±0.1 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1.1±0.1 a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iCs/>
                <w:sz w:val="18"/>
                <w:lang w:val="en-US" w:eastAsia="it-IT"/>
              </w:rPr>
              <w:t>WW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hAnsi="Times New Roman" w:cs="Times New Roman"/>
                <w:sz w:val="18"/>
                <w:lang w:val="en-US"/>
              </w:rPr>
              <w:t>t</w:t>
            </w:r>
            <w:r w:rsidRPr="00637D35">
              <w:rPr>
                <w:rFonts w:ascii="Times New Roman" w:hAnsi="Times New Roman" w:cs="Times New Roman"/>
                <w:sz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17.8±0.1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17.9±0.2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10.4±0.6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12.4±0.5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3.27±0.04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3.22±0.07 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1.1±0.1 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0.9±0.1 a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lang w:val="en-US" w:eastAsia="it-I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val="en-US" w:eastAsia="it-IT"/>
              </w:rPr>
              <w:t>t</w:t>
            </w:r>
            <w:r w:rsidRPr="00637D35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vertAlign w:val="subscript"/>
                <w:lang w:val="en-US" w:eastAsia="it-IT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18.7±0.6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 xml:space="preserve">18.9±0.5 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5.4±0.1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5.6</w:t>
            </w: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 xml:space="preserve">±0.2 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3.52</w:t>
            </w: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±0.03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3.47±0.03 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1.0±0.1 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1.1±0.1 a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eastAsia="it-IT"/>
              </w:rPr>
            </w:pPr>
            <w:r w:rsidRPr="00637D35">
              <w:rPr>
                <w:rFonts w:ascii="Times New Roman" w:hAnsi="Times New Roman" w:cs="Times New Roman"/>
                <w:sz w:val="18"/>
                <w:lang w:val="en-US"/>
              </w:rPr>
              <w:t>t</w:t>
            </w:r>
            <w:r w:rsidRPr="00637D35">
              <w:rPr>
                <w:rFonts w:ascii="Times New Roman" w:hAnsi="Times New Roman" w:cs="Times New Roman"/>
                <w:sz w:val="1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16.0±0.5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16.2±0.5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13.1±0.9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13.0±0.9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3.10±0.04 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3.09±0.04 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0.9±0.1 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0.9±0.1 a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lang w:eastAsia="it-IT"/>
              </w:rPr>
            </w:pPr>
            <w:r w:rsidRPr="00637D35">
              <w:rPr>
                <w:rFonts w:ascii="Times New Roman" w:eastAsia="Times New Roman" w:hAnsi="Times New Roman" w:cs="Times New Roman"/>
                <w:b/>
                <w:iCs/>
                <w:sz w:val="18"/>
                <w:lang w:eastAsia="it-IT"/>
              </w:rPr>
              <w:t>WS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it-IT"/>
              </w:rPr>
            </w:pPr>
            <w:r w:rsidRPr="00637D35">
              <w:rPr>
                <w:rFonts w:ascii="Times New Roman" w:hAnsi="Times New Roman" w:cs="Times New Roman"/>
                <w:sz w:val="18"/>
                <w:lang w:val="en-US"/>
              </w:rPr>
              <w:t>t</w:t>
            </w:r>
            <w:r w:rsidRPr="00637D35">
              <w:rPr>
                <w:rFonts w:ascii="Times New Roman" w:hAnsi="Times New Roman" w:cs="Times New Roman"/>
                <w:sz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18.1±0.1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17.2±0.7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10.7±1.3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12.2±0.5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2.99±0.06 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it-IT"/>
              </w:rPr>
              <w:t>3.13±0.07 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1.0±0.1 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1.0±0.1 a</w:t>
            </w:r>
          </w:p>
        </w:tc>
      </w:tr>
      <w:tr w:rsidR="006317B2" w:rsidRPr="00977425" w:rsidTr="004B2D62">
        <w:trPr>
          <w:trHeight w:val="332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24"/>
                <w:lang w:val="en-US" w:eastAsia="it-I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7D35" w:rsidRDefault="006317B2" w:rsidP="004B2D6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val="en-US" w:eastAsia="it-IT"/>
              </w:rPr>
            </w:pPr>
            <w:r w:rsidRPr="00637D35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lang w:val="en-US" w:eastAsia="it-IT"/>
              </w:rPr>
              <w:t>t</w:t>
            </w:r>
            <w:r w:rsidRPr="00637D35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24"/>
                <w:vertAlign w:val="subscript"/>
                <w:lang w:val="en-US" w:eastAsia="it-IT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19.1±0.7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19.3±0.2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5.6±0.3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5.9±0.1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3.50±0.05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3.48±0.01 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0.9±0.1 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977425" w:rsidRDefault="006317B2" w:rsidP="004B2D6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</w:pPr>
            <w:r w:rsidRPr="0097742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it-IT"/>
              </w:rPr>
              <w:t>1.0±0.1 a</w:t>
            </w:r>
          </w:p>
        </w:tc>
      </w:tr>
    </w:tbl>
    <w:p w:rsidR="00510F6B" w:rsidRDefault="006317B2" w:rsidP="00EE2149">
      <w:pPr>
        <w:ind w:left="0" w:hanging="6"/>
        <w:rPr>
          <w:rFonts w:ascii="Times New Roman" w:hAnsi="Times New Roman" w:cs="Times New Roman"/>
          <w:sz w:val="20"/>
          <w:szCs w:val="24"/>
          <w:lang w:val="en-US"/>
        </w:rPr>
      </w:pPr>
      <w:r w:rsidRPr="006317B2">
        <w:rPr>
          <w:rFonts w:ascii="Times New Roman" w:hAnsi="Times New Roman" w:cs="Times New Roman"/>
          <w:sz w:val="20"/>
          <w:szCs w:val="24"/>
          <w:lang w:val="en-US"/>
        </w:rPr>
        <w:t>Means (± SE, n=10) followed by distinct letters within the same parameter and row are significantly different according to the LSD test (P ≤ 0.05). Measurements were conducted at t</w:t>
      </w:r>
      <w:r w:rsidRPr="006317B2">
        <w:rPr>
          <w:rFonts w:ascii="Times New Roman" w:hAnsi="Times New Roman" w:cs="Times New Roman"/>
          <w:sz w:val="20"/>
          <w:szCs w:val="24"/>
          <w:vertAlign w:val="subscript"/>
          <w:lang w:val="en-US"/>
        </w:rPr>
        <w:t>0</w:t>
      </w:r>
      <w:r w:rsidRPr="006317B2">
        <w:rPr>
          <w:rFonts w:ascii="Times New Roman" w:hAnsi="Times New Roman" w:cs="Times New Roman"/>
          <w:sz w:val="20"/>
          <w:szCs w:val="24"/>
          <w:lang w:val="en-US"/>
        </w:rPr>
        <w:t>, t</w:t>
      </w:r>
      <w:r w:rsidRPr="006317B2">
        <w:rPr>
          <w:rFonts w:ascii="Times New Roman" w:hAnsi="Times New Roman" w:cs="Times New Roman"/>
          <w:sz w:val="20"/>
          <w:szCs w:val="24"/>
          <w:vertAlign w:val="subscript"/>
          <w:lang w:val="en-US"/>
        </w:rPr>
        <w:t>1</w:t>
      </w:r>
      <w:r w:rsidRPr="006317B2">
        <w:rPr>
          <w:rFonts w:ascii="Times New Roman" w:hAnsi="Times New Roman" w:cs="Times New Roman"/>
          <w:sz w:val="20"/>
          <w:szCs w:val="24"/>
          <w:lang w:val="en-US"/>
        </w:rPr>
        <w:t xml:space="preserve"> and t</w:t>
      </w:r>
      <w:r w:rsidRPr="006317B2">
        <w:rPr>
          <w:rFonts w:ascii="Times New Roman" w:hAnsi="Times New Roman" w:cs="Times New Roman"/>
          <w:sz w:val="20"/>
          <w:szCs w:val="24"/>
          <w:vertAlign w:val="subscript"/>
          <w:lang w:val="en-US"/>
        </w:rPr>
        <w:t>2</w:t>
      </w:r>
      <w:r w:rsidRPr="006317B2">
        <w:rPr>
          <w:rFonts w:ascii="Times New Roman" w:hAnsi="Times New Roman" w:cs="Times New Roman"/>
          <w:sz w:val="20"/>
          <w:szCs w:val="24"/>
          <w:lang w:val="en-US"/>
        </w:rPr>
        <w:t>.</w:t>
      </w:r>
      <w:r w:rsidR="00637D35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</w:p>
    <w:p w:rsidR="00EE2149" w:rsidRPr="006317B2" w:rsidRDefault="00EE2149" w:rsidP="00EE2149">
      <w:pPr>
        <w:ind w:left="0" w:hanging="6"/>
        <w:rPr>
          <w:rFonts w:ascii="Times New Roman" w:hAnsi="Times New Roman" w:cs="Times New Roman"/>
          <w:sz w:val="20"/>
          <w:szCs w:val="24"/>
          <w:lang w:val="en-US"/>
        </w:rPr>
      </w:pPr>
      <w:bookmarkStart w:id="0" w:name="_GoBack"/>
      <w:bookmarkEnd w:id="0"/>
    </w:p>
    <w:p w:rsidR="00BD1460" w:rsidRPr="00BD1460" w:rsidRDefault="00AD250D" w:rsidP="00BD1460">
      <w:pPr>
        <w:spacing w:line="360" w:lineRule="auto"/>
        <w:ind w:left="0" w:firstLine="0"/>
        <w:rPr>
          <w:sz w:val="20"/>
          <w:szCs w:val="20"/>
          <w:lang w:val="en-US"/>
        </w:rPr>
      </w:pPr>
      <w:r w:rsidRPr="00BD1460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="00F83059"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0B5697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F8305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D1460" w:rsidRPr="00BD1460">
        <w:rPr>
          <w:rFonts w:ascii="Times New Roman" w:hAnsi="Times New Roman" w:cs="Times New Roman"/>
          <w:sz w:val="20"/>
          <w:szCs w:val="20"/>
          <w:lang w:val="en-US"/>
        </w:rPr>
        <w:t>Two-way ANOVA (P&lt;0.05) for biochemical parameters in berry</w:t>
      </w:r>
      <w:r w:rsidR="00080406">
        <w:rPr>
          <w:rFonts w:ascii="Times New Roman" w:hAnsi="Times New Roman" w:cs="Times New Roman"/>
          <w:sz w:val="20"/>
          <w:szCs w:val="20"/>
          <w:lang w:val="en-US"/>
        </w:rPr>
        <w:t xml:space="preserve"> skin and enzymatic activities.</w:t>
      </w:r>
    </w:p>
    <w:p w:rsidR="004E51E9" w:rsidRPr="00BD1460" w:rsidRDefault="004E51E9" w:rsidP="00BD1460">
      <w:pPr>
        <w:spacing w:line="360" w:lineRule="auto"/>
        <w:ind w:left="0" w:firstLine="0"/>
        <w:rPr>
          <w:noProof/>
          <w:szCs w:val="24"/>
          <w:lang w:val="en-US" w:eastAsia="it-IT"/>
        </w:rPr>
      </w:pPr>
    </w:p>
    <w:tbl>
      <w:tblPr>
        <w:tblW w:w="15039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927"/>
        <w:gridCol w:w="816"/>
        <w:gridCol w:w="938"/>
        <w:gridCol w:w="938"/>
        <w:gridCol w:w="938"/>
        <w:gridCol w:w="765"/>
        <w:gridCol w:w="1134"/>
        <w:gridCol w:w="992"/>
        <w:gridCol w:w="992"/>
        <w:gridCol w:w="851"/>
        <w:gridCol w:w="850"/>
        <w:gridCol w:w="992"/>
        <w:gridCol w:w="851"/>
        <w:gridCol w:w="850"/>
        <w:gridCol w:w="851"/>
      </w:tblGrid>
      <w:tr w:rsidR="00637D35" w:rsidRPr="006317B2" w:rsidTr="00637D35">
        <w:trPr>
          <w:trHeight w:val="473"/>
        </w:trPr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317B2" w:rsidRPr="006317B2" w:rsidRDefault="006317B2" w:rsidP="00637D35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Parameter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Delph.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Cyan.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Petun.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Peon.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Malv.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Tot. Anth.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Methox/non-Methox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% Methox anth/tot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Hydr. Acid Skin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Q. Deriv. Skin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K. Deriv. Skin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Tot. Phen. Skin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F3'5'OH activity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3'OMT activity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5'OMT activity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7D35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Unit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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molg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-1</w:t>
            </w:r>
            <w:r w:rsidRPr="00631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DW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317B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  <w:t>Treatments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SWE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0.80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0.30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2.87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11.39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15.94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12.32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92.27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6.92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9.15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13.05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CTRL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0.61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0.24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2.17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8.63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12.98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15.91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93.51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4.71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4.36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9.91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17.23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  <w:t>Irrig. Regime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WW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0.64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0.28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2.36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8.16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92.17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5.37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8.55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13.80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WS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0.77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0.26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2.60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11.69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16.55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15.18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93.62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2.69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3.31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6.26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4.62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10.50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16.48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it-IT"/>
              </w:rPr>
              <w:t>Significance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Treatments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0.056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0.205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0.135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0.019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0.132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0.523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0.419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0.002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Irrig. Regime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0.575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0.702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0.352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0.973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0.002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0.129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0.001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0.034</w:t>
            </w:r>
          </w:p>
        </w:tc>
      </w:tr>
      <w:tr w:rsidR="00637D35" w:rsidRPr="006317B2" w:rsidTr="00637D35">
        <w:trPr>
          <w:trHeight w:val="286"/>
        </w:trPr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it-IT"/>
              </w:rPr>
              <w:t>Treat. x Irrig. Regime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0.779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0.447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0.487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0.890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0.238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0.713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0.788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0.976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0.338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0.309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0.429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0.009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0.041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B2" w:rsidRPr="006317B2" w:rsidRDefault="006317B2" w:rsidP="006317B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0.027</w:t>
            </w:r>
          </w:p>
        </w:tc>
      </w:tr>
    </w:tbl>
    <w:p w:rsidR="00E44012" w:rsidRDefault="00E44012" w:rsidP="004E51E9">
      <w:pPr>
        <w:spacing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D1460" w:rsidRPr="00F83059" w:rsidRDefault="00BD1460" w:rsidP="00F83059">
      <w:pPr>
        <w:spacing w:line="360" w:lineRule="auto"/>
        <w:ind w:left="0" w:right="-737" w:firstLine="0"/>
        <w:jc w:val="center"/>
        <w:rPr>
          <w:rFonts w:ascii="Palatino Linotype" w:hAnsi="Palatino Linotype" w:cs="Times New Roman"/>
          <w:sz w:val="18"/>
          <w:szCs w:val="18"/>
          <w:lang w:val="en-US"/>
        </w:rPr>
        <w:sectPr w:rsidR="00BD1460" w:rsidRPr="00F83059" w:rsidSect="001D5809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  <w:r w:rsidRPr="00F83059">
        <w:rPr>
          <w:rFonts w:ascii="Palatino Linotype" w:hAnsi="Palatino Linotype" w:cs="Times New Roman"/>
          <w:sz w:val="18"/>
          <w:szCs w:val="18"/>
          <w:lang w:val="en-US"/>
        </w:rPr>
        <w:t>Values are the mean of each Parameter, considering Treatments and irrigation regime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Irrig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>. Regime) as factors. In the last 3 rows is indicated the Significance. Other abbreviation: Delphinidin-3-</w:t>
      </w:r>
      <w:r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Delph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>.), cyanidin-3-</w:t>
      </w:r>
      <w:r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>-glucoside (Cyan.), petunidin-3-</w:t>
      </w:r>
      <w:r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Petun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>.), peonidin-3-</w:t>
      </w:r>
      <w:r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>-glucoside (Peon.), malvidin-3-</w:t>
      </w:r>
      <w:r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Malv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.), total anthocyanin content (Tot.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Anth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.), methoxylated to non-methoxylated ratio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anthocyanins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Methox</w:t>
      </w:r>
      <w:proofErr w:type="spellEnd"/>
      <w:proofErr w:type="gram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./</w:t>
      </w:r>
      <w:proofErr w:type="gram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>non-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Methox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.), percentage of methoxylated anthocyanins among total content (%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Methox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anth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/tot),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hydroxycinnamic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acids in berry skin (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Hydr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 Acid. Skin), quercetin derivatives in berry skin (Q. Deriv. Skin), kaempferol derivatives in berry skin (K. Deriv. Skin), total phenolic content in berry skin (Tot.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Phen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>. Skin).</w:t>
      </w:r>
    </w:p>
    <w:p w:rsidR="00AF4FBE" w:rsidRPr="009E7A8D" w:rsidRDefault="009E7A8D" w:rsidP="009E7A8D">
      <w:pPr>
        <w:spacing w:line="480" w:lineRule="auto"/>
        <w:ind w:left="0" w:firstLine="0"/>
        <w:rPr>
          <w:szCs w:val="24"/>
          <w:lang w:val="en-US"/>
        </w:rPr>
      </w:pPr>
      <w:r w:rsidRPr="00BD1460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Table </w:t>
      </w:r>
      <w:r w:rsidR="00F83059"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 w:rsidR="00F8305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Shapiro-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Wilk’s</w:t>
      </w:r>
      <w:proofErr w:type="spellEnd"/>
      <w:r w:rsidR="004C2A08">
        <w:rPr>
          <w:rFonts w:ascii="Times New Roman" w:hAnsi="Times New Roman" w:cs="Times New Roman"/>
          <w:sz w:val="20"/>
          <w:szCs w:val="20"/>
          <w:lang w:val="en-US"/>
        </w:rPr>
        <w:t xml:space="preserve"> test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4C2A08">
        <w:rPr>
          <w:rFonts w:ascii="Times New Roman" w:hAnsi="Times New Roman" w:cs="Times New Roman"/>
          <w:sz w:val="20"/>
          <w:szCs w:val="20"/>
          <w:lang w:val="en-US"/>
        </w:rPr>
        <w:t>P&lt;0.05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="004C2A08">
        <w:rPr>
          <w:rFonts w:ascii="Times New Roman" w:hAnsi="Times New Roman" w:cs="Times New Roman"/>
          <w:sz w:val="20"/>
          <w:szCs w:val="20"/>
          <w:lang w:val="en-US"/>
        </w:rPr>
        <w:t xml:space="preserve">(George and </w:t>
      </w:r>
      <w:proofErr w:type="spellStart"/>
      <w:r w:rsidR="004C2A08">
        <w:rPr>
          <w:rFonts w:ascii="Times New Roman" w:hAnsi="Times New Roman" w:cs="Times New Roman"/>
          <w:sz w:val="20"/>
          <w:szCs w:val="20"/>
          <w:lang w:val="en-US"/>
        </w:rPr>
        <w:t>Mallery</w:t>
      </w:r>
      <w:proofErr w:type="spellEnd"/>
      <w:r w:rsidR="004C2A08">
        <w:rPr>
          <w:rFonts w:ascii="Times New Roman" w:hAnsi="Times New Roman" w:cs="Times New Roman"/>
          <w:sz w:val="20"/>
          <w:szCs w:val="20"/>
          <w:lang w:val="en-US"/>
        </w:rPr>
        <w:t>, 2010)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C2A08">
        <w:rPr>
          <w:rFonts w:ascii="Times New Roman" w:hAnsi="Times New Roman" w:cs="Times New Roman"/>
          <w:sz w:val="20"/>
          <w:szCs w:val="20"/>
          <w:lang w:val="en-US"/>
        </w:rPr>
        <w:t>results</w:t>
      </w:r>
      <w:r w:rsidR="00DF238A">
        <w:rPr>
          <w:rFonts w:ascii="Times New Roman" w:hAnsi="Times New Roman" w:cs="Times New Roman"/>
          <w:sz w:val="20"/>
          <w:szCs w:val="20"/>
          <w:lang w:val="en-US"/>
        </w:rPr>
        <w:t xml:space="preserve"> for each parameter</w:t>
      </w:r>
      <w:r w:rsidR="004C2A08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9E7A8D" w:rsidRDefault="009E7A8D" w:rsidP="009E7A8D">
      <w:pPr>
        <w:spacing w:line="480" w:lineRule="auto"/>
        <w:ind w:left="0" w:firstLine="0"/>
        <w:jc w:val="center"/>
        <w:rPr>
          <w:rFonts w:ascii="Times New Roman" w:hAnsi="Times New Roman" w:cs="Times New Roman"/>
          <w:szCs w:val="24"/>
          <w:lang w:val="en-US"/>
        </w:rPr>
      </w:pPr>
      <w:r w:rsidRPr="009E7A8D">
        <w:rPr>
          <w:noProof/>
          <w:szCs w:val="24"/>
          <w:lang w:val="en-US" w:eastAsia="zh-CN"/>
        </w:rPr>
        <w:drawing>
          <wp:inline distT="0" distB="0" distL="0" distR="0">
            <wp:extent cx="4103393" cy="8563554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764" cy="857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A8D" w:rsidRPr="00F83059" w:rsidRDefault="00DF238A" w:rsidP="009E7A8D">
      <w:pPr>
        <w:spacing w:line="360" w:lineRule="auto"/>
        <w:ind w:left="0" w:hanging="5"/>
        <w:rPr>
          <w:rFonts w:ascii="Palatino Linotype" w:hAnsi="Palatino Linotype"/>
          <w:sz w:val="18"/>
          <w:szCs w:val="18"/>
          <w:lang w:val="en-US"/>
        </w:rPr>
      </w:pP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lastRenderedPageBreak/>
        <w:t>Skewness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and k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urtosis values</w:t>
      </w:r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and their standard errors (SE), are indicated for each Parameter</w:t>
      </w:r>
      <w:r w:rsidR="003625C2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of treated and non-treated vines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. Other abbreviation: Net assimilation rate (</w:t>
      </w:r>
      <w:proofErr w:type="spellStart"/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P</w:t>
      </w:r>
      <w:r w:rsidR="009E7A8D" w:rsidRPr="00F83059">
        <w:rPr>
          <w:rFonts w:ascii="Palatino Linotype" w:hAnsi="Palatino Linotype" w:cs="Times New Roman"/>
          <w:i/>
          <w:sz w:val="18"/>
          <w:szCs w:val="18"/>
          <w:vertAlign w:val="subscript"/>
          <w:lang w:val="en-US"/>
        </w:rPr>
        <w:t>n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),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stomatal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conductance (</w:t>
      </w:r>
      <w:proofErr w:type="spellStart"/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g</w:t>
      </w:r>
      <w:r w:rsidR="009E7A8D" w:rsidRPr="00F83059">
        <w:rPr>
          <w:rFonts w:ascii="Palatino Linotype" w:hAnsi="Palatino Linotype" w:cs="Times New Roman"/>
          <w:i/>
          <w:sz w:val="18"/>
          <w:szCs w:val="18"/>
          <w:vertAlign w:val="subscript"/>
          <w:lang w:val="en-US"/>
        </w:rPr>
        <w:t>s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), transpiration (E), water use efficiency (WUE), predawn water potential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Ψ</w:t>
      </w:r>
      <w:r w:rsidR="009E7A8D" w:rsidRPr="00F83059">
        <w:rPr>
          <w:rFonts w:ascii="Palatino Linotype" w:hAnsi="Palatino Linotype" w:cs="Times New Roman"/>
          <w:sz w:val="18"/>
          <w:szCs w:val="18"/>
          <w:vertAlign w:val="subscript"/>
          <w:lang w:val="en-US"/>
        </w:rPr>
        <w:t>pd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), midday stem water potential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Ψ</w:t>
      </w:r>
      <w:r w:rsidR="009E7A8D" w:rsidRPr="00F83059">
        <w:rPr>
          <w:rFonts w:ascii="Palatino Linotype" w:hAnsi="Palatino Linotype" w:cs="Times New Roman"/>
          <w:sz w:val="18"/>
          <w:szCs w:val="18"/>
          <w:vertAlign w:val="subscript"/>
          <w:lang w:val="en-US"/>
        </w:rPr>
        <w:t>stem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), relative water content (RWC), total acidity (TA),</w:t>
      </w:r>
      <w:r w:rsidR="009E7A8D" w:rsidRPr="00F83059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Delphinidin-3-</w:t>
      </w:r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Delph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.), cyanidin-3-</w:t>
      </w:r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-glucoside (Cyan.), petunidin-3-</w:t>
      </w:r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Petun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.), peonidin-3-</w:t>
      </w:r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-glucoside (Peon.), malvidin-3-</w:t>
      </w:r>
      <w:r w:rsidR="009E7A8D" w:rsidRPr="00F83059">
        <w:rPr>
          <w:rFonts w:ascii="Palatino Linotype" w:hAnsi="Palatino Linotype" w:cs="Times New Roman"/>
          <w:i/>
          <w:sz w:val="18"/>
          <w:szCs w:val="18"/>
          <w:lang w:val="en-US"/>
        </w:rPr>
        <w:t>O</w:t>
      </w:r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-glucoside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Malv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.), total anthocyanin content (Tot.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Anth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.), percentage of methoxylated anthocyanins among total content (%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Methox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anth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/tot),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hydroxycinnamic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 acids in berry skin (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Hydr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 Acid. Skin), quercetin derivatives in berry skin (Q. Deriv. Skin), kaempferol derivatives in berry skin (K. Deriv. Skin), total phenolic content in berry skin (Tot. </w:t>
      </w:r>
      <w:proofErr w:type="spellStart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Phen</w:t>
      </w:r>
      <w:proofErr w:type="spellEnd"/>
      <w:r w:rsidR="009E7A8D" w:rsidRPr="00F83059">
        <w:rPr>
          <w:rFonts w:ascii="Palatino Linotype" w:hAnsi="Palatino Linotype" w:cs="Times New Roman"/>
          <w:sz w:val="18"/>
          <w:szCs w:val="18"/>
          <w:lang w:val="en-US"/>
        </w:rPr>
        <w:t>. Skin).</w:t>
      </w:r>
    </w:p>
    <w:p w:rsidR="004C2A08" w:rsidRPr="00F83059" w:rsidRDefault="004C2A08" w:rsidP="004C2A08">
      <w:pPr>
        <w:spacing w:line="480" w:lineRule="auto"/>
        <w:ind w:left="0" w:firstLine="0"/>
        <w:jc w:val="left"/>
        <w:rPr>
          <w:rFonts w:ascii="Palatino Linotype" w:hAnsi="Palatino Linotype" w:cs="Times New Roman"/>
          <w:sz w:val="18"/>
          <w:szCs w:val="18"/>
          <w:lang w:val="en-US"/>
        </w:rPr>
      </w:pPr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George, D., </w:t>
      </w:r>
      <w:proofErr w:type="spell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Mallery</w:t>
      </w:r>
      <w:proofErr w:type="spell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, M. SPSS for Windows Step by Step: A simple Guide and reference, 17.0 update (10a </w:t>
      </w:r>
      <w:proofErr w:type="gramStart"/>
      <w:r w:rsidRPr="00F83059">
        <w:rPr>
          <w:rFonts w:ascii="Palatino Linotype" w:hAnsi="Palatino Linotype" w:cs="Times New Roman"/>
          <w:sz w:val="18"/>
          <w:szCs w:val="18"/>
          <w:lang w:val="en-US"/>
        </w:rPr>
        <w:t>ed</w:t>
      </w:r>
      <w:proofErr w:type="gramEnd"/>
      <w:r w:rsidRPr="00F83059">
        <w:rPr>
          <w:rFonts w:ascii="Palatino Linotype" w:hAnsi="Palatino Linotype" w:cs="Times New Roman"/>
          <w:sz w:val="18"/>
          <w:szCs w:val="18"/>
          <w:lang w:val="en-US"/>
        </w:rPr>
        <w:t xml:space="preserve">.) Boston: Pearson. </w:t>
      </w:r>
      <w:r w:rsidRPr="00F83059">
        <w:rPr>
          <w:rFonts w:ascii="Palatino Linotype" w:hAnsi="Palatino Linotype" w:cs="Times New Roman"/>
          <w:b/>
          <w:sz w:val="18"/>
          <w:szCs w:val="18"/>
          <w:lang w:val="en-US"/>
        </w:rPr>
        <w:t>2010</w:t>
      </w:r>
    </w:p>
    <w:sectPr w:rsidR="004C2A08" w:rsidRPr="00F83059" w:rsidSect="00F83059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1CCF"/>
    <w:rsid w:val="00080406"/>
    <w:rsid w:val="000B5697"/>
    <w:rsid w:val="00117A11"/>
    <w:rsid w:val="00140DC6"/>
    <w:rsid w:val="001D5809"/>
    <w:rsid w:val="003625C2"/>
    <w:rsid w:val="003738E4"/>
    <w:rsid w:val="003F3CBE"/>
    <w:rsid w:val="004A535A"/>
    <w:rsid w:val="004C2A08"/>
    <w:rsid w:val="004E51E9"/>
    <w:rsid w:val="00510F6B"/>
    <w:rsid w:val="005356FD"/>
    <w:rsid w:val="005C5334"/>
    <w:rsid w:val="006317B2"/>
    <w:rsid w:val="00637D35"/>
    <w:rsid w:val="00640A92"/>
    <w:rsid w:val="00757C01"/>
    <w:rsid w:val="00774B54"/>
    <w:rsid w:val="007C37CD"/>
    <w:rsid w:val="00804E58"/>
    <w:rsid w:val="0098173F"/>
    <w:rsid w:val="00987CD0"/>
    <w:rsid w:val="009E7A8D"/>
    <w:rsid w:val="00A17E7A"/>
    <w:rsid w:val="00A56C96"/>
    <w:rsid w:val="00A75917"/>
    <w:rsid w:val="00AD250D"/>
    <w:rsid w:val="00AF4FBE"/>
    <w:rsid w:val="00BC0393"/>
    <w:rsid w:val="00BD1460"/>
    <w:rsid w:val="00CA5007"/>
    <w:rsid w:val="00CE31FB"/>
    <w:rsid w:val="00D2743B"/>
    <w:rsid w:val="00DA33D7"/>
    <w:rsid w:val="00DF238A"/>
    <w:rsid w:val="00E32B08"/>
    <w:rsid w:val="00E44012"/>
    <w:rsid w:val="00E71CCF"/>
    <w:rsid w:val="00EE2149"/>
    <w:rsid w:val="00F459E0"/>
    <w:rsid w:val="00F8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175C74-3900-499F-875A-8E9FBFF3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50D"/>
    <w:pPr>
      <w:spacing w:after="0" w:line="240" w:lineRule="auto"/>
      <w:ind w:left="714" w:hanging="357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50D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AD2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E8CAD-50E4-4EF0-A727-82EB3C6E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612</Words>
  <Characters>3524</Characters>
  <Application>Microsoft Office Word</Application>
  <DocSecurity>0</DocSecurity>
  <Lines>352</Lines>
  <Paragraphs>258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salvi</dc:creator>
  <cp:keywords/>
  <dc:description/>
  <cp:lastModifiedBy>MDPI</cp:lastModifiedBy>
  <cp:revision>27</cp:revision>
  <dcterms:created xsi:type="dcterms:W3CDTF">2018-12-13T11:00:00Z</dcterms:created>
  <dcterms:modified xsi:type="dcterms:W3CDTF">2020-06-28T03:47:00Z</dcterms:modified>
</cp:coreProperties>
</file>