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A54" w:rsidRPr="002F57C4" w:rsidRDefault="002F57C4">
      <w:pPr>
        <w:rPr>
          <w:rFonts w:ascii="Palatino Linotype" w:eastAsia="NSimSun" w:hAnsi="Palatino Linotype"/>
          <w:sz w:val="20"/>
          <w:szCs w:val="21"/>
        </w:rPr>
      </w:pPr>
      <w:r w:rsidRPr="002F57C4">
        <w:rPr>
          <w:rFonts w:ascii="Palatino Linotype" w:eastAsia="NSimSun" w:hAnsi="Palatino Linotype"/>
          <w:sz w:val="20"/>
          <w:szCs w:val="21"/>
        </w:rPr>
        <w:t>Table S1. Primer sequences and TaqMan MGB Probes used for the TaqMan real-time RT-PCR of the genes related to plant hormones, flavonoid and carotenoid metabolisms.</w:t>
      </w:r>
    </w:p>
    <w:p w:rsidR="002F57C4" w:rsidRPr="002F57C4" w:rsidRDefault="002F57C4">
      <w:pPr>
        <w:rPr>
          <w:rFonts w:ascii="Palatino Linotype" w:eastAsia="NSimSun" w:hAnsi="Palatino Linotype"/>
          <w:sz w:val="20"/>
          <w:szCs w:val="21"/>
        </w:rPr>
      </w:pPr>
    </w:p>
    <w:p w:rsidR="002F57C4" w:rsidRPr="002F57C4" w:rsidRDefault="00710B34">
      <w:pPr>
        <w:rPr>
          <w:rFonts w:ascii="Palatino Linotype" w:eastAsia="NSimSun" w:hAnsi="Palatino Linotype"/>
          <w:sz w:val="20"/>
          <w:szCs w:val="21"/>
        </w:rPr>
      </w:pPr>
      <w:bookmarkStart w:id="0" w:name="_GoBack"/>
      <w:r w:rsidRPr="00710B34">
        <w:drawing>
          <wp:inline distT="0" distB="0" distL="0" distR="0">
            <wp:extent cx="5400040" cy="17932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F57C4" w:rsidRPr="002F57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B34" w:rsidRDefault="00710B34" w:rsidP="00710B34">
      <w:r>
        <w:separator/>
      </w:r>
    </w:p>
  </w:endnote>
  <w:endnote w:type="continuationSeparator" w:id="0">
    <w:p w:rsidR="00710B34" w:rsidRDefault="00710B34" w:rsidP="0071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B34" w:rsidRDefault="00710B34" w:rsidP="00710B34">
      <w:r>
        <w:separator/>
      </w:r>
    </w:p>
  </w:footnote>
  <w:footnote w:type="continuationSeparator" w:id="0">
    <w:p w:rsidR="00710B34" w:rsidRDefault="00710B34" w:rsidP="00710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C4"/>
    <w:rsid w:val="000B6A54"/>
    <w:rsid w:val="002F57C4"/>
    <w:rsid w:val="00630C94"/>
    <w:rsid w:val="00710B34"/>
    <w:rsid w:val="00E8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873080"/>
  <w15:chartTrackingRefBased/>
  <w15:docId w15:val="{CE2D9D4D-F677-49F4-AFC6-9F052141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0B34"/>
  </w:style>
  <w:style w:type="paragraph" w:styleId="a5">
    <w:name w:val="footer"/>
    <w:basedOn w:val="a"/>
    <w:link w:val="a6"/>
    <w:uiPriority w:val="99"/>
    <w:unhideWhenUsed/>
    <w:rsid w:val="00710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 梨沙</dc:creator>
  <cp:keywords/>
  <dc:description/>
  <cp:lastModifiedBy>山本 梨沙</cp:lastModifiedBy>
  <cp:revision>3</cp:revision>
  <dcterms:created xsi:type="dcterms:W3CDTF">2020-10-16T04:00:00Z</dcterms:created>
  <dcterms:modified xsi:type="dcterms:W3CDTF">2020-10-29T08:37:00Z</dcterms:modified>
</cp:coreProperties>
</file>