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55FE6" w14:textId="0A603A37" w:rsidR="00375BDB" w:rsidRPr="00AE3F11" w:rsidRDefault="00375BDB" w:rsidP="00375BDB">
      <w:pPr>
        <w:pStyle w:val="MDPI41tablecaption"/>
      </w:pPr>
      <w:r w:rsidRPr="00536204">
        <w:rPr>
          <w:b/>
        </w:rPr>
        <w:t xml:space="preserve">Table </w:t>
      </w:r>
      <w:r w:rsidR="0057453E">
        <w:rPr>
          <w:b/>
        </w:rPr>
        <w:t>S</w:t>
      </w:r>
      <w:r w:rsidRPr="00536204">
        <w:rPr>
          <w:b/>
        </w:rPr>
        <w:t xml:space="preserve">5. </w:t>
      </w:r>
      <w:r w:rsidRPr="00AE3F11">
        <w:t xml:space="preserve">Monotherapy cases in </w:t>
      </w:r>
      <w:r>
        <w:t xml:space="preserve">the </w:t>
      </w:r>
      <w:r w:rsidRPr="00AE3F11">
        <w:t>SGA-LAI group versus oral correspondents.</w:t>
      </w:r>
    </w:p>
    <w:tbl>
      <w:tblPr>
        <w:tblW w:w="7857" w:type="dxa"/>
        <w:tblInd w:w="26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4"/>
        <w:gridCol w:w="962"/>
        <w:gridCol w:w="1252"/>
        <w:gridCol w:w="1661"/>
        <w:gridCol w:w="1658"/>
      </w:tblGrid>
      <w:tr w:rsidR="00375BDB" w:rsidRPr="00536204" w14:paraId="5A0CD9B5" w14:textId="77777777" w:rsidTr="00974A39">
        <w:tc>
          <w:tcPr>
            <w:tcW w:w="2091" w:type="pct"/>
            <w:gridSpan w:val="2"/>
            <w:tcBorders>
              <w:top w:val="single" w:sz="8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F2CDFA2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Cs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Antipsychotic (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>t</w:t>
            </w: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 xml:space="preserve">ype, 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>f</w:t>
            </w: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ormulation)</w:t>
            </w:r>
          </w:p>
        </w:tc>
        <w:tc>
          <w:tcPr>
            <w:tcW w:w="797" w:type="pct"/>
            <w:tcBorders>
              <w:top w:val="single" w:sz="8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78C250A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 xml:space="preserve">Number of 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>p</w:t>
            </w: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atients</w:t>
            </w:r>
          </w:p>
        </w:tc>
        <w:tc>
          <w:tcPr>
            <w:tcW w:w="1057" w:type="pct"/>
            <w:tcBorders>
              <w:top w:val="single" w:sz="8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675CCA6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 xml:space="preserve">Patients 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>s</w:t>
            </w: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 xml:space="preserve">tabilized on 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>m</w:t>
            </w: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onotherapy (N, %)</w:t>
            </w:r>
          </w:p>
        </w:tc>
        <w:tc>
          <w:tcPr>
            <w:tcW w:w="1055" w:type="pct"/>
            <w:tcBorders>
              <w:top w:val="single" w:sz="8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038B1E1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-</w:t>
            </w: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Value</w:t>
            </w:r>
          </w:p>
        </w:tc>
      </w:tr>
      <w:tr w:rsidR="00375BDB" w:rsidRPr="00536204" w14:paraId="2CD2A48D" w14:textId="77777777" w:rsidTr="00974A39">
        <w:tc>
          <w:tcPr>
            <w:tcW w:w="1479" w:type="pct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A08CDD8" w14:textId="77777777" w:rsidR="00375BDB" w:rsidRPr="00974A39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sz w:val="18"/>
                <w:szCs w:val="18"/>
              </w:rPr>
            </w:pPr>
            <w:r w:rsidRPr="00974A39">
              <w:rPr>
                <w:rFonts w:ascii="Palatino Linotype" w:hAnsi="Palatino Linotype" w:cs="Times New Roman"/>
                <w:sz w:val="18"/>
                <w:szCs w:val="18"/>
              </w:rPr>
              <w:t>olanzapine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ECDB02E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375BDB">
              <w:rPr>
                <w:rFonts w:ascii="Palatino Linotype" w:hAnsi="Palatino Linotype" w:cs="Times New Roman"/>
                <w:sz w:val="18"/>
                <w:szCs w:val="18"/>
              </w:rPr>
              <w:t>LAI</w:t>
            </w:r>
          </w:p>
        </w:tc>
        <w:tc>
          <w:tcPr>
            <w:tcW w:w="797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3ECD750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5</w:t>
            </w:r>
          </w:p>
        </w:tc>
        <w:tc>
          <w:tcPr>
            <w:tcW w:w="1057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00CE29E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4 (80%)</w:t>
            </w:r>
          </w:p>
        </w:tc>
        <w:tc>
          <w:tcPr>
            <w:tcW w:w="1055" w:type="pct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95E96F9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 xml:space="preserve"> = 0.18</w:t>
            </w:r>
          </w:p>
        </w:tc>
      </w:tr>
      <w:tr w:rsidR="00375BDB" w:rsidRPr="00536204" w14:paraId="2A948FE4" w14:textId="77777777" w:rsidTr="00974A39">
        <w:tc>
          <w:tcPr>
            <w:tcW w:w="1479" w:type="pct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7FF83C0" w14:textId="77777777" w:rsidR="00375BDB" w:rsidRPr="00974A39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06E1E04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OAP</w:t>
            </w:r>
          </w:p>
        </w:tc>
        <w:tc>
          <w:tcPr>
            <w:tcW w:w="797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B823AF2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70</w:t>
            </w:r>
          </w:p>
        </w:tc>
        <w:tc>
          <w:tcPr>
            <w:tcW w:w="1057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E1C384B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32 (45.71%)</w:t>
            </w:r>
          </w:p>
        </w:tc>
        <w:tc>
          <w:tcPr>
            <w:tcW w:w="1055" w:type="pct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BA8821F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375BDB" w:rsidRPr="00536204" w14:paraId="1EAB66D6" w14:textId="77777777" w:rsidTr="00974A39">
        <w:tc>
          <w:tcPr>
            <w:tcW w:w="1479" w:type="pct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060F340" w14:textId="77777777" w:rsidR="00375BDB" w:rsidRPr="00974A39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sz w:val="18"/>
                <w:szCs w:val="18"/>
              </w:rPr>
            </w:pPr>
            <w:r w:rsidRPr="00974A39">
              <w:rPr>
                <w:rFonts w:ascii="Palatino Linotype" w:hAnsi="Palatino Linotype" w:cs="Times New Roman"/>
                <w:sz w:val="18"/>
                <w:szCs w:val="18"/>
              </w:rPr>
              <w:t>risperidone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260946C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LAI</w:t>
            </w:r>
          </w:p>
        </w:tc>
        <w:tc>
          <w:tcPr>
            <w:tcW w:w="797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E2AD997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16</w:t>
            </w:r>
          </w:p>
        </w:tc>
        <w:tc>
          <w:tcPr>
            <w:tcW w:w="1057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CEA2DFB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8 (50%)</w:t>
            </w:r>
          </w:p>
        </w:tc>
        <w:tc>
          <w:tcPr>
            <w:tcW w:w="1055" w:type="pct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EF2AB88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 xml:space="preserve"> = 0.24</w:t>
            </w:r>
          </w:p>
        </w:tc>
      </w:tr>
      <w:tr w:rsidR="00375BDB" w:rsidRPr="00536204" w14:paraId="403B2259" w14:textId="77777777" w:rsidTr="00974A39">
        <w:tc>
          <w:tcPr>
            <w:tcW w:w="1479" w:type="pct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094DED5" w14:textId="77777777" w:rsidR="00375BDB" w:rsidRPr="00974A39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A3568F8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OAP</w:t>
            </w:r>
          </w:p>
        </w:tc>
        <w:tc>
          <w:tcPr>
            <w:tcW w:w="797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E08D8E5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31</w:t>
            </w:r>
          </w:p>
        </w:tc>
        <w:tc>
          <w:tcPr>
            <w:tcW w:w="1057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475AB1F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10 (32.25%)</w:t>
            </w:r>
          </w:p>
        </w:tc>
        <w:tc>
          <w:tcPr>
            <w:tcW w:w="1055" w:type="pct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132AD9C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375BDB" w:rsidRPr="00536204" w14:paraId="72FA0157" w14:textId="77777777" w:rsidTr="00974A39">
        <w:tc>
          <w:tcPr>
            <w:tcW w:w="1479" w:type="pct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7A180BB" w14:textId="77777777" w:rsidR="00375BDB" w:rsidRPr="00974A39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sz w:val="18"/>
                <w:szCs w:val="18"/>
              </w:rPr>
            </w:pPr>
            <w:r w:rsidRPr="00974A39">
              <w:rPr>
                <w:rFonts w:ascii="Palatino Linotype" w:hAnsi="Palatino Linotype" w:cs="Times New Roman"/>
                <w:sz w:val="18"/>
                <w:szCs w:val="18"/>
              </w:rPr>
              <w:t>aripiprazole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9D45BF3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LAI</w:t>
            </w:r>
          </w:p>
        </w:tc>
        <w:tc>
          <w:tcPr>
            <w:tcW w:w="797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2D86732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9</w:t>
            </w:r>
          </w:p>
        </w:tc>
        <w:tc>
          <w:tcPr>
            <w:tcW w:w="1057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2FBD4E8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5 (55.55%)</w:t>
            </w:r>
          </w:p>
        </w:tc>
        <w:tc>
          <w:tcPr>
            <w:tcW w:w="1055" w:type="pct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223D047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 xml:space="preserve"> = 0.25</w:t>
            </w:r>
          </w:p>
        </w:tc>
      </w:tr>
      <w:tr w:rsidR="00375BDB" w:rsidRPr="00536204" w14:paraId="75BEE2BF" w14:textId="77777777" w:rsidTr="00974A39">
        <w:tc>
          <w:tcPr>
            <w:tcW w:w="1479" w:type="pct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C1266BB" w14:textId="77777777" w:rsidR="00375BDB" w:rsidRPr="00974A39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8FC0526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OAP</w:t>
            </w:r>
          </w:p>
        </w:tc>
        <w:tc>
          <w:tcPr>
            <w:tcW w:w="797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75E6E54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24</w:t>
            </w:r>
          </w:p>
        </w:tc>
        <w:tc>
          <w:tcPr>
            <w:tcW w:w="1057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CBB5917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8 (33.33%)</w:t>
            </w:r>
          </w:p>
        </w:tc>
        <w:tc>
          <w:tcPr>
            <w:tcW w:w="1055" w:type="pct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A55B99E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375BDB" w:rsidRPr="00536204" w14:paraId="2BBFC998" w14:textId="77777777" w:rsidTr="00974A39">
        <w:tc>
          <w:tcPr>
            <w:tcW w:w="1479" w:type="pct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70DBF5C" w14:textId="77777777" w:rsidR="00375BDB" w:rsidRPr="00974A39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sz w:val="18"/>
                <w:szCs w:val="18"/>
              </w:rPr>
            </w:pPr>
            <w:r w:rsidRPr="00974A39">
              <w:rPr>
                <w:rFonts w:ascii="Palatino Linotype" w:hAnsi="Palatino Linotype" w:cs="Times New Roman"/>
                <w:sz w:val="18"/>
                <w:szCs w:val="18"/>
              </w:rPr>
              <w:t>paliperidone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572FD92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LAI</w:t>
            </w:r>
          </w:p>
        </w:tc>
        <w:tc>
          <w:tcPr>
            <w:tcW w:w="797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7769903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9</w:t>
            </w:r>
          </w:p>
        </w:tc>
        <w:tc>
          <w:tcPr>
            <w:tcW w:w="1057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BD8F32A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4 (44.44%)</w:t>
            </w:r>
          </w:p>
        </w:tc>
        <w:tc>
          <w:tcPr>
            <w:tcW w:w="1055" w:type="pct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CF55B63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 xml:space="preserve"> = 0.83</w:t>
            </w:r>
          </w:p>
        </w:tc>
      </w:tr>
      <w:tr w:rsidR="00375BDB" w:rsidRPr="00536204" w14:paraId="449270CF" w14:textId="77777777" w:rsidTr="00974A39">
        <w:tc>
          <w:tcPr>
            <w:tcW w:w="1479" w:type="pct"/>
            <w:vMerge/>
            <w:tcBorders>
              <w:top w:val="single" w:sz="4" w:space="0" w:color="000000" w:themeColor="text1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7A5A3E2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88D02E0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OAP</w:t>
            </w:r>
          </w:p>
        </w:tc>
        <w:tc>
          <w:tcPr>
            <w:tcW w:w="797" w:type="pct"/>
            <w:tcBorders>
              <w:top w:val="single" w:sz="4" w:space="0" w:color="000000" w:themeColor="text1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4B402E6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15</w:t>
            </w:r>
          </w:p>
        </w:tc>
        <w:tc>
          <w:tcPr>
            <w:tcW w:w="1057" w:type="pct"/>
            <w:tcBorders>
              <w:top w:val="single" w:sz="4" w:space="0" w:color="000000" w:themeColor="text1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8DFFBE2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36204">
              <w:rPr>
                <w:rFonts w:ascii="Palatino Linotype" w:hAnsi="Palatino Linotype" w:cs="Times New Roman"/>
                <w:sz w:val="18"/>
                <w:szCs w:val="18"/>
              </w:rPr>
              <w:t>6 (40%)</w:t>
            </w:r>
          </w:p>
        </w:tc>
        <w:tc>
          <w:tcPr>
            <w:tcW w:w="1055" w:type="pct"/>
            <w:vMerge/>
            <w:tcBorders>
              <w:top w:val="single" w:sz="4" w:space="0" w:color="000000" w:themeColor="text1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3CEEE22" w14:textId="77777777" w:rsidR="00375BDB" w:rsidRPr="00536204" w:rsidRDefault="00375BDB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</w:tbl>
    <w:p w14:paraId="40FE829A" w14:textId="77777777" w:rsidR="00334FB3" w:rsidRDefault="00334FB3"/>
    <w:sectPr w:rsidR="00334F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D0F0A" w14:textId="77777777" w:rsidR="003C0D44" w:rsidRDefault="003C0D44" w:rsidP="0057453E">
      <w:pPr>
        <w:spacing w:after="0" w:line="240" w:lineRule="auto"/>
      </w:pPr>
      <w:r>
        <w:separator/>
      </w:r>
    </w:p>
  </w:endnote>
  <w:endnote w:type="continuationSeparator" w:id="0">
    <w:p w14:paraId="3D520A75" w14:textId="77777777" w:rsidR="003C0D44" w:rsidRDefault="003C0D44" w:rsidP="00574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F4CD6" w14:textId="77777777" w:rsidR="003C0D44" w:rsidRDefault="003C0D44" w:rsidP="0057453E">
      <w:pPr>
        <w:spacing w:after="0" w:line="240" w:lineRule="auto"/>
      </w:pPr>
      <w:r>
        <w:separator/>
      </w:r>
    </w:p>
  </w:footnote>
  <w:footnote w:type="continuationSeparator" w:id="0">
    <w:p w14:paraId="3BCCFEEA" w14:textId="77777777" w:rsidR="003C0D44" w:rsidRDefault="003C0D44" w:rsidP="005745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3365"/>
    <w:rsid w:val="00334FB3"/>
    <w:rsid w:val="00375BDB"/>
    <w:rsid w:val="003C0D44"/>
    <w:rsid w:val="0057453E"/>
    <w:rsid w:val="0061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9748EE"/>
  <w15:docId w15:val="{519E95ED-D1FA-4255-9AAB-5F638289E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BDB"/>
    <w:rPr>
      <w:rFonts w:eastAsia="宋体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">
    <w:name w:val="Light Grid"/>
    <w:basedOn w:val="TableNormal"/>
    <w:uiPriority w:val="62"/>
    <w:rsid w:val="00375BDB"/>
    <w:pPr>
      <w:spacing w:after="0" w:line="240" w:lineRule="auto"/>
    </w:pPr>
    <w:rPr>
      <w:rFonts w:eastAsia="宋体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MDPI41tablecaption">
    <w:name w:val="MDPI_4.1_table_caption"/>
    <w:qFormat/>
    <w:rsid w:val="00375BDB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character" w:styleId="CommentReference">
    <w:name w:val="annotation reference"/>
    <w:basedOn w:val="DefaultParagraphFont"/>
    <w:unhideWhenUsed/>
    <w:rsid w:val="00375BD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75B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75BDB"/>
    <w:rPr>
      <w:rFonts w:eastAsia="宋体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BDB"/>
    <w:rPr>
      <w:rFonts w:ascii="Tahoma" w:eastAsia="宋体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453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453E"/>
    <w:rPr>
      <w:rFonts w:eastAsia="宋体"/>
    </w:rPr>
  </w:style>
  <w:style w:type="paragraph" w:styleId="Footer">
    <w:name w:val="footer"/>
    <w:basedOn w:val="Normal"/>
    <w:link w:val="FooterChar"/>
    <w:uiPriority w:val="99"/>
    <w:unhideWhenUsed/>
    <w:rsid w:val="0057453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53E"/>
    <w:rPr>
      <w:rFonts w:eastAsia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ALIANA FODOR</dc:creator>
  <cp:keywords/>
  <dc:description/>
  <cp:lastModifiedBy>MDPI</cp:lastModifiedBy>
  <cp:revision>3</cp:revision>
  <dcterms:created xsi:type="dcterms:W3CDTF">2023-01-19T12:49:00Z</dcterms:created>
  <dcterms:modified xsi:type="dcterms:W3CDTF">2023-01-20T05:35:00Z</dcterms:modified>
</cp:coreProperties>
</file>