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6033EA1" w14:textId="3815B4CB" w:rsidR="00B8589F" w:rsidRPr="00BB2822" w:rsidRDefault="00B8589F" w:rsidP="00B8589F">
      <w:pPr>
        <w:tabs>
          <w:tab w:val="left" w:pos="2567"/>
        </w:tabs>
        <w:wordWrap/>
        <w:spacing w:line="240" w:lineRule="auto"/>
        <w:contextualSpacing/>
        <w:rPr>
          <w:rFonts w:ascii="Palatino Linotype" w:hAnsi="Palatino Linotype" w:cs="Times New Roman"/>
          <w:b/>
          <w:sz w:val="32"/>
          <w:szCs w:val="24"/>
        </w:rPr>
      </w:pPr>
      <w:r w:rsidRPr="00BB2822">
        <w:rPr>
          <w:rFonts w:ascii="Palatino Linotype" w:hAnsi="Palatino Linotype" w:cs="Times New Roman"/>
          <w:b/>
          <w:sz w:val="32"/>
          <w:szCs w:val="24"/>
        </w:rPr>
        <w:t>Supplementary Figures</w:t>
      </w:r>
    </w:p>
    <w:p w14:paraId="48FC3CC7" w14:textId="77777777" w:rsidR="00D53013" w:rsidRPr="00D53013" w:rsidRDefault="00D53013" w:rsidP="00B8589F">
      <w:pPr>
        <w:tabs>
          <w:tab w:val="left" w:pos="2567"/>
        </w:tabs>
        <w:wordWrap/>
        <w:spacing w:line="240" w:lineRule="auto"/>
        <w:contextualSpacing/>
        <w:rPr>
          <w:rFonts w:ascii="Times New Roman" w:hAnsi="Times New Roman" w:cs="Times New Roman"/>
          <w:b/>
          <w:sz w:val="32"/>
          <w:szCs w:val="24"/>
        </w:rPr>
      </w:pPr>
    </w:p>
    <w:p w14:paraId="2348AF7C" w14:textId="1058C87C" w:rsidR="009C42FA" w:rsidRDefault="004846CA" w:rsidP="00B8589F">
      <w:pPr>
        <w:tabs>
          <w:tab w:val="left" w:pos="2567"/>
        </w:tabs>
        <w:wordWrap/>
        <w:spacing w:line="240" w:lineRule="auto"/>
        <w:contextualSpacing/>
        <w:rPr>
          <w:rFonts w:ascii="Times New Roman" w:hAnsi="Times New Roman" w:cs="Times New Roman"/>
          <w:b/>
          <w:sz w:val="32"/>
          <w:szCs w:val="24"/>
        </w:rPr>
      </w:pPr>
      <w:r w:rsidRPr="00A32B67">
        <w:rPr>
          <w:rFonts w:ascii="Times New Roman" w:eastAsia="Gulim" w:hAnsi="Times New Roman" w:cs="Times New Roman"/>
          <w:noProof/>
          <w:color w:val="0A0A0A"/>
          <w:kern w:val="0"/>
          <w:szCs w:val="20"/>
        </w:rPr>
        <w:drawing>
          <wp:inline distT="0" distB="0" distL="0" distR="0" wp14:anchorId="390FF804" wp14:editId="634E75FB">
            <wp:extent cx="5622966" cy="6132561"/>
            <wp:effectExtent l="0" t="0" r="0" b="0"/>
            <wp:docPr id="5" name="그림 4">
              <a:extLst xmlns:a="http://schemas.openxmlformats.org/drawingml/2006/main">
                <a:ext uri="{FF2B5EF4-FFF2-40B4-BE49-F238E27FC236}">
                  <a16:creationId xmlns:a16="http://schemas.microsoft.com/office/drawing/2014/main" id="{30B341D9-672C-4717-B19A-E11755F59A4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그림 4">
                      <a:extLst>
                        <a:ext uri="{FF2B5EF4-FFF2-40B4-BE49-F238E27FC236}">
                          <a16:creationId xmlns:a16="http://schemas.microsoft.com/office/drawing/2014/main" id="{30B341D9-672C-4717-B19A-E11755F59A4D}"/>
                        </a:ext>
                      </a:extLst>
                    </pic:cNvPr>
                    <pic:cNvPicPr>
                      <a:picLocks noChangeAspect="1"/>
                    </pic:cNvPicPr>
                  </pic:nvPicPr>
                  <pic:blipFill>
                    <a:blip r:embed="rId6"/>
                    <a:stretch>
                      <a:fillRect/>
                    </a:stretch>
                  </pic:blipFill>
                  <pic:spPr>
                    <a:xfrm>
                      <a:off x="0" y="0"/>
                      <a:ext cx="5649291" cy="6161272"/>
                    </a:xfrm>
                    <a:prstGeom prst="rect">
                      <a:avLst/>
                    </a:prstGeom>
                  </pic:spPr>
                </pic:pic>
              </a:graphicData>
            </a:graphic>
          </wp:inline>
        </w:drawing>
      </w:r>
    </w:p>
    <w:p w14:paraId="24DA6995" w14:textId="6A113837" w:rsidR="00B8589F" w:rsidRDefault="00B8589F" w:rsidP="00B8589F">
      <w:pPr>
        <w:tabs>
          <w:tab w:val="left" w:pos="2567"/>
        </w:tabs>
        <w:wordWrap/>
        <w:spacing w:line="240" w:lineRule="auto"/>
        <w:contextualSpacing/>
        <w:rPr>
          <w:rFonts w:ascii="Times New Roman" w:hAnsi="Times New Roman" w:cs="Times New Roman"/>
          <w:b/>
          <w:sz w:val="32"/>
          <w:szCs w:val="24"/>
        </w:rPr>
      </w:pPr>
    </w:p>
    <w:p w14:paraId="31A693F0" w14:textId="058033A8" w:rsidR="00B8589F" w:rsidRPr="00D53013" w:rsidRDefault="00B8589F" w:rsidP="00D53013">
      <w:pPr>
        <w:tabs>
          <w:tab w:val="left" w:pos="2567"/>
        </w:tabs>
        <w:wordWrap/>
        <w:spacing w:line="360" w:lineRule="auto"/>
        <w:contextualSpacing/>
        <w:rPr>
          <w:rFonts w:ascii="Palatino Linotype" w:hAnsi="Palatino Linotype" w:cs="Times New Roman"/>
          <w:bCs/>
          <w:szCs w:val="20"/>
        </w:rPr>
      </w:pPr>
      <w:r w:rsidRPr="00D53013">
        <w:rPr>
          <w:rFonts w:ascii="Palatino Linotype" w:hAnsi="Palatino Linotype" w:cs="Times New Roman"/>
          <w:b/>
          <w:szCs w:val="20"/>
        </w:rPr>
        <w:t xml:space="preserve">Supplementary Figure </w:t>
      </w:r>
      <w:r w:rsidR="00CF0AFE">
        <w:rPr>
          <w:rFonts w:ascii="Palatino Linotype" w:hAnsi="Palatino Linotype" w:cs="Times New Roman"/>
          <w:b/>
          <w:szCs w:val="20"/>
        </w:rPr>
        <w:t>S</w:t>
      </w:r>
      <w:r w:rsidR="00037FF1">
        <w:rPr>
          <w:rFonts w:ascii="Palatino Linotype" w:hAnsi="Palatino Linotype" w:cs="Times New Roman"/>
          <w:b/>
          <w:szCs w:val="20"/>
        </w:rPr>
        <w:t>1</w:t>
      </w:r>
      <w:r w:rsidRPr="00D53013">
        <w:rPr>
          <w:rFonts w:ascii="Palatino Linotype" w:hAnsi="Palatino Linotype" w:cs="Times New Roman"/>
          <w:b/>
          <w:szCs w:val="20"/>
        </w:rPr>
        <w:t>.</w:t>
      </w:r>
      <w:r w:rsidR="009C42FA" w:rsidRPr="00D53013">
        <w:rPr>
          <w:rFonts w:ascii="Palatino Linotype" w:hAnsi="Palatino Linotype" w:cs="Times New Roman"/>
          <w:b/>
          <w:szCs w:val="20"/>
        </w:rPr>
        <w:t xml:space="preserve"> </w:t>
      </w:r>
      <w:r w:rsidR="004846CA" w:rsidRPr="00D53013">
        <w:rPr>
          <w:rFonts w:ascii="Palatino Linotype" w:hAnsi="Palatino Linotype" w:cs="Times New Roman"/>
          <w:bCs/>
          <w:szCs w:val="20"/>
        </w:rPr>
        <w:t xml:space="preserve">Preparation of mouse brain tissues for immunoreactivity. From </w:t>
      </w:r>
      <w:r w:rsidR="004846CA" w:rsidRPr="00D53013">
        <w:rPr>
          <w:rFonts w:ascii="Malgun Gothic" w:eastAsia="Malgun Gothic" w:hAnsi="Malgun Gothic" w:cs="Malgun Gothic" w:hint="eastAsia"/>
          <w:bCs/>
          <w:szCs w:val="20"/>
        </w:rPr>
        <w:t>①</w:t>
      </w:r>
      <w:r w:rsidR="004846CA" w:rsidRPr="00D53013">
        <w:rPr>
          <w:rFonts w:ascii="Palatino Linotype" w:hAnsi="Palatino Linotype" w:cs="Times New Roman"/>
          <w:bCs/>
          <w:szCs w:val="20"/>
        </w:rPr>
        <w:t xml:space="preserve"> to </w:t>
      </w:r>
      <w:r w:rsidR="004846CA" w:rsidRPr="00D53013">
        <w:rPr>
          <w:rFonts w:ascii="Malgun Gothic" w:eastAsia="Malgun Gothic" w:hAnsi="Malgun Gothic" w:cs="Malgun Gothic" w:hint="eastAsia"/>
          <w:bCs/>
          <w:szCs w:val="20"/>
        </w:rPr>
        <w:t>②</w:t>
      </w:r>
      <w:r w:rsidR="004846CA" w:rsidRPr="00D53013">
        <w:rPr>
          <w:rFonts w:ascii="Palatino Linotype" w:hAnsi="Palatino Linotype" w:cs="Times New Roman"/>
          <w:bCs/>
          <w:szCs w:val="20"/>
        </w:rPr>
        <w:t xml:space="preserve">, hippocampus such as CA1, CA3, and dentate gyrus (DG) was designated from -1.46 mm to -2.06 mm from the bregma. From </w:t>
      </w:r>
      <w:r w:rsidR="004846CA" w:rsidRPr="00D53013">
        <w:rPr>
          <w:rFonts w:ascii="Malgun Gothic" w:eastAsia="Malgun Gothic" w:hAnsi="Malgun Gothic" w:cs="Malgun Gothic" w:hint="eastAsia"/>
          <w:bCs/>
          <w:szCs w:val="20"/>
        </w:rPr>
        <w:t>③</w:t>
      </w:r>
      <w:r w:rsidR="004846CA" w:rsidRPr="00D53013">
        <w:rPr>
          <w:rFonts w:ascii="Palatino Linotype" w:hAnsi="Palatino Linotype" w:cs="Times New Roman"/>
          <w:bCs/>
          <w:szCs w:val="20"/>
        </w:rPr>
        <w:t xml:space="preserve"> to </w:t>
      </w:r>
      <w:r w:rsidR="004846CA" w:rsidRPr="00D53013">
        <w:rPr>
          <w:rFonts w:ascii="Malgun Gothic" w:eastAsia="Malgun Gothic" w:hAnsi="Malgun Gothic" w:cs="Malgun Gothic" w:hint="eastAsia"/>
          <w:bCs/>
          <w:szCs w:val="20"/>
        </w:rPr>
        <w:t>④</w:t>
      </w:r>
      <w:r w:rsidR="004846CA" w:rsidRPr="00D53013">
        <w:rPr>
          <w:rFonts w:ascii="Palatino Linotype" w:hAnsi="Palatino Linotype" w:cs="Times New Roman"/>
          <w:bCs/>
          <w:szCs w:val="20"/>
        </w:rPr>
        <w:t>, dorsal subiculum (</w:t>
      </w:r>
      <w:proofErr w:type="spellStart"/>
      <w:r w:rsidR="004846CA" w:rsidRPr="00D53013">
        <w:rPr>
          <w:rFonts w:ascii="Palatino Linotype" w:hAnsi="Palatino Linotype" w:cs="Times New Roman"/>
          <w:bCs/>
          <w:szCs w:val="20"/>
        </w:rPr>
        <w:t>dSub</w:t>
      </w:r>
      <w:proofErr w:type="spellEnd"/>
      <w:r w:rsidR="004846CA" w:rsidRPr="00D53013">
        <w:rPr>
          <w:rFonts w:ascii="Palatino Linotype" w:hAnsi="Palatino Linotype" w:cs="Times New Roman"/>
          <w:bCs/>
          <w:szCs w:val="20"/>
        </w:rPr>
        <w:t xml:space="preserve">) was designated from -2.70 mm to -3.80 mm from the bregma. Fixed and cryoprotected mouse brains were coronally sectioned at a thickness of 30 </w:t>
      </w:r>
      <w:proofErr w:type="spellStart"/>
      <w:r w:rsidR="004846CA" w:rsidRPr="00D53013">
        <w:rPr>
          <w:rFonts w:ascii="Palatino Linotype" w:hAnsi="Palatino Linotype" w:cs="Times New Roman"/>
          <w:bCs/>
          <w:szCs w:val="20"/>
        </w:rPr>
        <w:t>μm</w:t>
      </w:r>
      <w:proofErr w:type="spellEnd"/>
      <w:r w:rsidR="004846CA" w:rsidRPr="00D53013">
        <w:rPr>
          <w:rFonts w:ascii="Palatino Linotype" w:hAnsi="Palatino Linotype" w:cs="Times New Roman"/>
          <w:bCs/>
          <w:szCs w:val="20"/>
        </w:rPr>
        <w:t xml:space="preserve"> in cryostat. twenty (hippocampus part) or thirty-six (</w:t>
      </w:r>
      <w:proofErr w:type="spellStart"/>
      <w:r w:rsidR="004846CA" w:rsidRPr="00D53013">
        <w:rPr>
          <w:rFonts w:ascii="Palatino Linotype" w:hAnsi="Palatino Linotype" w:cs="Times New Roman"/>
          <w:bCs/>
          <w:szCs w:val="20"/>
        </w:rPr>
        <w:t>dSub</w:t>
      </w:r>
      <w:proofErr w:type="spellEnd"/>
      <w:r w:rsidR="004846CA" w:rsidRPr="00D53013">
        <w:rPr>
          <w:rFonts w:ascii="Palatino Linotype" w:hAnsi="Palatino Linotype" w:cs="Times New Roman"/>
          <w:bCs/>
          <w:szCs w:val="20"/>
        </w:rPr>
        <w:t xml:space="preserve"> part) sections per mouse were obtained using the cryosection. In the hippocampus part, three to four sections per brain were taken </w:t>
      </w:r>
      <w:r w:rsidR="004846CA" w:rsidRPr="00D53013">
        <w:rPr>
          <w:rFonts w:ascii="Palatino Linotype" w:hAnsi="Palatino Linotype" w:cs="Times New Roman"/>
          <w:bCs/>
          <w:szCs w:val="20"/>
        </w:rPr>
        <w:lastRenderedPageBreak/>
        <w:t xml:space="preserve">from 4-5 mice at 150-180 </w:t>
      </w:r>
      <w:proofErr w:type="spellStart"/>
      <w:r w:rsidR="004846CA" w:rsidRPr="00D53013">
        <w:rPr>
          <w:rFonts w:ascii="Palatino Linotype" w:hAnsi="Palatino Linotype" w:cs="Times New Roman"/>
          <w:bCs/>
          <w:szCs w:val="20"/>
        </w:rPr>
        <w:t>μm</w:t>
      </w:r>
      <w:proofErr w:type="spellEnd"/>
      <w:r w:rsidR="004846CA" w:rsidRPr="00D53013">
        <w:rPr>
          <w:rFonts w:ascii="Palatino Linotype" w:hAnsi="Palatino Linotype" w:cs="Times New Roman"/>
          <w:bCs/>
          <w:szCs w:val="20"/>
        </w:rPr>
        <w:t xml:space="preserve"> intervals to obtain 30-32 images. In the </w:t>
      </w:r>
      <w:proofErr w:type="spellStart"/>
      <w:r w:rsidR="004846CA" w:rsidRPr="00D53013">
        <w:rPr>
          <w:rFonts w:ascii="Palatino Linotype" w:hAnsi="Palatino Linotype" w:cs="Times New Roman"/>
          <w:bCs/>
          <w:szCs w:val="20"/>
        </w:rPr>
        <w:t>dSub</w:t>
      </w:r>
      <w:proofErr w:type="spellEnd"/>
      <w:r w:rsidR="004846CA" w:rsidRPr="00D53013">
        <w:rPr>
          <w:rFonts w:ascii="Palatino Linotype" w:hAnsi="Palatino Linotype" w:cs="Times New Roman"/>
          <w:bCs/>
          <w:szCs w:val="20"/>
        </w:rPr>
        <w:t xml:space="preserve"> part, three to four sections per brain were taken from 4-5 mice at 270-350 </w:t>
      </w:r>
      <w:proofErr w:type="spellStart"/>
      <w:r w:rsidR="004846CA" w:rsidRPr="00D53013">
        <w:rPr>
          <w:rFonts w:ascii="Palatino Linotype" w:hAnsi="Palatino Linotype" w:cs="Times New Roman"/>
          <w:bCs/>
          <w:szCs w:val="20"/>
        </w:rPr>
        <w:t>μm</w:t>
      </w:r>
      <w:proofErr w:type="spellEnd"/>
      <w:r w:rsidR="004846CA" w:rsidRPr="00D53013">
        <w:rPr>
          <w:rFonts w:ascii="Palatino Linotype" w:hAnsi="Palatino Linotype" w:cs="Times New Roman"/>
          <w:bCs/>
          <w:szCs w:val="20"/>
        </w:rPr>
        <w:t xml:space="preserve"> intervals to obtain 30-32 images for dorsal subiculum. The acquired images were subjected to topographical quantification and statistical analysis in a blind manner. DG, dentate gyrus; </w:t>
      </w:r>
      <w:proofErr w:type="spellStart"/>
      <w:r w:rsidR="004846CA" w:rsidRPr="00D53013">
        <w:rPr>
          <w:rFonts w:ascii="Palatino Linotype" w:hAnsi="Palatino Linotype" w:cs="Times New Roman"/>
          <w:bCs/>
          <w:szCs w:val="20"/>
        </w:rPr>
        <w:t>dSub</w:t>
      </w:r>
      <w:proofErr w:type="spellEnd"/>
      <w:r w:rsidR="004846CA" w:rsidRPr="00D53013">
        <w:rPr>
          <w:rFonts w:ascii="Palatino Linotype" w:hAnsi="Palatino Linotype" w:cs="Times New Roman"/>
          <w:bCs/>
          <w:szCs w:val="20"/>
        </w:rPr>
        <w:t xml:space="preserve">, dorsal subiculum; SGZ, </w:t>
      </w:r>
      <w:proofErr w:type="spellStart"/>
      <w:r w:rsidR="004846CA" w:rsidRPr="00D53013">
        <w:rPr>
          <w:rFonts w:ascii="Palatino Linotype" w:hAnsi="Palatino Linotype" w:cs="Times New Roman"/>
          <w:bCs/>
          <w:szCs w:val="20"/>
        </w:rPr>
        <w:t>subgranular</w:t>
      </w:r>
      <w:proofErr w:type="spellEnd"/>
      <w:r w:rsidR="004846CA" w:rsidRPr="00D53013">
        <w:rPr>
          <w:rFonts w:ascii="Palatino Linotype" w:hAnsi="Palatino Linotype" w:cs="Times New Roman"/>
          <w:bCs/>
          <w:szCs w:val="20"/>
        </w:rPr>
        <w:t xml:space="preserve"> zone.</w:t>
      </w:r>
    </w:p>
    <w:p w14:paraId="1DD62869" w14:textId="57F8C911" w:rsidR="00802D88" w:rsidRDefault="00802D88">
      <w:pPr>
        <w:widowControl/>
        <w:wordWrap/>
        <w:autoSpaceDE/>
        <w:autoSpaceDN/>
        <w:spacing w:after="160" w:line="259" w:lineRule="auto"/>
      </w:pPr>
      <w:r>
        <w:br w:type="page"/>
      </w:r>
    </w:p>
    <w:p w14:paraId="7E4667A4" w14:textId="0DE86099" w:rsidR="0093058A" w:rsidRDefault="00802D88">
      <w:r>
        <w:rPr>
          <w:noProof/>
        </w:rPr>
        <w:lastRenderedPageBreak/>
        <w:drawing>
          <wp:inline distT="0" distB="0" distL="0" distR="0" wp14:anchorId="26CE98A9" wp14:editId="322D435E">
            <wp:extent cx="5731510" cy="3112135"/>
            <wp:effectExtent l="0" t="0" r="2540" b="0"/>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31510" cy="3112135"/>
                    </a:xfrm>
                    <a:prstGeom prst="rect">
                      <a:avLst/>
                    </a:prstGeom>
                  </pic:spPr>
                </pic:pic>
              </a:graphicData>
            </a:graphic>
          </wp:inline>
        </w:drawing>
      </w:r>
    </w:p>
    <w:p w14:paraId="6B74948D" w14:textId="224A5826" w:rsidR="00802D88" w:rsidRPr="00802D88" w:rsidRDefault="00802D88" w:rsidP="00802D88">
      <w:pPr>
        <w:spacing w:line="360" w:lineRule="auto"/>
        <w:rPr>
          <w:rFonts w:ascii="Palatino Linotype" w:hAnsi="Palatino Linotype"/>
        </w:rPr>
      </w:pPr>
      <w:r w:rsidRPr="00D53013">
        <w:rPr>
          <w:rFonts w:ascii="Palatino Linotype" w:hAnsi="Palatino Linotype" w:cs="Times New Roman"/>
          <w:b/>
          <w:szCs w:val="20"/>
        </w:rPr>
        <w:t xml:space="preserve">Supplementary Figure </w:t>
      </w:r>
      <w:r w:rsidR="00CF0AFE">
        <w:rPr>
          <w:rFonts w:ascii="Palatino Linotype" w:hAnsi="Palatino Linotype" w:cs="Times New Roman"/>
          <w:b/>
          <w:szCs w:val="20"/>
        </w:rPr>
        <w:t>S</w:t>
      </w:r>
      <w:bookmarkStart w:id="0" w:name="_GoBack"/>
      <w:bookmarkEnd w:id="0"/>
      <w:r>
        <w:rPr>
          <w:rFonts w:ascii="Palatino Linotype" w:hAnsi="Palatino Linotype" w:cs="Times New Roman"/>
          <w:b/>
          <w:szCs w:val="20"/>
        </w:rPr>
        <w:t xml:space="preserve">2. </w:t>
      </w:r>
      <w:r w:rsidRPr="00802D88">
        <w:rPr>
          <w:rFonts w:ascii="Palatino Linotype" w:hAnsi="Palatino Linotype"/>
        </w:rPr>
        <w:t xml:space="preserve">The topographical analysis procedure for quantification of fluorescent signals in the mice brains. A) The procedures for the analysis steps for “area faction”, “optical density”, and “cells per area” in the ImageJ program. B) Quantitative procedure of “area fraction” applied for histological analysis of fluorescent signals of 4G8, Iba-1, and GFAP. Quantitative procedure of “average plaque size” applied for histological analysis of 4G8 C) Quantitative procedure of “optical density” applied for histological analysis of SYN-immunoreactivity. D) Quantitative procedure of “positive cells/area” applied for histological analysis of </w:t>
      </w:r>
      <w:proofErr w:type="spellStart"/>
      <w:r w:rsidRPr="00802D88">
        <w:rPr>
          <w:rFonts w:ascii="Palatino Linotype" w:hAnsi="Palatino Linotype"/>
        </w:rPr>
        <w:t>NeuN</w:t>
      </w:r>
      <w:proofErr w:type="spellEnd"/>
      <w:r w:rsidRPr="00802D88">
        <w:rPr>
          <w:rFonts w:ascii="Palatino Linotype" w:hAnsi="Palatino Linotype"/>
        </w:rPr>
        <w:t xml:space="preserve">, Iba-1, GFAP, 4G8, DCX, </w:t>
      </w:r>
      <w:r w:rsidR="00F142C5">
        <w:rPr>
          <w:rFonts w:ascii="Palatino Linotype" w:hAnsi="Palatino Linotype"/>
        </w:rPr>
        <w:t xml:space="preserve">and </w:t>
      </w:r>
      <w:r w:rsidRPr="00802D88">
        <w:rPr>
          <w:rFonts w:ascii="Palatino Linotype" w:hAnsi="Palatino Linotype"/>
        </w:rPr>
        <w:t>Ki-67-immunoreactivity.</w:t>
      </w:r>
    </w:p>
    <w:sectPr w:rsidR="00802D88" w:rsidRPr="00802D88">
      <w:pgSz w:w="11906" w:h="16838"/>
      <w:pgMar w:top="1701" w:right="1440" w:bottom="1440" w:left="1440" w:header="851"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6BD0F9" w14:textId="77777777" w:rsidR="00B9481C" w:rsidRDefault="00B9481C" w:rsidP="00A6719D">
      <w:pPr>
        <w:spacing w:after="0" w:line="240" w:lineRule="auto"/>
      </w:pPr>
      <w:r>
        <w:separator/>
      </w:r>
    </w:p>
  </w:endnote>
  <w:endnote w:type="continuationSeparator" w:id="0">
    <w:p w14:paraId="1270ED91" w14:textId="77777777" w:rsidR="00B9481C" w:rsidRDefault="00B9481C" w:rsidP="00A671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Malgun Gothic">
    <w:altName w:val="맑은 고딕"/>
    <w:panose1 w:val="020B0503020000020004"/>
    <w:charset w:val="81"/>
    <w:family w:val="swiss"/>
    <w:pitch w:val="variable"/>
    <w:sig w:usb0="9000002F" w:usb1="29D77CFB" w:usb2="00000012" w:usb3="00000000" w:csb0="00080001" w:csb1="00000000"/>
  </w:font>
  <w:font w:name="Times New Roman">
    <w:panose1 w:val="02020603050405020304"/>
    <w:charset w:val="00"/>
    <w:family w:val="roman"/>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Gulim">
    <w:altName w:val="Gulim"/>
    <w:panose1 w:val="020B0600000101010101"/>
    <w:charset w:val="81"/>
    <w:family w:val="swiss"/>
    <w:pitch w:val="variable"/>
    <w:sig w:usb0="B00002AF" w:usb1="69D77CFB" w:usb2="00000030" w:usb3="00000000" w:csb0="0008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76E4FD6" w14:textId="77777777" w:rsidR="00B9481C" w:rsidRDefault="00B9481C" w:rsidP="00A6719D">
      <w:pPr>
        <w:spacing w:after="0" w:line="240" w:lineRule="auto"/>
      </w:pPr>
      <w:r>
        <w:separator/>
      </w:r>
    </w:p>
  </w:footnote>
  <w:footnote w:type="continuationSeparator" w:id="0">
    <w:p w14:paraId="68FB51B1" w14:textId="77777777" w:rsidR="00B9481C" w:rsidRDefault="00B9481C" w:rsidP="00A6719D">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bordersDoNotSurroundHeader/>
  <w:bordersDoNotSurroundFooter/>
  <w:proofState w:spelling="clean" w:grammar="clean"/>
  <w:defaultTabStop w:val="800"/>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8589F"/>
    <w:rsid w:val="00007829"/>
    <w:rsid w:val="00037FF1"/>
    <w:rsid w:val="00045A35"/>
    <w:rsid w:val="00111490"/>
    <w:rsid w:val="001C0714"/>
    <w:rsid w:val="002613D2"/>
    <w:rsid w:val="00343515"/>
    <w:rsid w:val="003E6400"/>
    <w:rsid w:val="003E79F5"/>
    <w:rsid w:val="00422803"/>
    <w:rsid w:val="00452E58"/>
    <w:rsid w:val="00472088"/>
    <w:rsid w:val="0047278A"/>
    <w:rsid w:val="004846CA"/>
    <w:rsid w:val="0054497F"/>
    <w:rsid w:val="005527CE"/>
    <w:rsid w:val="00624543"/>
    <w:rsid w:val="0064469E"/>
    <w:rsid w:val="0064724D"/>
    <w:rsid w:val="006D6EA7"/>
    <w:rsid w:val="007135DC"/>
    <w:rsid w:val="007E7027"/>
    <w:rsid w:val="00802D88"/>
    <w:rsid w:val="00847D0B"/>
    <w:rsid w:val="008C3F36"/>
    <w:rsid w:val="00915EEE"/>
    <w:rsid w:val="0093058A"/>
    <w:rsid w:val="009C42FA"/>
    <w:rsid w:val="00A2140F"/>
    <w:rsid w:val="00A302ED"/>
    <w:rsid w:val="00A6719D"/>
    <w:rsid w:val="00A72D35"/>
    <w:rsid w:val="00AF5D57"/>
    <w:rsid w:val="00B51170"/>
    <w:rsid w:val="00B8589F"/>
    <w:rsid w:val="00B9481C"/>
    <w:rsid w:val="00BB2822"/>
    <w:rsid w:val="00CE6D61"/>
    <w:rsid w:val="00CF0AFE"/>
    <w:rsid w:val="00D53013"/>
    <w:rsid w:val="00DF153B"/>
    <w:rsid w:val="00E31611"/>
    <w:rsid w:val="00E57619"/>
    <w:rsid w:val="00E819DD"/>
    <w:rsid w:val="00F142C5"/>
    <w:rsid w:val="00F85A48"/>
    <w:rsid w:val="00FB6F1A"/>
    <w:rsid w:val="00FC10F3"/>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E809659"/>
  <w15:docId w15:val="{4AF815C2-6DEE-4C8D-A5FC-98B1C76269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Cs w:val="22"/>
        <w:lang w:val="en-US" w:eastAsia="ko-KR" w:bidi="ar-SA"/>
      </w:rPr>
    </w:rPrDefault>
    <w:pPrDefault>
      <w:pPr>
        <w:spacing w:after="160" w:line="259" w:lineRule="auto"/>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8589F"/>
    <w:pPr>
      <w:widowControl w:val="0"/>
      <w:wordWrap w:val="0"/>
      <w:autoSpaceDE w:val="0"/>
      <w:autoSpaceDN w:val="0"/>
      <w:spacing w:after="200" w:line="276"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8589F"/>
    <w:pPr>
      <w:spacing w:after="0" w:line="240" w:lineRule="auto"/>
    </w:pPr>
    <w:rPr>
      <w:rFonts w:asciiTheme="majorHAnsi" w:eastAsiaTheme="majorEastAsia" w:hAnsiTheme="majorHAnsi" w:cstheme="majorBidi"/>
      <w:sz w:val="18"/>
      <w:szCs w:val="18"/>
    </w:rPr>
  </w:style>
  <w:style w:type="character" w:customStyle="1" w:styleId="BalloonTextChar">
    <w:name w:val="Balloon Text Char"/>
    <w:basedOn w:val="DefaultParagraphFont"/>
    <w:link w:val="BalloonText"/>
    <w:uiPriority w:val="99"/>
    <w:semiHidden/>
    <w:rsid w:val="00B8589F"/>
    <w:rPr>
      <w:rFonts w:asciiTheme="majorHAnsi" w:eastAsiaTheme="majorEastAsia" w:hAnsiTheme="majorHAnsi" w:cstheme="majorBidi"/>
      <w:sz w:val="18"/>
      <w:szCs w:val="18"/>
    </w:rPr>
  </w:style>
  <w:style w:type="paragraph" w:styleId="Header">
    <w:name w:val="header"/>
    <w:basedOn w:val="Normal"/>
    <w:link w:val="HeaderChar"/>
    <w:uiPriority w:val="99"/>
    <w:unhideWhenUsed/>
    <w:rsid w:val="00A6719D"/>
    <w:pPr>
      <w:tabs>
        <w:tab w:val="center" w:pos="4513"/>
        <w:tab w:val="right" w:pos="9026"/>
      </w:tabs>
      <w:snapToGrid w:val="0"/>
    </w:pPr>
  </w:style>
  <w:style w:type="character" w:customStyle="1" w:styleId="HeaderChar">
    <w:name w:val="Header Char"/>
    <w:basedOn w:val="DefaultParagraphFont"/>
    <w:link w:val="Header"/>
    <w:uiPriority w:val="99"/>
    <w:rsid w:val="00A6719D"/>
  </w:style>
  <w:style w:type="paragraph" w:styleId="Footer">
    <w:name w:val="footer"/>
    <w:basedOn w:val="Normal"/>
    <w:link w:val="FooterChar"/>
    <w:uiPriority w:val="99"/>
    <w:unhideWhenUsed/>
    <w:rsid w:val="00A6719D"/>
    <w:pPr>
      <w:tabs>
        <w:tab w:val="center" w:pos="4513"/>
        <w:tab w:val="right" w:pos="9026"/>
      </w:tabs>
      <w:snapToGrid w:val="0"/>
    </w:pPr>
  </w:style>
  <w:style w:type="character" w:customStyle="1" w:styleId="FooterChar">
    <w:name w:val="Footer Char"/>
    <w:basedOn w:val="DefaultParagraphFont"/>
    <w:link w:val="Footer"/>
    <w:uiPriority w:val="99"/>
    <w:rsid w:val="00A6719D"/>
  </w:style>
  <w:style w:type="table" w:styleId="TableGrid">
    <w:name w:val="Table Grid"/>
    <w:basedOn w:val="TableNormal"/>
    <w:uiPriority w:val="39"/>
    <w:rsid w:val="00D5301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맑은 고딕"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맑은 고딕"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31</TotalTime>
  <Pages>3</Pages>
  <Words>255</Words>
  <Characters>1451</Characters>
  <Application>Microsoft Office Word</Application>
  <DocSecurity>0</DocSecurity>
  <Lines>24</Lines>
  <Paragraphs>3</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1703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[대학원생]김수진</dc:creator>
  <cp:keywords/>
  <dc:description/>
  <cp:lastModifiedBy>MDPI</cp:lastModifiedBy>
  <cp:revision>23</cp:revision>
  <dcterms:created xsi:type="dcterms:W3CDTF">2020-05-14T00:48:00Z</dcterms:created>
  <dcterms:modified xsi:type="dcterms:W3CDTF">2021-02-01T01:31:00Z</dcterms:modified>
</cp:coreProperties>
</file>