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33EA1" w14:textId="1AAA37F5" w:rsidR="00B8589F" w:rsidRDefault="00B8589F" w:rsidP="00B8589F">
      <w:pPr>
        <w:tabs>
          <w:tab w:val="left" w:pos="2567"/>
        </w:tabs>
        <w:wordWrap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</w:rPr>
      </w:pPr>
      <w:r w:rsidRPr="008510F5">
        <w:rPr>
          <w:rFonts w:ascii="Times New Roman" w:hAnsi="Times New Roman" w:cs="Times New Roman"/>
          <w:b/>
          <w:sz w:val="32"/>
          <w:szCs w:val="24"/>
        </w:rPr>
        <w:t xml:space="preserve">Supplementary </w:t>
      </w:r>
      <w:r w:rsidR="00F06B3D">
        <w:rPr>
          <w:rFonts w:ascii="Times New Roman" w:hAnsi="Times New Roman" w:cs="Times New Roman"/>
          <w:b/>
          <w:sz w:val="32"/>
          <w:szCs w:val="24"/>
        </w:rPr>
        <w:t>Table</w:t>
      </w:r>
    </w:p>
    <w:p w14:paraId="7CE69D51" w14:textId="5D9219FF" w:rsidR="00B8589F" w:rsidRDefault="00B8589F" w:rsidP="00B8589F">
      <w:pPr>
        <w:tabs>
          <w:tab w:val="left" w:pos="2567"/>
        </w:tabs>
        <w:wordWrap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3119"/>
      </w:tblGrid>
      <w:tr w:rsidR="00D53013" w:rsidRPr="00D53013" w14:paraId="017786DB" w14:textId="77777777" w:rsidTr="00F06B3D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9AFA9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Saponins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4B60B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Retention time (min)*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8A10F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Content (</w:t>
            </w:r>
            <w:proofErr w:type="spellStart"/>
            <w:r w:rsidRPr="00D53013">
              <w:rPr>
                <w:rFonts w:ascii="Palatino Linotype" w:eastAsia="Malgun Gothic" w:hAnsi="Palatino Linotype" w:cs="Times New Roman"/>
                <w:szCs w:val="20"/>
              </w:rPr>
              <w:t>μg</w:t>
            </w:r>
            <w:proofErr w:type="spellEnd"/>
            <w:r w:rsidRPr="00D53013">
              <w:rPr>
                <w:rFonts w:ascii="Palatino Linotype" w:eastAsia="Malgun Gothic" w:hAnsi="Palatino Linotype" w:cs="Times New Roman"/>
                <w:szCs w:val="20"/>
              </w:rPr>
              <w:t xml:space="preserve">/g extract </w:t>
            </w:r>
            <w:proofErr w:type="spellStart"/>
            <w:r w:rsidRPr="00D53013">
              <w:rPr>
                <w:rFonts w:ascii="Palatino Linotype" w:eastAsia="Malgun Gothic" w:hAnsi="Palatino Linotype" w:cs="Times New Roman"/>
                <w:szCs w:val="20"/>
              </w:rPr>
              <w:t>d.b</w:t>
            </w:r>
            <w:proofErr w:type="spellEnd"/>
            <w:r w:rsidRPr="00D53013">
              <w:rPr>
                <w:rFonts w:ascii="Palatino Linotype" w:eastAsia="Malgun Gothic" w:hAnsi="Palatino Linotype" w:cs="Times New Roman"/>
                <w:szCs w:val="20"/>
              </w:rPr>
              <w:t>.)</w:t>
            </w:r>
          </w:p>
        </w:tc>
      </w:tr>
      <w:tr w:rsidR="00D53013" w:rsidRPr="00D53013" w14:paraId="7AF8454F" w14:textId="77777777" w:rsidTr="00F06B3D"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17D4132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proofErr w:type="spellStart"/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Platycoside</w:t>
            </w:r>
            <w:proofErr w:type="spellEnd"/>
            <w:r w:rsidRPr="00D53013">
              <w:rPr>
                <w:rFonts w:ascii="Palatino Linotype" w:eastAsia="HYHeadLine-Medium" w:hAnsi="Palatino Linotype" w:cs="Times New Roman"/>
                <w:szCs w:val="20"/>
              </w:rPr>
              <w:t xml:space="preserve"> E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D3AF981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14.246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7A827CBD" w14:textId="0F31669B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942.32±97.97</w:t>
            </w:r>
          </w:p>
        </w:tc>
      </w:tr>
      <w:tr w:rsidR="00D53013" w:rsidRPr="00D53013" w14:paraId="1604D5BF" w14:textId="77777777" w:rsidTr="00F06B3D">
        <w:trPr>
          <w:trHeight w:val="43"/>
        </w:trPr>
        <w:tc>
          <w:tcPr>
            <w:tcW w:w="2268" w:type="dxa"/>
            <w:vAlign w:val="center"/>
          </w:tcPr>
          <w:p w14:paraId="2187E236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proofErr w:type="spellStart"/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Platycodin</w:t>
            </w:r>
            <w:proofErr w:type="spellEnd"/>
            <w:r w:rsidRPr="00D53013">
              <w:rPr>
                <w:rFonts w:ascii="Palatino Linotype" w:eastAsia="HYHeadLine-Medium" w:hAnsi="Palatino Linotype" w:cs="Times New Roman"/>
                <w:szCs w:val="20"/>
              </w:rPr>
              <w:t xml:space="preserve"> D</w:t>
            </w:r>
          </w:p>
        </w:tc>
        <w:tc>
          <w:tcPr>
            <w:tcW w:w="3119" w:type="dxa"/>
            <w:vAlign w:val="center"/>
          </w:tcPr>
          <w:p w14:paraId="74FDE47E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44.316</w:t>
            </w:r>
          </w:p>
        </w:tc>
        <w:tc>
          <w:tcPr>
            <w:tcW w:w="3119" w:type="dxa"/>
            <w:vAlign w:val="center"/>
          </w:tcPr>
          <w:p w14:paraId="4B339C6D" w14:textId="77777777" w:rsidR="00D53013" w:rsidRPr="00D53013" w:rsidRDefault="00D53013" w:rsidP="00F06B3D">
            <w:pPr>
              <w:spacing w:line="240" w:lineRule="auto"/>
              <w:jc w:val="center"/>
              <w:rPr>
                <w:rFonts w:ascii="Palatino Linotype" w:eastAsia="HYHeadLine-Medium" w:hAnsi="Palatino Linotype" w:cs="Times New Roman"/>
                <w:szCs w:val="20"/>
              </w:rPr>
            </w:pPr>
            <w:r w:rsidRPr="00D53013">
              <w:rPr>
                <w:rFonts w:ascii="Palatino Linotype" w:eastAsia="HYHeadLine-Medium" w:hAnsi="Palatino Linotype" w:cs="Times New Roman"/>
                <w:szCs w:val="20"/>
              </w:rPr>
              <w:t>1597.14±21.71</w:t>
            </w:r>
          </w:p>
        </w:tc>
      </w:tr>
    </w:tbl>
    <w:p w14:paraId="5288B330" w14:textId="77777777" w:rsidR="00D53013" w:rsidRPr="00D53013" w:rsidRDefault="00D53013" w:rsidP="00D53013">
      <w:pPr>
        <w:spacing w:after="0"/>
        <w:jc w:val="center"/>
        <w:rPr>
          <w:rFonts w:ascii="Palatino Linotype" w:eastAsia="HYHeadLine-Medium" w:hAnsi="Palatino Linotype" w:cs="Times New Roman"/>
          <w:szCs w:val="20"/>
        </w:rPr>
      </w:pPr>
    </w:p>
    <w:p w14:paraId="614F181F" w14:textId="7A31A7E5" w:rsidR="00D53013" w:rsidRPr="00D53013" w:rsidRDefault="00B51170" w:rsidP="00B51170">
      <w:pPr>
        <w:spacing w:line="360" w:lineRule="auto"/>
        <w:rPr>
          <w:rFonts w:ascii="Palatino Linotype" w:eastAsia="HYHeadLine-Medium" w:hAnsi="Palatino Linotype" w:cs="Times New Roman"/>
          <w:szCs w:val="20"/>
        </w:rPr>
      </w:pPr>
      <w:r w:rsidRPr="00D53013">
        <w:rPr>
          <w:rFonts w:ascii="Palatino Linotype" w:hAnsi="Palatino Linotype" w:cs="Times New Roman"/>
          <w:b/>
          <w:szCs w:val="20"/>
        </w:rPr>
        <w:t xml:space="preserve">Supplementary </w:t>
      </w:r>
      <w:r w:rsidR="00F06B3D">
        <w:rPr>
          <w:rFonts w:ascii="Palatino Linotype" w:hAnsi="Palatino Linotype" w:cs="Times New Roman" w:hint="eastAsia"/>
          <w:b/>
          <w:szCs w:val="20"/>
        </w:rPr>
        <w:t>T</w:t>
      </w:r>
      <w:r w:rsidR="00F06B3D">
        <w:rPr>
          <w:rFonts w:ascii="Palatino Linotype" w:hAnsi="Palatino Linotype" w:cs="Times New Roman"/>
          <w:b/>
          <w:szCs w:val="20"/>
        </w:rPr>
        <w:t>able</w:t>
      </w:r>
      <w:r w:rsidRPr="00D53013">
        <w:rPr>
          <w:rFonts w:ascii="Palatino Linotype" w:hAnsi="Palatino Linotype" w:cs="Times New Roman"/>
          <w:b/>
          <w:szCs w:val="20"/>
        </w:rPr>
        <w:t xml:space="preserve"> </w:t>
      </w:r>
      <w:r w:rsidR="00711256">
        <w:rPr>
          <w:rFonts w:ascii="Palatino Linotype" w:hAnsi="Palatino Linotype" w:cs="Times New Roman"/>
          <w:b/>
          <w:szCs w:val="20"/>
        </w:rPr>
        <w:t>S</w:t>
      </w:r>
      <w:r w:rsidRPr="00D53013">
        <w:rPr>
          <w:rFonts w:ascii="Palatino Linotype" w:hAnsi="Palatino Linotype" w:cs="Times New Roman"/>
          <w:b/>
          <w:szCs w:val="20"/>
        </w:rPr>
        <w:t>1</w:t>
      </w:r>
      <w:r w:rsidRPr="00D53013">
        <w:rPr>
          <w:rFonts w:ascii="Palatino Linotype" w:eastAsia="HYHeadLine-Medium" w:hAnsi="Palatino Linotype" w:cs="Times New Roman"/>
          <w:szCs w:val="20"/>
        </w:rPr>
        <w:t xml:space="preserve">. </w:t>
      </w:r>
      <w:proofErr w:type="spellStart"/>
      <w:r w:rsidRPr="00D53013">
        <w:rPr>
          <w:rFonts w:ascii="Palatino Linotype" w:eastAsia="HYHeadLine-Medium" w:hAnsi="Palatino Linotype" w:cs="Times New Roman"/>
          <w:szCs w:val="20"/>
        </w:rPr>
        <w:t>Platycoside</w:t>
      </w:r>
      <w:proofErr w:type="spellEnd"/>
      <w:r w:rsidRPr="00D53013">
        <w:rPr>
          <w:rFonts w:ascii="Palatino Linotype" w:eastAsia="HYHeadLine-Medium" w:hAnsi="Palatino Linotype" w:cs="Times New Roman"/>
          <w:szCs w:val="20"/>
        </w:rPr>
        <w:t xml:space="preserve"> E and </w:t>
      </w:r>
      <w:proofErr w:type="spellStart"/>
      <w:r w:rsidRPr="00D53013">
        <w:rPr>
          <w:rFonts w:ascii="Palatino Linotype" w:eastAsia="HYHeadLine-Medium" w:hAnsi="Palatino Linotype" w:cs="Times New Roman"/>
          <w:szCs w:val="20"/>
        </w:rPr>
        <w:t>platycodin</w:t>
      </w:r>
      <w:proofErr w:type="spellEnd"/>
      <w:r w:rsidRPr="00D53013">
        <w:rPr>
          <w:rFonts w:ascii="Palatino Linotype" w:eastAsia="HYHeadLine-Medium" w:hAnsi="Palatino Linotype" w:cs="Times New Roman"/>
          <w:szCs w:val="20"/>
        </w:rPr>
        <w:t xml:space="preserve"> D contents of </w:t>
      </w:r>
      <w:proofErr w:type="spellStart"/>
      <w:r w:rsidRPr="00D53013">
        <w:rPr>
          <w:rFonts w:ascii="Palatino Linotype" w:eastAsia="HYHeadLine-Medium" w:hAnsi="Palatino Linotype" w:cs="Times New Roman"/>
          <w:i/>
          <w:szCs w:val="20"/>
        </w:rPr>
        <w:t>Platycodon</w:t>
      </w:r>
      <w:proofErr w:type="spellEnd"/>
      <w:r w:rsidRPr="00D53013">
        <w:rPr>
          <w:rFonts w:ascii="Palatino Linotype" w:eastAsia="HYHeadLine-Medium" w:hAnsi="Palatino Linotype" w:cs="Times New Roman"/>
          <w:i/>
          <w:szCs w:val="20"/>
        </w:rPr>
        <w:t xml:space="preserve"> grandiflorum</w:t>
      </w:r>
      <w:r w:rsidRPr="00D53013">
        <w:rPr>
          <w:rFonts w:ascii="Palatino Linotype" w:eastAsia="HYHeadLine-Medium" w:hAnsi="Palatino Linotype" w:cs="Times New Roman"/>
          <w:szCs w:val="20"/>
        </w:rPr>
        <w:t xml:space="preserve"> extract</w:t>
      </w:r>
      <w:r>
        <w:rPr>
          <w:rFonts w:ascii="Palatino Linotype" w:eastAsia="HYHeadLine-Medium" w:hAnsi="Palatino Linotype" w:cs="Times New Roman"/>
          <w:szCs w:val="20"/>
        </w:rPr>
        <w:t xml:space="preserve">. </w:t>
      </w:r>
      <w:r w:rsidR="00D53013" w:rsidRPr="00D53013">
        <w:rPr>
          <w:rFonts w:ascii="Palatino Linotype" w:eastAsia="HYHeadLine-Medium" w:hAnsi="Palatino Linotype" w:cs="Times New Roman"/>
          <w:szCs w:val="20"/>
        </w:rPr>
        <w:t>Retention times of standards (</w:t>
      </w:r>
      <w:proofErr w:type="spellStart"/>
      <w:r w:rsidR="00D53013" w:rsidRPr="00D53013">
        <w:rPr>
          <w:rFonts w:ascii="Palatino Linotype" w:eastAsia="HYHeadLine-Medium" w:hAnsi="Palatino Linotype" w:cs="Times New Roman"/>
          <w:szCs w:val="20"/>
        </w:rPr>
        <w:t>platycoside</w:t>
      </w:r>
      <w:proofErr w:type="spellEnd"/>
      <w:r w:rsidR="00D53013" w:rsidRPr="00D53013">
        <w:rPr>
          <w:rFonts w:ascii="Palatino Linotype" w:eastAsia="HYHeadLine-Medium" w:hAnsi="Palatino Linotype" w:cs="Times New Roman"/>
          <w:szCs w:val="20"/>
        </w:rPr>
        <w:t xml:space="preserve"> E and </w:t>
      </w:r>
      <w:proofErr w:type="spellStart"/>
      <w:r w:rsidR="00D53013" w:rsidRPr="00D53013">
        <w:rPr>
          <w:rFonts w:ascii="Palatino Linotype" w:eastAsia="HYHeadLine-Medium" w:hAnsi="Palatino Linotype" w:cs="Times New Roman"/>
          <w:szCs w:val="20"/>
        </w:rPr>
        <w:t>platycodin</w:t>
      </w:r>
      <w:proofErr w:type="spellEnd"/>
      <w:r w:rsidR="00D53013" w:rsidRPr="00D53013">
        <w:rPr>
          <w:rFonts w:ascii="Palatino Linotype" w:eastAsia="HYHeadLine-Medium" w:hAnsi="Palatino Linotype" w:cs="Times New Roman"/>
          <w:szCs w:val="20"/>
        </w:rPr>
        <w:t xml:space="preserve"> D) were 14.282 and 44.298 min, respectively.</w:t>
      </w:r>
    </w:p>
    <w:p w14:paraId="48FC3CC7" w14:textId="77777777" w:rsidR="00D53013" w:rsidRPr="00D53013" w:rsidRDefault="00D53013" w:rsidP="00B8589F">
      <w:pPr>
        <w:tabs>
          <w:tab w:val="left" w:pos="2567"/>
        </w:tabs>
        <w:wordWrap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</w:rPr>
      </w:pPr>
    </w:p>
    <w:p w14:paraId="06E89A55" w14:textId="77777777" w:rsidR="007B12C6" w:rsidRDefault="007B12C6">
      <w:pPr>
        <w:widowControl/>
        <w:wordWrap/>
        <w:autoSpaceDE/>
        <w:autoSpaceDN/>
        <w:spacing w:after="160" w:line="259" w:lineRule="auto"/>
      </w:pPr>
      <w:r>
        <w:br w:type="page"/>
      </w:r>
    </w:p>
    <w:tbl>
      <w:tblPr>
        <w:tblStyle w:val="TableGrid"/>
        <w:tblpPr w:leftFromText="142" w:rightFromText="142" w:vertAnchor="text" w:horzAnchor="margin" w:tblpY="296"/>
        <w:tblW w:w="0" w:type="auto"/>
        <w:tblLayout w:type="fixed"/>
        <w:tblLook w:val="04A0" w:firstRow="1" w:lastRow="0" w:firstColumn="1" w:lastColumn="0" w:noHBand="0" w:noVBand="1"/>
      </w:tblPr>
      <w:tblGrid>
        <w:gridCol w:w="831"/>
        <w:gridCol w:w="3842"/>
        <w:gridCol w:w="1843"/>
        <w:gridCol w:w="1134"/>
        <w:gridCol w:w="1184"/>
      </w:tblGrid>
      <w:tr w:rsidR="007B12C6" w14:paraId="65D6252F" w14:textId="77777777" w:rsidTr="00D2464F">
        <w:trPr>
          <w:trHeight w:val="533"/>
        </w:trPr>
        <w:tc>
          <w:tcPr>
            <w:tcW w:w="831" w:type="dxa"/>
            <w:tcBorders>
              <w:bottom w:val="double" w:sz="4" w:space="0" w:color="auto"/>
            </w:tcBorders>
            <w:vAlign w:val="center"/>
          </w:tcPr>
          <w:p w14:paraId="61B0FC38" w14:textId="77777777" w:rsidR="007B12C6" w:rsidRPr="000C3162" w:rsidRDefault="007B12C6" w:rsidP="00D2464F">
            <w:pPr>
              <w:pStyle w:val="MDPI42tablebody"/>
              <w:rPr>
                <w:b/>
                <w:bCs/>
              </w:rPr>
            </w:pPr>
            <w:r w:rsidRPr="000C3162">
              <w:rPr>
                <w:b/>
                <w:bCs/>
              </w:rPr>
              <w:lastRenderedPageBreak/>
              <w:t>Gene</w:t>
            </w:r>
          </w:p>
        </w:tc>
        <w:tc>
          <w:tcPr>
            <w:tcW w:w="3842" w:type="dxa"/>
            <w:tcBorders>
              <w:bottom w:val="double" w:sz="4" w:space="0" w:color="auto"/>
            </w:tcBorders>
            <w:vAlign w:val="center"/>
          </w:tcPr>
          <w:p w14:paraId="5DC8E335" w14:textId="77777777" w:rsidR="007B12C6" w:rsidRPr="000C3162" w:rsidRDefault="007B12C6" w:rsidP="00D2464F">
            <w:pPr>
              <w:pStyle w:val="MDPI42tablebody"/>
              <w:rPr>
                <w:b/>
                <w:bCs/>
              </w:rPr>
            </w:pPr>
            <w:r w:rsidRPr="000C3162">
              <w:rPr>
                <w:b/>
                <w:bCs/>
              </w:rPr>
              <w:t>Primer Sequence (5’</w:t>
            </w:r>
            <w:r w:rsidRPr="000C3162">
              <w:rPr>
                <w:rFonts w:ascii="Malgun Gothic" w:eastAsia="Malgun Gothic" w:hAnsi="Malgun Gothic" w:cs="Malgun Gothic" w:hint="eastAsia"/>
                <w:b/>
                <w:bCs/>
              </w:rPr>
              <w:t>→</w:t>
            </w:r>
            <w:r w:rsidRPr="000C3162">
              <w:rPr>
                <w:b/>
                <w:bCs/>
              </w:rPr>
              <w:t>3’)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EC1538C" w14:textId="62B20AC1" w:rsidR="007B12C6" w:rsidRPr="000C3162" w:rsidRDefault="007B12C6" w:rsidP="00D2464F">
            <w:pPr>
              <w:pStyle w:val="MDPI42tablebody"/>
              <w:rPr>
                <w:b/>
                <w:bCs/>
              </w:rPr>
            </w:pPr>
            <w:r w:rsidRPr="000C3162">
              <w:rPr>
                <w:b/>
                <w:bCs/>
              </w:rPr>
              <w:t>Gene Accession Number</w:t>
            </w:r>
            <w:r w:rsidR="00D510D1">
              <w:rPr>
                <w:b/>
                <w:bCs/>
              </w:rPr>
              <w:t xml:space="preserve"> </w:t>
            </w:r>
            <w:r w:rsidRPr="000C3162">
              <w:rPr>
                <w:b/>
                <w:bCs/>
              </w:rPr>
              <w:t>(</w:t>
            </w:r>
            <w:r w:rsidR="00D510D1">
              <w:rPr>
                <w:b/>
                <w:bCs/>
              </w:rPr>
              <w:t>V</w:t>
            </w:r>
            <w:r w:rsidRPr="000C3162">
              <w:rPr>
                <w:b/>
                <w:bCs/>
              </w:rPr>
              <w:t>ersion)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9AF2642" w14:textId="77777777" w:rsidR="007B12C6" w:rsidRPr="000C3162" w:rsidRDefault="007B12C6" w:rsidP="00D2464F">
            <w:pPr>
              <w:pStyle w:val="MDPI42tablebody"/>
              <w:rPr>
                <w:b/>
                <w:bCs/>
              </w:rPr>
            </w:pPr>
            <w:r w:rsidRPr="000C3162">
              <w:rPr>
                <w:b/>
                <w:bCs/>
              </w:rPr>
              <w:t>Primer Name</w:t>
            </w:r>
          </w:p>
        </w:tc>
        <w:tc>
          <w:tcPr>
            <w:tcW w:w="1184" w:type="dxa"/>
            <w:tcBorders>
              <w:bottom w:val="double" w:sz="4" w:space="0" w:color="auto"/>
            </w:tcBorders>
            <w:vAlign w:val="center"/>
          </w:tcPr>
          <w:p w14:paraId="2F5B8A52" w14:textId="77777777" w:rsidR="007B12C6" w:rsidRPr="000C3162" w:rsidRDefault="007B12C6" w:rsidP="00D2464F">
            <w:pPr>
              <w:pStyle w:val="MDPI42tablebody"/>
              <w:rPr>
                <w:b/>
                <w:bCs/>
              </w:rPr>
            </w:pPr>
            <w:r w:rsidRPr="000C3162">
              <w:rPr>
                <w:rFonts w:hint="eastAsia"/>
                <w:b/>
                <w:bCs/>
              </w:rPr>
              <w:t>R</w:t>
            </w:r>
            <w:r w:rsidRPr="000C3162">
              <w:rPr>
                <w:b/>
                <w:bCs/>
              </w:rPr>
              <w:t>eference</w:t>
            </w:r>
          </w:p>
        </w:tc>
      </w:tr>
      <w:tr w:rsidR="007B12C6" w14:paraId="00DEA218" w14:textId="77777777" w:rsidTr="00D2464F">
        <w:trPr>
          <w:trHeight w:val="170"/>
        </w:trPr>
        <w:tc>
          <w:tcPr>
            <w:tcW w:w="831" w:type="dxa"/>
            <w:vMerge w:val="restart"/>
            <w:tcBorders>
              <w:top w:val="double" w:sz="4" w:space="0" w:color="auto"/>
            </w:tcBorders>
            <w:vAlign w:val="center"/>
          </w:tcPr>
          <w:p w14:paraId="635D5B28" w14:textId="77777777" w:rsidR="007B12C6" w:rsidRPr="00EC5736" w:rsidRDefault="007B12C6" w:rsidP="00D2464F">
            <w:pPr>
              <w:pStyle w:val="MDPI42tablebody"/>
            </w:pPr>
            <w:r w:rsidRPr="00EC5736">
              <w:t>APP</w:t>
            </w:r>
          </w:p>
        </w:tc>
        <w:tc>
          <w:tcPr>
            <w:tcW w:w="3842" w:type="dxa"/>
            <w:tcBorders>
              <w:top w:val="double" w:sz="4" w:space="0" w:color="auto"/>
            </w:tcBorders>
            <w:vAlign w:val="center"/>
          </w:tcPr>
          <w:p w14:paraId="0F7EFAA1" w14:textId="77777777" w:rsidR="007B12C6" w:rsidRPr="00EC5736" w:rsidRDefault="007B12C6" w:rsidP="00D2464F">
            <w:pPr>
              <w:pStyle w:val="MDPI42tablebody"/>
            </w:pPr>
            <w:r>
              <w:t xml:space="preserve">F: </w:t>
            </w:r>
            <w:r w:rsidRPr="00EC5736">
              <w:t>AGG ACT GAC CAC TCG ACC AG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  <w:vAlign w:val="center"/>
          </w:tcPr>
          <w:p w14:paraId="1561B7F3" w14:textId="77777777" w:rsidR="007B12C6" w:rsidRPr="00EC5736" w:rsidRDefault="007B12C6" w:rsidP="00D2464F">
            <w:pPr>
              <w:pStyle w:val="MDPI42tablebody"/>
            </w:pPr>
            <w:r>
              <w:rPr>
                <w:rFonts w:hint="eastAsia"/>
              </w:rPr>
              <w:t>N</w:t>
            </w:r>
            <w:r>
              <w:t>M_000484</w:t>
            </w:r>
            <w:r>
              <w:br/>
              <w:t>(NM_000484.4)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0DAA75D" w14:textId="77777777" w:rsidR="007B12C6" w:rsidRPr="00EC5736" w:rsidRDefault="007B12C6" w:rsidP="00D2464F">
            <w:pPr>
              <w:pStyle w:val="MDPI42tablebody"/>
            </w:pPr>
            <w:r w:rsidRPr="00EC5736">
              <w:t>oIMR3610</w:t>
            </w:r>
          </w:p>
        </w:tc>
        <w:tc>
          <w:tcPr>
            <w:tcW w:w="1184" w:type="dxa"/>
            <w:vMerge w:val="restart"/>
            <w:tcBorders>
              <w:top w:val="double" w:sz="4" w:space="0" w:color="auto"/>
            </w:tcBorders>
            <w:vAlign w:val="center"/>
          </w:tcPr>
          <w:p w14:paraId="3F537C91" w14:textId="77777777" w:rsidR="007B12C6" w:rsidRPr="00EC5736" w:rsidRDefault="007B12C6" w:rsidP="00D2464F">
            <w:pPr>
              <w:pStyle w:val="MDPI42tablebody"/>
            </w:pPr>
            <w:r>
              <w:fldChar w:fldCharType="begin"/>
            </w:r>
            <w:r>
              <w:instrText xml:space="preserve"> ADDIN EN.CITE &lt;EndNote&gt;&lt;Cite&gt;&lt;Author&gt;Hendriks&lt;/Author&gt;&lt;Year&gt;1992&lt;/Year&gt;&lt;RecNum&gt;740&lt;/RecNum&gt;&lt;DisplayText&gt;&lt;style size="10"&gt;[1]&lt;/style&gt;&lt;/DisplayText&gt;&lt;record&gt;&lt;rec-number&gt;740&lt;/rec-number&gt;&lt;foreign-keys&gt;&lt;key app="EN" db-id="zfpdpretq2fra6earawxtv5k0wwzepzfftww" timestamp="1611026859"&gt;740&lt;/key&gt;&lt;/foreign-keys&gt;&lt;ref-type name="Journal Article"&gt;17&lt;/ref-type&gt;&lt;contributors&gt;&lt;authors&gt;&lt;author&gt;Hendriks, L.&lt;/author&gt;&lt;author&gt;van Duijn, C. M.&lt;/author&gt;&lt;author&gt;Cras, P.&lt;/author&gt;&lt;author&gt;Cruts, M.&lt;/author&gt;&lt;author&gt;Van Hul, W.&lt;/author&gt;&lt;author&gt;van Harskamp, F.&lt;/author&gt;&lt;author&gt;Warren, A.&lt;/author&gt;&lt;author&gt;McInnis, M. G.&lt;/author&gt;&lt;author&gt;Antonarakis, S. E.&lt;/author&gt;&lt;author&gt;Martin, J. J.&lt;/author&gt;&lt;author&gt;et al.,&lt;/author&gt;&lt;/authors&gt;&lt;/contributors&gt;&lt;auth-address&gt;Department of Biochemistry, Born Bunge Foundation, University of Antwerp (UIA), Belgium.&lt;/auth-address&gt;&lt;titles&gt;&lt;title&gt;Presenile dementia and cerebral haemorrhage linked to a mutation at codon 692 of the beta-amyloid precursor protein gene&lt;/title&gt;&lt;secondary-title&gt;Nat Genet&lt;/secondary-title&gt;&lt;/titles&gt;&lt;periodical&gt;&lt;full-title&gt;Nat Genet&lt;/full-title&gt;&lt;/periodical&gt;&lt;pages&gt;218-21&lt;/pages&gt;&lt;volume&gt;1&lt;/volume&gt;&lt;number&gt;3&lt;/number&gt;&lt;keywords&gt;&lt;keyword&gt;Adult&lt;/keyword&gt;&lt;keyword&gt;Alzheimer Disease/genetics&lt;/keyword&gt;&lt;keyword&gt;Amyloid beta-Protein Precursor/*genetics&lt;/keyword&gt;&lt;keyword&gt;Cerebral Amyloid Angiopathy/genetics&lt;/keyword&gt;&lt;keyword&gt;Cerebral Hemorrhage/*genetics&lt;/keyword&gt;&lt;keyword&gt;Codon/genetics&lt;/keyword&gt;&lt;keyword&gt;DNA Mutational Analysis&lt;/keyword&gt;&lt;keyword&gt;Dementia/*genetics&lt;/keyword&gt;&lt;keyword&gt;Female&lt;/keyword&gt;&lt;keyword&gt;Genetic Linkage&lt;/keyword&gt;&lt;keyword&gt;Humans&lt;/keyword&gt;&lt;keyword&gt;Male&lt;/keyword&gt;&lt;keyword&gt;Middle Aged&lt;/keyword&gt;&lt;keyword&gt;Pedigree&lt;/keyword&gt;&lt;keyword&gt;Point Mutation&lt;/keyword&gt;&lt;/keywords&gt;&lt;dates&gt;&lt;year&gt;1992&lt;/year&gt;&lt;pub-dates&gt;&lt;date&gt;Jun&lt;/date&gt;&lt;/pub-dates&gt;&lt;/dates&gt;&lt;isbn&gt;1061-4036 (Print)&amp;#xD;1061-4036 (Linking)&lt;/isbn&gt;&lt;accession-num&gt;1303239&lt;/accession-num&gt;&lt;urls&gt;&lt;related-urls&gt;&lt;url&gt;https://www.ncbi.nlm.nih.gov/pubmed/1303239&lt;/url&gt;&lt;/related-urls&gt;&lt;/urls&gt;&lt;electronic-resource-num&gt;10.1038/ng0692-218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</w:p>
        </w:tc>
      </w:tr>
      <w:tr w:rsidR="007B12C6" w14:paraId="4D2BF79B" w14:textId="77777777" w:rsidTr="00D2464F">
        <w:trPr>
          <w:trHeight w:val="169"/>
        </w:trPr>
        <w:tc>
          <w:tcPr>
            <w:tcW w:w="831" w:type="dxa"/>
            <w:vMerge/>
            <w:vAlign w:val="center"/>
          </w:tcPr>
          <w:p w14:paraId="77FD16E8" w14:textId="77777777" w:rsidR="007B12C6" w:rsidRPr="00EC5736" w:rsidRDefault="007B12C6" w:rsidP="00D2464F">
            <w:pPr>
              <w:pStyle w:val="MDPI42tablebody"/>
            </w:pPr>
          </w:p>
        </w:tc>
        <w:tc>
          <w:tcPr>
            <w:tcW w:w="3842" w:type="dxa"/>
            <w:vAlign w:val="center"/>
          </w:tcPr>
          <w:p w14:paraId="4364B838" w14:textId="77777777" w:rsidR="007B12C6" w:rsidRPr="00EC5736" w:rsidRDefault="007B12C6" w:rsidP="00D2464F">
            <w:pPr>
              <w:pStyle w:val="MDPI42tablebody"/>
            </w:pPr>
            <w:r>
              <w:t xml:space="preserve">R: </w:t>
            </w:r>
            <w:r w:rsidRPr="00EC5736">
              <w:t>CGG GGG TCT AGT TCT GCA T</w:t>
            </w:r>
          </w:p>
        </w:tc>
        <w:tc>
          <w:tcPr>
            <w:tcW w:w="1843" w:type="dxa"/>
            <w:vMerge/>
            <w:vAlign w:val="center"/>
          </w:tcPr>
          <w:p w14:paraId="09FC1DFB" w14:textId="77777777" w:rsidR="007B12C6" w:rsidRPr="00EC5736" w:rsidRDefault="007B12C6" w:rsidP="00D2464F">
            <w:pPr>
              <w:pStyle w:val="MDPI42tablebody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816CD4C" w14:textId="77777777" w:rsidR="007B12C6" w:rsidRPr="00EC5736" w:rsidRDefault="007B12C6" w:rsidP="00D2464F">
            <w:pPr>
              <w:pStyle w:val="MDPI42tablebody"/>
            </w:pPr>
            <w:r w:rsidRPr="00EC5736">
              <w:t>oIMR3611</w:t>
            </w:r>
          </w:p>
        </w:tc>
        <w:tc>
          <w:tcPr>
            <w:tcW w:w="1184" w:type="dxa"/>
            <w:vMerge/>
            <w:vAlign w:val="center"/>
          </w:tcPr>
          <w:p w14:paraId="0DCEAF69" w14:textId="77777777" w:rsidR="007B12C6" w:rsidRPr="00EC5736" w:rsidRDefault="007B12C6" w:rsidP="00D2464F">
            <w:pPr>
              <w:pStyle w:val="MDPI42tablebody"/>
            </w:pPr>
          </w:p>
        </w:tc>
      </w:tr>
      <w:tr w:rsidR="007B12C6" w14:paraId="5AF12311" w14:textId="77777777" w:rsidTr="00D2464F">
        <w:trPr>
          <w:trHeight w:val="170"/>
        </w:trPr>
        <w:tc>
          <w:tcPr>
            <w:tcW w:w="831" w:type="dxa"/>
            <w:vMerge w:val="restart"/>
            <w:vAlign w:val="center"/>
          </w:tcPr>
          <w:p w14:paraId="2AC6D272" w14:textId="77777777" w:rsidR="007B12C6" w:rsidRPr="00EC5736" w:rsidRDefault="007B12C6" w:rsidP="00D2464F">
            <w:pPr>
              <w:pStyle w:val="MDPI42tablebody"/>
              <w:rPr>
                <w:rFonts w:eastAsia="GulimChe"/>
              </w:rPr>
            </w:pPr>
            <w:r w:rsidRPr="00EC5736">
              <w:rPr>
                <w:rFonts w:eastAsia="GulimChe"/>
              </w:rPr>
              <w:t>PSEN1</w:t>
            </w:r>
          </w:p>
        </w:tc>
        <w:tc>
          <w:tcPr>
            <w:tcW w:w="3842" w:type="dxa"/>
            <w:vAlign w:val="center"/>
          </w:tcPr>
          <w:p w14:paraId="288430CA" w14:textId="77777777" w:rsidR="007B12C6" w:rsidRPr="00EC5736" w:rsidRDefault="007B12C6" w:rsidP="00D2464F">
            <w:pPr>
              <w:pStyle w:val="MDPI42tablebody"/>
            </w:pPr>
            <w:r>
              <w:t xml:space="preserve">F: </w:t>
            </w:r>
            <w:r w:rsidRPr="00EC5736">
              <w:t>AAT AGA GAA CGG CAG GAG CA</w:t>
            </w:r>
          </w:p>
        </w:tc>
        <w:tc>
          <w:tcPr>
            <w:tcW w:w="1843" w:type="dxa"/>
            <w:vMerge w:val="restart"/>
            <w:vAlign w:val="center"/>
          </w:tcPr>
          <w:p w14:paraId="725072E5" w14:textId="77777777" w:rsidR="007B12C6" w:rsidRPr="00EC5736" w:rsidRDefault="007B12C6" w:rsidP="00D2464F">
            <w:pPr>
              <w:pStyle w:val="MDPI42tablebody"/>
            </w:pPr>
            <w:r w:rsidRPr="00EC5736">
              <w:t>NM_000021</w:t>
            </w:r>
            <w:r w:rsidRPr="00EC5736">
              <w:br/>
              <w:t>(NM_000021.4)</w:t>
            </w:r>
          </w:p>
        </w:tc>
        <w:tc>
          <w:tcPr>
            <w:tcW w:w="1134" w:type="dxa"/>
            <w:vAlign w:val="center"/>
          </w:tcPr>
          <w:p w14:paraId="1354C044" w14:textId="77777777" w:rsidR="007B12C6" w:rsidRPr="00EC5736" w:rsidRDefault="007B12C6" w:rsidP="00D2464F">
            <w:pPr>
              <w:pStyle w:val="MDPI42tablebody"/>
            </w:pPr>
            <w:r w:rsidRPr="00EC5736">
              <w:t>oIMR1644</w:t>
            </w:r>
          </w:p>
        </w:tc>
        <w:tc>
          <w:tcPr>
            <w:tcW w:w="1184" w:type="dxa"/>
            <w:vMerge w:val="restart"/>
            <w:vAlign w:val="center"/>
          </w:tcPr>
          <w:p w14:paraId="3560BAF5" w14:textId="77777777" w:rsidR="007B12C6" w:rsidRPr="00EC5736" w:rsidRDefault="007B12C6" w:rsidP="00D2464F">
            <w:pPr>
              <w:pStyle w:val="MDPI42tablebody"/>
            </w:pPr>
            <w:r>
              <w:fldChar w:fldCharType="begin"/>
            </w:r>
            <w:r>
              <w:instrText xml:space="preserve"> ADDIN EN.CITE &lt;EndNote&gt;&lt;Cite&gt;&lt;Author&gt;Schellenberg&lt;/Author&gt;&lt;Year&gt;1992&lt;/Year&gt;&lt;RecNum&gt;741&lt;/RecNum&gt;&lt;DisplayText&gt;&lt;style size="10"&gt;[2]&lt;/style&gt;&lt;/DisplayText&gt;&lt;record&gt;&lt;rec-number&gt;741&lt;/rec-number&gt;&lt;foreign-keys&gt;&lt;key app="EN" db-id="zfpdpretq2fra6earawxtv5k0wwzepzfftww" timestamp="1611026885"&gt;741&lt;/key&gt;&lt;/foreign-keys&gt;&lt;ref-type name="Journal Article"&gt;17&lt;/ref-type&gt;&lt;contributors&gt;&lt;authors&gt;&lt;author&gt;Schellenberg, G. D.&lt;/author&gt;&lt;author&gt;Bird, T. D.&lt;/author&gt;&lt;author&gt;Wijsman, E. M.&lt;/author&gt;&lt;author&gt;Orr, H. T.&lt;/author&gt;&lt;author&gt;Anderson, L.&lt;/author&gt;&lt;author&gt;Nemens, E.&lt;/author&gt;&lt;author&gt;White, J. A.&lt;/author&gt;&lt;author&gt;Bonnycastle, L.&lt;/author&gt;&lt;author&gt;Weber, J. L.&lt;/author&gt;&lt;author&gt;Alonso, M. E.&lt;/author&gt;&lt;author&gt;et al.,&lt;/author&gt;&lt;/authors&gt;&lt;/contributors&gt;&lt;titles&gt;&lt;title&gt;Genetic linkage evidence for a familial Alzheimer&amp;apos;s disease locus on chromosome 14&lt;/title&gt;&lt;secondary-title&gt;Science&lt;/secondary-title&gt;&lt;/titles&gt;&lt;periodical&gt;&lt;full-title&gt;Science&lt;/full-title&gt;&lt;/periodical&gt;&lt;pages&gt;668-71&lt;/pages&gt;&lt;volume&gt;258&lt;/volume&gt;&lt;number&gt;5082&lt;/number&gt;&lt;keywords&gt;&lt;keyword&gt;Alzheimer Disease/*genetics&lt;/keyword&gt;&lt;keyword&gt;Base Sequence&lt;/keyword&gt;&lt;keyword&gt;*Chromosomes, Human, Pair 14&lt;/keyword&gt;&lt;keyword&gt;Female&lt;/keyword&gt;&lt;keyword&gt;Genetic Linkage/*genetics&lt;/keyword&gt;&lt;keyword&gt;Humans&lt;/keyword&gt;&lt;keyword&gt;Male&lt;/keyword&gt;&lt;keyword&gt;Molecular Sequence Data&lt;/keyword&gt;&lt;keyword&gt;Oligonucleotide Probes/genetics&lt;/keyword&gt;&lt;keyword&gt;Pedigree&lt;/keyword&gt;&lt;/keywords&gt;&lt;dates&gt;&lt;year&gt;1992&lt;/year&gt;&lt;pub-dates&gt;&lt;date&gt;Oct 23&lt;/date&gt;&lt;/pub-dates&gt;&lt;/dates&gt;&lt;isbn&gt;0036-8075 (Print)&amp;#xD;0036-8075 (Linking)&lt;/isbn&gt;&lt;accession-num&gt;1411576&lt;/accession-num&gt;&lt;urls&gt;&lt;related-urls&gt;&lt;url&gt;https://www.ncbi.nlm.nih.gov/pubmed/1411576&lt;/url&gt;&lt;/related-urls&gt;&lt;/urls&gt;&lt;electronic-resource-num&gt;10.1126/science.1411576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[2]</w:t>
            </w:r>
            <w:r>
              <w:fldChar w:fldCharType="end"/>
            </w:r>
          </w:p>
        </w:tc>
      </w:tr>
      <w:tr w:rsidR="007B12C6" w14:paraId="25252FE1" w14:textId="77777777" w:rsidTr="00D2464F">
        <w:trPr>
          <w:trHeight w:val="169"/>
        </w:trPr>
        <w:tc>
          <w:tcPr>
            <w:tcW w:w="831" w:type="dxa"/>
            <w:vMerge/>
            <w:vAlign w:val="center"/>
          </w:tcPr>
          <w:p w14:paraId="6FDB29C0" w14:textId="77777777" w:rsidR="007B12C6" w:rsidRPr="00EC5736" w:rsidRDefault="007B12C6" w:rsidP="00D2464F">
            <w:pPr>
              <w:pStyle w:val="MDPI42tablebody"/>
              <w:rPr>
                <w:rFonts w:eastAsia="GulimChe"/>
              </w:rPr>
            </w:pPr>
          </w:p>
        </w:tc>
        <w:tc>
          <w:tcPr>
            <w:tcW w:w="3842" w:type="dxa"/>
            <w:vAlign w:val="center"/>
          </w:tcPr>
          <w:p w14:paraId="45DD9E24" w14:textId="77777777" w:rsidR="007B12C6" w:rsidRPr="00EC5736" w:rsidRDefault="007B12C6" w:rsidP="00D2464F">
            <w:pPr>
              <w:pStyle w:val="MDPI42tablebody"/>
            </w:pPr>
            <w:r>
              <w:t xml:space="preserve">R: </w:t>
            </w:r>
            <w:r w:rsidRPr="00EC5736">
              <w:t>GCC ATG AGG GCA CTA ATC AT</w:t>
            </w:r>
          </w:p>
        </w:tc>
        <w:tc>
          <w:tcPr>
            <w:tcW w:w="1843" w:type="dxa"/>
            <w:vMerge/>
            <w:vAlign w:val="center"/>
          </w:tcPr>
          <w:p w14:paraId="62089A6D" w14:textId="77777777" w:rsidR="007B12C6" w:rsidRPr="00EC5736" w:rsidRDefault="007B12C6" w:rsidP="00D2464F">
            <w:pPr>
              <w:pStyle w:val="MDPI42tablebody"/>
            </w:pPr>
          </w:p>
        </w:tc>
        <w:tc>
          <w:tcPr>
            <w:tcW w:w="1134" w:type="dxa"/>
            <w:vAlign w:val="center"/>
          </w:tcPr>
          <w:p w14:paraId="7F192F25" w14:textId="77777777" w:rsidR="007B12C6" w:rsidRPr="00EC5736" w:rsidRDefault="007B12C6" w:rsidP="00D2464F">
            <w:pPr>
              <w:pStyle w:val="MDPI42tablebody"/>
            </w:pPr>
            <w:r w:rsidRPr="00EC5736">
              <w:t>oIMR1645</w:t>
            </w:r>
          </w:p>
        </w:tc>
        <w:tc>
          <w:tcPr>
            <w:tcW w:w="1184" w:type="dxa"/>
            <w:vMerge/>
            <w:vAlign w:val="center"/>
          </w:tcPr>
          <w:p w14:paraId="04329FB2" w14:textId="77777777" w:rsidR="007B12C6" w:rsidRPr="00EC5736" w:rsidRDefault="007B12C6" w:rsidP="00D2464F">
            <w:pPr>
              <w:pStyle w:val="MDPI42tablebody"/>
            </w:pPr>
          </w:p>
        </w:tc>
      </w:tr>
    </w:tbl>
    <w:p w14:paraId="756C5051" w14:textId="0873AF27" w:rsidR="007B12C6" w:rsidRPr="00D53013" w:rsidRDefault="007B12C6" w:rsidP="007B12C6">
      <w:pPr>
        <w:spacing w:after="0"/>
        <w:jc w:val="center"/>
        <w:rPr>
          <w:rFonts w:ascii="Palatino Linotype" w:eastAsia="HYHeadLine-Medium" w:hAnsi="Palatino Linotype" w:cs="Times New Roman"/>
          <w:szCs w:val="20"/>
        </w:rPr>
      </w:pPr>
    </w:p>
    <w:p w14:paraId="031E44AA" w14:textId="43030190" w:rsidR="00A01C05" w:rsidRDefault="007B12C6" w:rsidP="007B12C6">
      <w:pPr>
        <w:spacing w:line="360" w:lineRule="auto"/>
        <w:rPr>
          <w:rFonts w:ascii="Palatino Linotype" w:eastAsia="HYHeadLine-Medium" w:hAnsi="Palatino Linotype" w:cs="Times New Roman"/>
          <w:szCs w:val="20"/>
        </w:rPr>
      </w:pPr>
      <w:r w:rsidRPr="00D53013">
        <w:rPr>
          <w:rFonts w:ascii="Palatino Linotype" w:hAnsi="Palatino Linotype" w:cs="Times New Roman"/>
          <w:b/>
          <w:szCs w:val="20"/>
        </w:rPr>
        <w:t xml:space="preserve">Supplementary </w:t>
      </w:r>
      <w:r>
        <w:rPr>
          <w:rFonts w:ascii="Palatino Linotype" w:hAnsi="Palatino Linotype" w:cs="Times New Roman" w:hint="eastAsia"/>
          <w:b/>
          <w:szCs w:val="20"/>
        </w:rPr>
        <w:t>T</w:t>
      </w:r>
      <w:r>
        <w:rPr>
          <w:rFonts w:ascii="Palatino Linotype" w:hAnsi="Palatino Linotype" w:cs="Times New Roman"/>
          <w:b/>
          <w:szCs w:val="20"/>
        </w:rPr>
        <w:t>able</w:t>
      </w:r>
      <w:r w:rsidRPr="00D53013">
        <w:rPr>
          <w:rFonts w:ascii="Palatino Linotype" w:hAnsi="Palatino Linotype" w:cs="Times New Roman"/>
          <w:b/>
          <w:szCs w:val="20"/>
        </w:rPr>
        <w:t xml:space="preserve"> </w:t>
      </w:r>
      <w:r w:rsidR="00711256">
        <w:rPr>
          <w:rFonts w:ascii="Palatino Linotype" w:hAnsi="Palatino Linotype" w:cs="Times New Roman"/>
          <w:b/>
          <w:szCs w:val="20"/>
        </w:rPr>
        <w:t>S</w:t>
      </w:r>
      <w:bookmarkStart w:id="0" w:name="_GoBack"/>
      <w:bookmarkEnd w:id="0"/>
      <w:r>
        <w:rPr>
          <w:rFonts w:ascii="Palatino Linotype" w:hAnsi="Palatino Linotype" w:cs="Times New Roman"/>
          <w:b/>
          <w:szCs w:val="20"/>
        </w:rPr>
        <w:t>2</w:t>
      </w:r>
      <w:r w:rsidRPr="00D53013">
        <w:rPr>
          <w:rFonts w:ascii="Palatino Linotype" w:eastAsia="HYHeadLine-Medium" w:hAnsi="Palatino Linotype" w:cs="Times New Roman"/>
          <w:szCs w:val="20"/>
        </w:rPr>
        <w:t>.</w:t>
      </w:r>
      <w:r>
        <w:rPr>
          <w:rFonts w:ascii="Palatino Linotype" w:eastAsia="HYHeadLine-Medium" w:hAnsi="Palatino Linotype" w:cs="Times New Roman"/>
          <w:szCs w:val="20"/>
        </w:rPr>
        <w:t xml:space="preserve"> </w:t>
      </w:r>
      <w:r w:rsidRPr="007B12C6">
        <w:rPr>
          <w:rFonts w:ascii="Palatino Linotype" w:eastAsia="HYHeadLine-Medium" w:hAnsi="Palatino Linotype" w:cs="Times New Roman"/>
          <w:szCs w:val="20"/>
        </w:rPr>
        <w:t>Gene-specific primer sequences used for the present study.</w:t>
      </w:r>
    </w:p>
    <w:p w14:paraId="7F06A711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7A7833BA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7C6F73BF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6DE010A3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23B1C573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28B1158D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59FABD17" w14:textId="77777777" w:rsid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</w:p>
    <w:p w14:paraId="2BCFD2FF" w14:textId="2C948D3A" w:rsidR="00A01C05" w:rsidRPr="00A01C05" w:rsidRDefault="00A01C05" w:rsidP="007B12C6">
      <w:pPr>
        <w:spacing w:line="360" w:lineRule="auto"/>
        <w:rPr>
          <w:rFonts w:ascii="Palatino Linotype" w:eastAsia="HYHeadLine-Medium" w:hAnsi="Palatino Linotype" w:cs="Times New Roman"/>
          <w:b/>
          <w:bCs/>
          <w:szCs w:val="20"/>
        </w:rPr>
      </w:pPr>
      <w:r w:rsidRPr="00A01C05">
        <w:rPr>
          <w:rFonts w:ascii="Palatino Linotype" w:eastAsia="HYHeadLine-Medium" w:hAnsi="Palatino Linotype" w:cs="Times New Roman" w:hint="eastAsia"/>
          <w:b/>
          <w:bCs/>
          <w:szCs w:val="20"/>
        </w:rPr>
        <w:t>R</w:t>
      </w:r>
      <w:r w:rsidRPr="00A01C05">
        <w:rPr>
          <w:rFonts w:ascii="Palatino Linotype" w:eastAsia="HYHeadLine-Medium" w:hAnsi="Palatino Linotype" w:cs="Times New Roman"/>
          <w:b/>
          <w:bCs/>
          <w:szCs w:val="20"/>
        </w:rPr>
        <w:t>eferences</w:t>
      </w:r>
    </w:p>
    <w:p w14:paraId="637CD08A" w14:textId="77777777" w:rsidR="00A01C05" w:rsidRPr="00A01C05" w:rsidRDefault="00A01C05" w:rsidP="00A01C05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A01C05">
        <w:t>1.</w:t>
      </w:r>
      <w:r w:rsidRPr="00A01C05">
        <w:tab/>
        <w:t xml:space="preserve">Hendriks, L.; van Duijn, C.M.; Cras, P.; Cruts, M.; Van Hul, W.; van Harskamp, F.; Warren, A.; McInnis, M.G.; Antonarakis, S.E.; Martin, J.J., et al. Presenile dementia and cerebral haemorrhage linked to a mutation at codon 692 of the beta-amyloid precursor protein gene. </w:t>
      </w:r>
      <w:r w:rsidRPr="00A01C05">
        <w:rPr>
          <w:i/>
        </w:rPr>
        <w:t xml:space="preserve">Nat Genet </w:t>
      </w:r>
      <w:r w:rsidRPr="00A01C05">
        <w:rPr>
          <w:b/>
        </w:rPr>
        <w:t>1992</w:t>
      </w:r>
      <w:r w:rsidRPr="00A01C05">
        <w:t xml:space="preserve">, </w:t>
      </w:r>
      <w:r w:rsidRPr="00A01C05">
        <w:rPr>
          <w:i/>
        </w:rPr>
        <w:t>1</w:t>
      </w:r>
      <w:r w:rsidRPr="00A01C05">
        <w:t>, 218-221, doi:10.1038/ng0692-218.</w:t>
      </w:r>
    </w:p>
    <w:p w14:paraId="6C1B71F0" w14:textId="77777777" w:rsidR="00A01C05" w:rsidRPr="00A01C05" w:rsidRDefault="00A01C05" w:rsidP="00A01C05">
      <w:pPr>
        <w:pStyle w:val="EndNoteBibliography"/>
        <w:ind w:left="720" w:hanging="720"/>
      </w:pPr>
      <w:r w:rsidRPr="00A01C05">
        <w:t>2.</w:t>
      </w:r>
      <w:r w:rsidRPr="00A01C05">
        <w:tab/>
        <w:t xml:space="preserve">Schellenberg, G.D.; Bird, T.D.; Wijsman, E.M.; Orr, H.T.; Anderson, L.; Nemens, E.; White, J.A.; Bonnycastle, L.; Weber, J.L.; Alonso, M.E., et al. Genetic linkage evidence for a familial Alzheimer's disease locus on chromosome 14. </w:t>
      </w:r>
      <w:r w:rsidRPr="00A01C05">
        <w:rPr>
          <w:i/>
        </w:rPr>
        <w:t xml:space="preserve">Science </w:t>
      </w:r>
      <w:r w:rsidRPr="00A01C05">
        <w:rPr>
          <w:b/>
        </w:rPr>
        <w:t>1992</w:t>
      </w:r>
      <w:r w:rsidRPr="00A01C05">
        <w:t xml:space="preserve">, </w:t>
      </w:r>
      <w:r w:rsidRPr="00A01C05">
        <w:rPr>
          <w:i/>
        </w:rPr>
        <w:t>258</w:t>
      </w:r>
      <w:r w:rsidRPr="00A01C05">
        <w:t>, 668-671, doi:10.1126/science.1411576.</w:t>
      </w:r>
    </w:p>
    <w:p w14:paraId="1DD62869" w14:textId="67F2E3D6" w:rsidR="0093058A" w:rsidRPr="007B12C6" w:rsidRDefault="00A01C05" w:rsidP="007B12C6">
      <w:pPr>
        <w:spacing w:line="360" w:lineRule="auto"/>
      </w:pPr>
      <w:r>
        <w:fldChar w:fldCharType="end"/>
      </w:r>
    </w:p>
    <w:sectPr w:rsidR="0093058A" w:rsidRPr="007B12C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E0BDE" w14:textId="77777777" w:rsidR="00320ED9" w:rsidRDefault="00320ED9" w:rsidP="00A6719D">
      <w:pPr>
        <w:spacing w:after="0" w:line="240" w:lineRule="auto"/>
      </w:pPr>
      <w:r>
        <w:separator/>
      </w:r>
    </w:p>
  </w:endnote>
  <w:endnote w:type="continuationSeparator" w:id="0">
    <w:p w14:paraId="0676A508" w14:textId="77777777" w:rsidR="00320ED9" w:rsidRDefault="00320ED9" w:rsidP="00A6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YHeadLine-Medium">
    <w:altName w:val="Batang"/>
    <w:charset w:val="81"/>
    <w:family w:val="roman"/>
    <w:pitch w:val="variable"/>
    <w:sig w:usb0="900002A7" w:usb1="09D77CF9" w:usb2="00000010" w:usb3="00000000" w:csb0="0008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EA901" w14:textId="77777777" w:rsidR="00320ED9" w:rsidRDefault="00320ED9" w:rsidP="00A6719D">
      <w:pPr>
        <w:spacing w:after="0" w:line="240" w:lineRule="auto"/>
      </w:pPr>
      <w:r>
        <w:separator/>
      </w:r>
    </w:p>
  </w:footnote>
  <w:footnote w:type="continuationSeparator" w:id="0">
    <w:p w14:paraId="59383DFC" w14:textId="77777777" w:rsidR="00320ED9" w:rsidRDefault="00320ED9" w:rsidP="00A67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MDPI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pdpretq2fra6earawxtv5k0wwzepzfftww&quot;&gt;My EndNote Library&lt;record-ids&gt;&lt;item&gt;740&lt;/item&gt;&lt;item&gt;741&lt;/item&gt;&lt;/record-ids&gt;&lt;/item&gt;&lt;/Libraries&gt;"/>
  </w:docVars>
  <w:rsids>
    <w:rsidRoot w:val="00B8589F"/>
    <w:rsid w:val="00007829"/>
    <w:rsid w:val="001C0714"/>
    <w:rsid w:val="002613D2"/>
    <w:rsid w:val="00320ED9"/>
    <w:rsid w:val="00343515"/>
    <w:rsid w:val="003E6400"/>
    <w:rsid w:val="00422803"/>
    <w:rsid w:val="00452E58"/>
    <w:rsid w:val="00472088"/>
    <w:rsid w:val="0047278A"/>
    <w:rsid w:val="004846CA"/>
    <w:rsid w:val="004A21BB"/>
    <w:rsid w:val="0054497F"/>
    <w:rsid w:val="005527CE"/>
    <w:rsid w:val="0064469E"/>
    <w:rsid w:val="0064724D"/>
    <w:rsid w:val="006D6EA7"/>
    <w:rsid w:val="00711256"/>
    <w:rsid w:val="007B12C6"/>
    <w:rsid w:val="00847D0B"/>
    <w:rsid w:val="008C3F36"/>
    <w:rsid w:val="00915EEE"/>
    <w:rsid w:val="0093058A"/>
    <w:rsid w:val="009C42FA"/>
    <w:rsid w:val="00A01C05"/>
    <w:rsid w:val="00A2140F"/>
    <w:rsid w:val="00A302ED"/>
    <w:rsid w:val="00A6719D"/>
    <w:rsid w:val="00AF5D57"/>
    <w:rsid w:val="00B51170"/>
    <w:rsid w:val="00B8589F"/>
    <w:rsid w:val="00D510D1"/>
    <w:rsid w:val="00D53013"/>
    <w:rsid w:val="00D8269A"/>
    <w:rsid w:val="00DF153B"/>
    <w:rsid w:val="00E31611"/>
    <w:rsid w:val="00E57619"/>
    <w:rsid w:val="00E77542"/>
    <w:rsid w:val="00E819DD"/>
    <w:rsid w:val="00F06B3D"/>
    <w:rsid w:val="00F85A48"/>
    <w:rsid w:val="00FB6F1A"/>
    <w:rsid w:val="00FC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09659"/>
  <w15:docId w15:val="{4AF815C2-6DEE-4C8D-A5FC-98B1C762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89F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8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89F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6719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6719D"/>
  </w:style>
  <w:style w:type="paragraph" w:styleId="Footer">
    <w:name w:val="footer"/>
    <w:basedOn w:val="Normal"/>
    <w:link w:val="FooterChar"/>
    <w:uiPriority w:val="99"/>
    <w:unhideWhenUsed/>
    <w:rsid w:val="00A6719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6719D"/>
  </w:style>
  <w:style w:type="table" w:styleId="TableGrid">
    <w:name w:val="Table Grid"/>
    <w:basedOn w:val="TableNormal"/>
    <w:uiPriority w:val="39"/>
    <w:rsid w:val="00D5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7B12C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Cs w:val="20"/>
      <w:lang w:eastAsia="de-DE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A01C05"/>
    <w:pPr>
      <w:spacing w:after="0"/>
      <w:jc w:val="center"/>
    </w:pPr>
    <w:rPr>
      <w:rFonts w:ascii="Malgun Gothic" w:eastAsia="Malgun Gothic" w:hAnsi="Malgun Gothic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01C05"/>
    <w:rPr>
      <w:rFonts w:ascii="Malgun Gothic" w:eastAsia="Malgun Gothic" w:hAnsi="Malgun Gothic"/>
      <w:noProof/>
    </w:rPr>
  </w:style>
  <w:style w:type="paragraph" w:customStyle="1" w:styleId="EndNoteBibliography">
    <w:name w:val="EndNote Bibliography"/>
    <w:basedOn w:val="Normal"/>
    <w:link w:val="EndNoteBibliographyChar"/>
    <w:rsid w:val="00A01C05"/>
    <w:pPr>
      <w:spacing w:line="240" w:lineRule="auto"/>
    </w:pPr>
    <w:rPr>
      <w:rFonts w:ascii="Malgun Gothic" w:eastAsia="Malgun Gothic" w:hAnsi="Malgun Gothic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01C05"/>
    <w:rPr>
      <w:rFonts w:ascii="Malgun Gothic" w:eastAsia="Malgun Gothic" w:hAnsi="Malgun Gothic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783</Words>
  <Characters>4449</Characters>
  <Application>Microsoft Office Word</Application>
  <DocSecurity>0</DocSecurity>
  <Lines>261</Lines>
  <Paragraphs>149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[대학원생]김수진</dc:creator>
  <cp:keywords/>
  <dc:description/>
  <cp:lastModifiedBy>MDPI</cp:lastModifiedBy>
  <cp:revision>21</cp:revision>
  <dcterms:created xsi:type="dcterms:W3CDTF">2020-05-14T00:48:00Z</dcterms:created>
  <dcterms:modified xsi:type="dcterms:W3CDTF">2021-02-01T01:32:00Z</dcterms:modified>
</cp:coreProperties>
</file>