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31410" w14:textId="677D53D3" w:rsidR="00270432" w:rsidRDefault="005B7180" w:rsidP="00270432">
      <w:pPr>
        <w:pStyle w:val="MDPI21heading1"/>
        <w:ind w:left="0"/>
        <w:jc w:val="center"/>
        <w:rPr>
          <w:color w:val="000000" w:themeColor="text1"/>
        </w:rPr>
      </w:pPr>
      <w:bookmarkStart w:id="0" w:name="OLE_LINK8"/>
      <w:bookmarkStart w:id="1" w:name="OLE_LINK9"/>
      <w:bookmarkStart w:id="2" w:name="OLE_LINK16"/>
      <w:bookmarkStart w:id="3" w:name="OLE_LINK17"/>
      <w:r>
        <w:rPr>
          <w:color w:val="000000" w:themeColor="text1"/>
        </w:rPr>
        <w:t xml:space="preserve">Supplementary </w:t>
      </w:r>
      <w:r w:rsidR="00D4180E">
        <w:rPr>
          <w:color w:val="000000" w:themeColor="text1"/>
        </w:rPr>
        <w:t>Materials</w:t>
      </w:r>
      <w:r w:rsidR="00792216">
        <w:rPr>
          <w:color w:val="000000" w:themeColor="text1"/>
        </w:rPr>
        <w:t>:</w:t>
      </w:r>
    </w:p>
    <w:p w14:paraId="2916598A" w14:textId="77777777" w:rsidR="00270432" w:rsidRDefault="00270432" w:rsidP="00270432">
      <w:pPr>
        <w:pStyle w:val="MDPI21heading1"/>
        <w:ind w:left="0"/>
        <w:jc w:val="center"/>
        <w:rPr>
          <w:color w:val="000000" w:themeColor="text1"/>
        </w:rPr>
      </w:pPr>
      <w:r w:rsidRPr="00270432">
        <w:rPr>
          <w:color w:val="000000" w:themeColor="text1"/>
        </w:rPr>
        <w:t>Replicate testing of clinical endpoints can prevent no-go decisions for beneficial vaccines</w:t>
      </w:r>
    </w:p>
    <w:p w14:paraId="4D7A4D57" w14:textId="44E47789" w:rsidR="00270432" w:rsidRPr="00270432" w:rsidRDefault="00270432" w:rsidP="00270432">
      <w:pPr>
        <w:pStyle w:val="MDPI21heading1"/>
        <w:ind w:left="0"/>
        <w:jc w:val="center"/>
        <w:rPr>
          <w:color w:val="000000" w:themeColor="text1"/>
        </w:rPr>
      </w:pPr>
      <w:r w:rsidRPr="00270432">
        <w:rPr>
          <w:color w:val="000000" w:themeColor="text1"/>
        </w:rPr>
        <w:t>Daniel I. S. Rosenbloom, Julie Dud</w:t>
      </w:r>
      <w:proofErr w:type="spellStart"/>
      <w:r w:rsidRPr="00270432">
        <w:rPr>
          <w:color w:val="000000" w:themeColor="text1"/>
          <w:lang w:val="cs-CZ"/>
        </w:rPr>
        <w:t>ášová</w:t>
      </w:r>
      <w:proofErr w:type="spellEnd"/>
      <w:r w:rsidRPr="00270432">
        <w:rPr>
          <w:color w:val="000000" w:themeColor="text1"/>
        </w:rPr>
        <w:t>, Casey Davis,</w:t>
      </w:r>
      <w:r>
        <w:rPr>
          <w:color w:val="000000" w:themeColor="text1"/>
        </w:rPr>
        <w:br/>
      </w:r>
      <w:r w:rsidRPr="00270432">
        <w:rPr>
          <w:color w:val="000000" w:themeColor="text1"/>
        </w:rPr>
        <w:t xml:space="preserve">Radha A. </w:t>
      </w:r>
      <w:proofErr w:type="spellStart"/>
      <w:r w:rsidRPr="00270432">
        <w:rPr>
          <w:color w:val="000000" w:themeColor="text1"/>
        </w:rPr>
        <w:t>Railkar</w:t>
      </w:r>
      <w:proofErr w:type="spellEnd"/>
      <w:r w:rsidRPr="00270432">
        <w:rPr>
          <w:color w:val="000000" w:themeColor="text1"/>
        </w:rPr>
        <w:t>, Nitin Mehrotra and Jeffrey R. Sachs</w:t>
      </w:r>
    </w:p>
    <w:p w14:paraId="26E98FAB" w14:textId="77777777" w:rsidR="008E3B57" w:rsidRDefault="008E3B57" w:rsidP="00D03F34">
      <w:pPr>
        <w:pStyle w:val="MDPI21heading1"/>
        <w:ind w:left="0"/>
        <w:rPr>
          <w:color w:val="auto"/>
        </w:rPr>
      </w:pPr>
    </w:p>
    <w:p w14:paraId="3802CB21" w14:textId="4181AD7E" w:rsidR="00D03F34" w:rsidRPr="00136AAD" w:rsidRDefault="00BF0955" w:rsidP="00D03F34">
      <w:pPr>
        <w:pStyle w:val="MDPI21heading1"/>
        <w:ind w:left="0"/>
        <w:rPr>
          <w:color w:val="auto"/>
        </w:rPr>
      </w:pPr>
      <w:r>
        <w:rPr>
          <w:color w:val="auto"/>
        </w:rPr>
        <w:t xml:space="preserve">Section S1. </w:t>
      </w:r>
      <w:r w:rsidR="00D03F34" w:rsidRPr="00136AAD">
        <w:rPr>
          <w:color w:val="auto"/>
        </w:rPr>
        <w:t>Claim about increasing the number of replicates</w:t>
      </w:r>
      <w:r w:rsidR="00CF4AC0">
        <w:rPr>
          <w:color w:val="auto"/>
        </w:rPr>
        <w:t>:</w:t>
      </w:r>
    </w:p>
    <w:p w14:paraId="5E3785E2" w14:textId="77777777" w:rsidR="00D03F34" w:rsidRPr="00136AAD" w:rsidRDefault="00D03F34" w:rsidP="00D03F34">
      <w:pPr>
        <w:pStyle w:val="MDPI31text"/>
        <w:ind w:left="0" w:firstLine="0"/>
        <w:rPr>
          <w:color w:val="auto"/>
        </w:rPr>
      </w:pPr>
      <w:r w:rsidRPr="00136AAD">
        <w:rPr>
          <w:color w:val="auto"/>
        </w:rPr>
        <w:t>Here we prove</w:t>
      </w:r>
      <w:r>
        <w:rPr>
          <w:color w:val="auto"/>
        </w:rPr>
        <w:t xml:space="preserve"> that</w:t>
      </w:r>
      <w:r w:rsidRPr="00136AAD">
        <w:rPr>
          <w:color w:val="auto"/>
        </w:rPr>
        <w:t xml:space="preserve"> for a majority rule strategy with odd </w:t>
      </w:r>
      <w:r w:rsidRPr="00136AAD">
        <w:rPr>
          <w:i/>
          <w:iCs/>
          <w:color w:val="auto"/>
        </w:rPr>
        <w:t>n</w:t>
      </w:r>
      <w:r w:rsidRPr="00136AAD">
        <w:rPr>
          <w:color w:val="auto"/>
        </w:rPr>
        <w:t>, the effective FP (equivalently, F</w:t>
      </w:r>
      <w:r>
        <w:rPr>
          <w:color w:val="auto"/>
        </w:rPr>
        <w:t>N</w:t>
      </w:r>
      <w:r w:rsidRPr="00136AAD">
        <w:rPr>
          <w:color w:val="auto"/>
        </w:rPr>
        <w:t xml:space="preserve">) rate decreases with </w:t>
      </w:r>
      <w:r w:rsidRPr="00136AAD">
        <w:rPr>
          <w:i/>
          <w:iCs/>
          <w:color w:val="auto"/>
        </w:rPr>
        <w:t>n</w:t>
      </w:r>
      <w:r w:rsidRPr="00136AAD">
        <w:rPr>
          <w:color w:val="auto"/>
        </w:rPr>
        <w:t>, for any positive FP (equivalently, FN) rate less than 0.5.</w:t>
      </w:r>
      <w:r>
        <w:rPr>
          <w:color w:val="auto"/>
        </w:rPr>
        <w:t xml:space="preserve"> </w:t>
      </w:r>
      <w:r w:rsidRPr="00136AAD">
        <w:rPr>
          <w:color w:val="auto"/>
        </w:rPr>
        <w:t>As noted in Sec</w:t>
      </w:r>
      <w:r>
        <w:rPr>
          <w:color w:val="auto"/>
        </w:rPr>
        <w:t>tion 2.3</w:t>
      </w:r>
      <w:r w:rsidRPr="00136AAD">
        <w:rPr>
          <w:color w:val="auto"/>
        </w:rPr>
        <w:t xml:space="preserve">, the expressions for effective FP and effective FN rates are equivalent, substituting in the appropriate rate. </w:t>
      </w:r>
      <w:r>
        <w:rPr>
          <w:color w:val="auto"/>
        </w:rPr>
        <w:t>So i</w:t>
      </w:r>
      <w:r w:rsidRPr="00136AAD">
        <w:rPr>
          <w:color w:val="auto"/>
        </w:rPr>
        <w:t xml:space="preserve">t suffices to show that the effective FP rate decreases as the number of replicates </w:t>
      </w:r>
      <w:r>
        <w:rPr>
          <w:color w:val="auto"/>
        </w:rPr>
        <w:t>increases</w:t>
      </w:r>
      <w:r w:rsidRPr="00136AAD">
        <w:rPr>
          <w:color w:val="auto"/>
        </w:rPr>
        <w:t xml:space="preserve"> from </w:t>
      </w:r>
      <w:r w:rsidRPr="00136AAD">
        <w:rPr>
          <w:i/>
          <w:iCs/>
          <w:color w:val="auto"/>
        </w:rPr>
        <w:t>n</w:t>
      </w:r>
      <w:r w:rsidRPr="00136AAD">
        <w:rPr>
          <w:color w:val="auto"/>
        </w:rPr>
        <w:t xml:space="preserve"> to </w:t>
      </w:r>
      <w:r w:rsidRPr="00136AAD">
        <w:rPr>
          <w:i/>
          <w:iCs/>
          <w:color w:val="auto"/>
        </w:rPr>
        <w:t>n</w:t>
      </w:r>
      <w:r w:rsidRPr="00136AAD">
        <w:rPr>
          <w:color w:val="auto"/>
        </w:rPr>
        <w:t xml:space="preserve"> + 2.</w:t>
      </w:r>
    </w:p>
    <w:p w14:paraId="13180CB1" w14:textId="77777777" w:rsidR="00D03F34" w:rsidRPr="00136AAD" w:rsidRDefault="00D03F34" w:rsidP="00D03F34">
      <w:pPr>
        <w:pStyle w:val="MDPI31text"/>
        <w:ind w:left="0" w:firstLine="0"/>
        <w:rPr>
          <w:color w:val="auto"/>
        </w:rPr>
      </w:pPr>
    </w:p>
    <w:p w14:paraId="1CAB90C2" w14:textId="77777777" w:rsidR="00D03F34" w:rsidRDefault="00D03F34" w:rsidP="00D03F34">
      <w:pPr>
        <w:pStyle w:val="MDPI31text"/>
        <w:ind w:left="0" w:firstLine="0"/>
        <w:rPr>
          <w:color w:val="auto"/>
        </w:rPr>
      </w:pPr>
      <w:r>
        <w:rPr>
          <w:color w:val="auto"/>
        </w:rPr>
        <w:t xml:space="preserve">Suppose that </w:t>
      </w:r>
      <w:r>
        <w:rPr>
          <w:i/>
          <w:iCs/>
          <w:color w:val="auto"/>
        </w:rPr>
        <w:t>n</w:t>
      </w:r>
      <w:r>
        <w:rPr>
          <w:color w:val="auto"/>
        </w:rPr>
        <w:t xml:space="preserve"> replicate assays are performed on a non-infected sample. </w:t>
      </w:r>
      <w:r w:rsidRPr="00136AAD">
        <w:rPr>
          <w:color w:val="auto"/>
        </w:rPr>
        <w:t xml:space="preserve">Let </w:t>
      </w:r>
      <m:oMath>
        <m:r>
          <w:rPr>
            <w:rFonts w:ascii="Cambria Math" w:hAnsi="Cambria Math"/>
            <w:color w:val="auto"/>
          </w:rPr>
          <m:t>m=</m:t>
        </m:r>
        <m:d>
          <m:dPr>
            <m:ctrlPr>
              <w:rPr>
                <w:rFonts w:ascii="Cambria Math" w:hAnsi="Cambria Math"/>
                <w:i/>
                <w:color w:val="auto"/>
              </w:rPr>
            </m:ctrlPr>
          </m:dPr>
          <m:e>
            <m:r>
              <w:rPr>
                <w:rFonts w:ascii="Cambria Math" w:hAnsi="Cambria Math"/>
                <w:color w:val="auto"/>
              </w:rPr>
              <m:t>n+1</m:t>
            </m:r>
          </m:e>
        </m:d>
        <m:r>
          <w:rPr>
            <w:rFonts w:ascii="Cambria Math" w:hAnsi="Cambria Math"/>
            <w:color w:val="auto"/>
          </w:rPr>
          <m:t>/2</m:t>
        </m:r>
      </m:oMath>
      <w:r w:rsidRPr="00136AAD">
        <w:rPr>
          <w:color w:val="auto"/>
        </w:rPr>
        <w:t xml:space="preserve">, </w:t>
      </w:r>
      <w:r>
        <w:rPr>
          <w:color w:val="auto"/>
        </w:rPr>
        <w:t>the majority count. There are two cases where the outcome changes after adding two more replicates:</w:t>
      </w:r>
    </w:p>
    <w:p w14:paraId="7CDD2DA0" w14:textId="77777777" w:rsidR="00D03F34" w:rsidRPr="00136AAD" w:rsidRDefault="00D03F34" w:rsidP="00D03F34">
      <w:pPr>
        <w:pStyle w:val="MDPI31text"/>
        <w:ind w:left="0" w:firstLine="0"/>
        <w:rPr>
          <w:color w:val="auto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8460" w:type="dxa"/>
        <w:tblLayout w:type="fixed"/>
        <w:tblLook w:val="04A0" w:firstRow="1" w:lastRow="0" w:firstColumn="1" w:lastColumn="0" w:noHBand="0" w:noVBand="1"/>
      </w:tblPr>
      <w:tblGrid>
        <w:gridCol w:w="720"/>
        <w:gridCol w:w="990"/>
        <w:gridCol w:w="2250"/>
        <w:gridCol w:w="1260"/>
        <w:gridCol w:w="1980"/>
        <w:gridCol w:w="1260"/>
      </w:tblGrid>
      <w:tr w:rsidR="00D03F34" w:rsidRPr="00136AAD" w14:paraId="36449B4D" w14:textId="77777777" w:rsidTr="005614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C5A72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  <w:lang w:eastAsia="en-US"/>
              </w:rPr>
            </w:pPr>
            <w:r w:rsidRPr="00136AAD">
              <w:rPr>
                <w:color w:val="auto"/>
              </w:rPr>
              <w:t>Case #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6A30D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w:r w:rsidRPr="00136AAD">
              <w:rPr>
                <w:color w:val="auto"/>
              </w:rPr>
              <w:t xml:space="preserve">Number of FPs (out of </w:t>
            </w:r>
            <w:r w:rsidRPr="00136AAD">
              <w:rPr>
                <w:i/>
                <w:iCs/>
                <w:color w:val="auto"/>
              </w:rPr>
              <w:t>n</w:t>
            </w:r>
            <w:r w:rsidRPr="00136AAD">
              <w:rPr>
                <w:color w:val="auto"/>
              </w:rPr>
              <w:t>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A092F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w:r w:rsidRPr="00136AAD">
              <w:rPr>
                <w:color w:val="auto"/>
              </w:rPr>
              <w:t>Probability of this case</w:t>
            </w:r>
          </w:p>
          <w:p w14:paraId="283F1349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w:r w:rsidRPr="00136AAD">
              <w:rPr>
                <w:color w:val="auto"/>
              </w:rPr>
              <w:t xml:space="preserve">(for </w:t>
            </w:r>
            <w:r w:rsidRPr="00136AAD">
              <w:rPr>
                <w:i/>
                <w:iCs/>
                <w:color w:val="auto"/>
              </w:rPr>
              <w:t>n</w:t>
            </w:r>
            <w:r w:rsidRPr="00136AAD">
              <w:rPr>
                <w:color w:val="auto"/>
              </w:rPr>
              <w:t xml:space="preserve"> replicates)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AEBD" w14:textId="77777777" w:rsidR="00D03F34" w:rsidRPr="00136AAD" w:rsidRDefault="00D03F34" w:rsidP="005614AB">
            <w:pPr>
              <w:spacing w:line="240" w:lineRule="auto"/>
              <w:jc w:val="center"/>
              <w:rPr>
                <w:i/>
                <w:iCs/>
                <w:color w:val="auto"/>
              </w:rPr>
            </w:pPr>
            <w:r w:rsidRPr="00136AAD">
              <w:rPr>
                <w:color w:val="auto"/>
              </w:rPr>
              <w:t>Outcome of majority rule strategy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4C9F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w:r w:rsidRPr="00136AAD">
              <w:rPr>
                <w:color w:val="auto"/>
              </w:rPr>
              <w:t>Requirement for two more replicates to change outcome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3FF0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w:r w:rsidRPr="00136AAD">
              <w:rPr>
                <w:color w:val="auto"/>
              </w:rPr>
              <w:t>Probability of change</w:t>
            </w:r>
          </w:p>
        </w:tc>
      </w:tr>
      <w:tr w:rsidR="00D03F34" w:rsidRPr="00136AAD" w14:paraId="5D547195" w14:textId="77777777" w:rsidTr="005614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6ACE6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39173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w:bookmarkStart w:id="4" w:name="OLE_LINK24"/>
            <w:bookmarkStart w:id="5" w:name="OLE_LINK25"/>
            <m:oMathPara>
              <m:oMath>
                <m:r>
                  <w:rPr>
                    <w:rFonts w:ascii="Cambria Math" w:hAnsi="Cambria Math"/>
                    <w:color w:val="auto"/>
                  </w:rPr>
                  <m:t>m-1</m:t>
                </m:r>
              </m:oMath>
            </m:oMathPara>
            <w:bookmarkEnd w:id="4"/>
            <w:bookmarkEnd w:id="5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D4D4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color w:val="auto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color w:val="auto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n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m-1</m:t>
                          </m:r>
                        </m:e>
                      </m:mr>
                    </m:m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color w:val="auto"/>
                      </w:rPr>
                      <m:t>FP</m:t>
                    </m:r>
                  </m:e>
                  <m:sup>
                    <m:r>
                      <w:rPr>
                        <w:rFonts w:ascii="Cambria Math" w:hAnsi="Cambria Math"/>
                        <w:color w:val="auto"/>
                      </w:rPr>
                      <m:t>m-1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auto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1-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color w:val="auto"/>
                          </w:rPr>
                          <m:t>FP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color w:val="auto"/>
                      </w:rPr>
                      <m:t>n-m+1</m:t>
                    </m:r>
                  </m:sup>
                </m:sSup>
              </m:oMath>
            </m:oMathPara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852F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w:r w:rsidRPr="00136AAD">
              <w:rPr>
                <w:color w:val="auto"/>
              </w:rPr>
              <w:t>No FP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63071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w:r w:rsidRPr="00136AAD">
              <w:rPr>
                <w:color w:val="auto"/>
              </w:rPr>
              <w:t>Both must be FP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4D20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color w:val="auto"/>
                      </w:rPr>
                      <m:t>FP</m:t>
                    </m:r>
                  </m:e>
                  <m:sup>
                    <m:r>
                      <w:rPr>
                        <w:rFonts w:ascii="Cambria Math" w:hAnsi="Cambria Math"/>
                        <w:color w:val="auto"/>
                      </w:rPr>
                      <m:t>2</m:t>
                    </m:r>
                  </m:sup>
                </m:sSup>
              </m:oMath>
            </m:oMathPara>
          </w:p>
        </w:tc>
      </w:tr>
      <w:tr w:rsidR="00D03F34" w:rsidRPr="00136AAD" w14:paraId="479A4961" w14:textId="77777777" w:rsidTr="005614A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3A5F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A0ECD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</w:rPr>
                  <m:t>m</m:t>
                </m:r>
              </m:oMath>
            </m:oMathPara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6A278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color w:val="auto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color w:val="auto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n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m</m:t>
                          </m:r>
                        </m:e>
                      </m:mr>
                    </m:m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color w:val="auto"/>
                      </w:rPr>
                      <m:t>FP</m:t>
                    </m:r>
                  </m:e>
                  <m:sup>
                    <m:r>
                      <w:rPr>
                        <w:rFonts w:ascii="Cambria Math" w:hAnsi="Cambria Math"/>
                        <w:color w:val="auto"/>
                      </w:rPr>
                      <m:t>m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auto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1-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color w:val="auto"/>
                          </w:rPr>
                          <m:t>FP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color w:val="auto"/>
                      </w:rPr>
                      <m:t>n-m</m:t>
                    </m:r>
                  </m:sup>
                </m:sSup>
              </m:oMath>
            </m:oMathPara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A0D3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w:r w:rsidRPr="00136AAD">
              <w:rPr>
                <w:color w:val="auto"/>
              </w:rPr>
              <w:t>FP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8036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w:r w:rsidRPr="00136AAD">
              <w:rPr>
                <w:color w:val="auto"/>
              </w:rPr>
              <w:t xml:space="preserve">Bot must </w:t>
            </w:r>
            <w:r w:rsidRPr="00136AAD">
              <w:rPr>
                <w:i/>
                <w:iCs/>
                <w:color w:val="auto"/>
              </w:rPr>
              <w:t>not</w:t>
            </w:r>
            <w:r w:rsidRPr="00136AAD">
              <w:rPr>
                <w:color w:val="auto"/>
              </w:rPr>
              <w:t xml:space="preserve"> be FP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9559" w14:textId="77777777" w:rsidR="00D03F34" w:rsidRPr="00136AAD" w:rsidRDefault="00D03F34" w:rsidP="005614AB">
            <w:pPr>
              <w:spacing w:line="240" w:lineRule="auto"/>
              <w:jc w:val="center"/>
              <w:rPr>
                <w:color w:val="auto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auto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auto"/>
                          </w:rPr>
                          <m:t>1-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color w:val="auto"/>
                          </w:rPr>
                          <m:t>FP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color w:val="auto"/>
                      </w:rPr>
                      <m:t>2</m:t>
                    </m:r>
                  </m:sup>
                </m:sSup>
              </m:oMath>
            </m:oMathPara>
          </w:p>
        </w:tc>
      </w:tr>
    </w:tbl>
    <w:p w14:paraId="04FDE41C" w14:textId="77777777" w:rsidR="00D03F34" w:rsidRDefault="00D03F34" w:rsidP="00D03F34">
      <w:pPr>
        <w:pStyle w:val="MDPI31text"/>
        <w:ind w:left="0" w:firstLine="0"/>
        <w:rPr>
          <w:color w:val="auto"/>
        </w:rPr>
      </w:pPr>
    </w:p>
    <w:p w14:paraId="1B24BFCB" w14:textId="77777777" w:rsidR="00D03F34" w:rsidRDefault="00D03F34" w:rsidP="00D03F34">
      <w:pPr>
        <w:pStyle w:val="MDPI31text"/>
        <w:ind w:left="0" w:firstLine="0"/>
        <w:rPr>
          <w:color w:val="auto"/>
        </w:rPr>
      </w:pPr>
      <w:r>
        <w:rPr>
          <w:color w:val="auto"/>
        </w:rPr>
        <w:t xml:space="preserve">As the number of replicates increases from </w:t>
      </w:r>
      <w:r>
        <w:rPr>
          <w:i/>
          <w:iCs/>
          <w:color w:val="auto"/>
        </w:rPr>
        <w:t>n</w:t>
      </w:r>
      <w:r>
        <w:rPr>
          <w:color w:val="auto"/>
        </w:rPr>
        <w:t xml:space="preserve"> to </w:t>
      </w:r>
      <w:r>
        <w:rPr>
          <w:i/>
          <w:iCs/>
          <w:color w:val="auto"/>
        </w:rPr>
        <w:t>n</w:t>
      </w:r>
      <w:r>
        <w:rPr>
          <w:color w:val="auto"/>
        </w:rPr>
        <w:t xml:space="preserve"> + 2, the effective FP rate changes by an amount equal to the difference in the change probabilities from this table:</w:t>
      </w:r>
    </w:p>
    <w:p w14:paraId="6BDE9C5F" w14:textId="77777777" w:rsidR="00D03F34" w:rsidRDefault="00D03F34" w:rsidP="00D03F34">
      <w:pPr>
        <w:pStyle w:val="MDPI31text"/>
        <w:ind w:left="0" w:firstLine="0"/>
        <w:rPr>
          <w:color w:val="auto"/>
        </w:rPr>
      </w:pPr>
    </w:p>
    <w:p w14:paraId="5621C93E" w14:textId="77777777" w:rsidR="00D03F34" w:rsidRDefault="00D03F34" w:rsidP="00D03F34">
      <w:pPr>
        <w:pStyle w:val="MDPI31text"/>
        <w:ind w:left="0" w:firstLine="0"/>
        <w:jc w:val="center"/>
        <w:rPr>
          <w:color w:val="auto"/>
        </w:rPr>
      </w:pPr>
      <w:r>
        <w:rPr>
          <w:color w:val="auto"/>
        </w:rPr>
        <w:t>P(switch from negative to positive) – P(switch from positive to negative)</w:t>
      </w:r>
    </w:p>
    <w:p w14:paraId="69323C8B" w14:textId="77777777" w:rsidR="00D03F34" w:rsidRDefault="00D03F34" w:rsidP="00D03F34">
      <w:pPr>
        <w:pStyle w:val="MDPI31text"/>
        <w:ind w:left="0" w:firstLine="0"/>
        <w:jc w:val="center"/>
        <w:rPr>
          <w:color w:val="auto"/>
        </w:rPr>
      </w:pPr>
    </w:p>
    <w:p w14:paraId="47498559" w14:textId="77777777" w:rsidR="00D03F34" w:rsidRDefault="00D03F34" w:rsidP="00D03F34">
      <w:pPr>
        <w:rPr>
          <w:rFonts w:eastAsiaTheme="minorEastAsia"/>
          <w:color w:val="auto"/>
          <w:lang w:eastAsia="en-US"/>
        </w:rPr>
      </w:pPr>
      <m:oMathPara>
        <m:oMath>
          <m:r>
            <w:rPr>
              <w:rFonts w:ascii="Cambria Math" w:hAnsi="Cambria Math"/>
            </w:rPr>
            <m:t>=</m:t>
          </m:r>
          <w:bookmarkStart w:id="6" w:name="OLE_LINK5"/>
          <w:bookmarkStart w:id="7" w:name="OLE_LINK6"/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w:bookmarkStart w:id="8" w:name="OLE_LINK18"/>
              <w:bookmarkStart w:id="9" w:name="OLE_LINK19"/>
              <m:r>
                <m:rPr>
                  <m:nor/>
                </m:rPr>
                <w:rPr>
                  <w:rFonts w:ascii="Cambria Math" w:hAnsi="Cambria Math"/>
                </w:rPr>
                <m:t>FP</m:t>
              </m:r>
              <w:bookmarkEnd w:id="8"/>
              <w:bookmarkEnd w:id="9"/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m-1</m:t>
                    </m:r>
                  </m:e>
                </m:mr>
              </m:m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FP</m:t>
              </m:r>
            </m:e>
            <m:sup>
              <m:r>
                <w:rPr>
                  <w:rFonts w:ascii="Cambria Math" w:hAnsi="Cambria Math"/>
                </w:rPr>
                <m:t>m-1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FP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n-m+1</m:t>
              </m:r>
            </m:sup>
          </m:sSup>
          <w:bookmarkEnd w:id="6"/>
          <w:bookmarkEnd w:id="7"/>
          <m:r>
            <w:rPr>
              <w:rFonts w:ascii="Cambria Math" w:hAnsi="Cambria Math"/>
            </w:rPr>
            <m:t xml:space="preserve">-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FP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</m:mr>
              </m:m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FP</m:t>
              </m:r>
            </m:e>
            <m:sup>
              <m:r>
                <w:rPr>
                  <w:rFonts w:ascii="Cambria Math" w:hAnsi="Cambria Math"/>
                </w:rPr>
                <m:t>m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FP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n-m</m:t>
              </m:r>
            </m:sup>
          </m:sSup>
        </m:oMath>
      </m:oMathPara>
    </w:p>
    <w:p w14:paraId="6A8D93E7" w14:textId="77777777" w:rsidR="00D03F34" w:rsidRDefault="00D03F34" w:rsidP="00D03F34">
      <w:pPr>
        <w:pStyle w:val="MDPI31text"/>
        <w:ind w:left="0" w:firstLine="0"/>
        <w:rPr>
          <w:color w:val="auto"/>
        </w:rPr>
      </w:pPr>
    </w:p>
    <w:p w14:paraId="546FE653" w14:textId="77777777" w:rsidR="00D03F34" w:rsidRPr="00E56122" w:rsidRDefault="00D03F34" w:rsidP="00D03F34">
      <w:pPr>
        <w:pStyle w:val="MDPI31text"/>
        <w:ind w:left="0" w:firstLine="0"/>
        <w:rPr>
          <w:color w:val="auto"/>
        </w:rPr>
      </w:pPr>
      <w:r>
        <w:rPr>
          <w:color w:val="auto"/>
        </w:rPr>
        <w:t xml:space="preserve">The claim that the effective probability decreases with </w:t>
      </w:r>
      <w:r>
        <w:rPr>
          <w:i/>
          <w:iCs/>
          <w:color w:val="auto"/>
        </w:rPr>
        <w:t>n</w:t>
      </w:r>
      <w:r>
        <w:rPr>
          <w:color w:val="auto"/>
        </w:rPr>
        <w:t xml:space="preserve"> is therefore equivalent to the inequality,</w:t>
      </w:r>
    </w:p>
    <w:p w14:paraId="63E3DD16" w14:textId="77777777" w:rsidR="00D03F34" w:rsidRDefault="00D03F34" w:rsidP="00D03F34">
      <w:pPr>
        <w:rPr>
          <w:rFonts w:eastAsiaTheme="minorEastAsia"/>
          <w:color w:val="auto"/>
          <w:lang w:eastAsia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FP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</m:mr>
                  </m:m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FP</m:t>
                  </m:r>
                </m:e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FP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n-m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FP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m-1</m:t>
                        </m:r>
                      </m:e>
                    </m:mr>
                  </m:m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FP</m:t>
                  </m:r>
                </m:e>
                <m:sup>
                  <m:r>
                    <w:rPr>
                      <w:rFonts w:ascii="Cambria Math" w:hAnsi="Cambria Math"/>
                    </w:rPr>
                    <m:t>m-1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FP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n-m+1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&gt;1</m:t>
          </m:r>
        </m:oMath>
      </m:oMathPara>
    </w:p>
    <w:p w14:paraId="37A57427" w14:textId="77777777" w:rsidR="00D03F34" w:rsidRPr="00136AAD" w:rsidRDefault="00D03F34" w:rsidP="00D03F34">
      <w:pPr>
        <w:pStyle w:val="MDPI31text"/>
        <w:ind w:left="0" w:firstLine="0"/>
        <w:rPr>
          <w:color w:val="auto"/>
        </w:rPr>
      </w:pPr>
    </w:p>
    <w:p w14:paraId="6165C9DE" w14:textId="77777777" w:rsidR="00D03F34" w:rsidRDefault="00D03F34" w:rsidP="00D03F34">
      <w:pPr>
        <w:rPr>
          <w:rFonts w:eastAsiaTheme="minorEastAsia"/>
          <w:color w:val="auto"/>
          <w:lang w:eastAsia="en-US"/>
        </w:rPr>
      </w:pPr>
      <w:r>
        <w:rPr>
          <w:rFonts w:eastAsiaTheme="minorEastAsia"/>
        </w:rPr>
        <w:t>The left hand side simplifies:</w:t>
      </w:r>
    </w:p>
    <w:p w14:paraId="18FE315A" w14:textId="77777777" w:rsidR="00D03F34" w:rsidRDefault="00D03F34" w:rsidP="00D03F3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</m:mr>
                  </m:m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FP</m:t>
                  </m:r>
                </m:e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FP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n-m+2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m-1</m:t>
                        </m:r>
                      </m:e>
                    </m:mr>
                  </m:m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FP</m:t>
                  </m:r>
                </m:e>
                <m:sup>
                  <m:r>
                    <w:rPr>
                      <w:rFonts w:ascii="Cambria Math" w:hAnsi="Cambria Math"/>
                    </w:rPr>
                    <m:t>m+1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FP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n-m+1</m:t>
                  </m:r>
                </m:sup>
              </m:sSup>
            </m:den>
          </m:f>
        </m:oMath>
      </m:oMathPara>
    </w:p>
    <w:p w14:paraId="6AB80C28" w14:textId="77777777" w:rsidR="00D03F34" w:rsidRDefault="00D03F34" w:rsidP="00D03F34">
      <w:pPr>
        <w:rPr>
          <w:rFonts w:eastAsiaTheme="minorEastAsia"/>
        </w:rPr>
      </w:pPr>
    </w:p>
    <w:p w14:paraId="31B738CB" w14:textId="77777777" w:rsidR="00D03F34" w:rsidRDefault="00D03F34" w:rsidP="00D03F3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</m:mr>
                  </m:m>
                </m:e>
              </m:d>
              <w:bookmarkStart w:id="10" w:name="OLE_LINK7"/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FP</m:t>
                  </m:r>
                </m:e>
              </m:d>
              <w:bookmarkEnd w:id="10"/>
            </m:num>
            <m:den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m-1</m:t>
                        </m:r>
                      </m:e>
                    </m:mr>
                  </m:m>
                </m:e>
              </m:d>
              <w:bookmarkStart w:id="11" w:name="OLE_LINK22"/>
              <w:bookmarkStart w:id="12" w:name="OLE_LINK23"/>
              <m:r>
                <m:rPr>
                  <m:nor/>
                </m:rPr>
                <w:rPr>
                  <w:rFonts w:ascii="Cambria Math" w:hAnsi="Cambria Math"/>
                </w:rPr>
                <m:t>FP</m:t>
              </m:r>
              <w:bookmarkEnd w:id="11"/>
              <w:bookmarkEnd w:id="12"/>
            </m:den>
          </m:f>
        </m:oMath>
      </m:oMathPara>
    </w:p>
    <w:p w14:paraId="5D0A8A8D" w14:textId="77777777" w:rsidR="00D03F34" w:rsidRPr="009C0149" w:rsidRDefault="00D03F34" w:rsidP="00D03F34">
      <w:pPr>
        <w:rPr>
          <w:color w:val="auto"/>
        </w:rPr>
      </w:pPr>
      <w:r>
        <w:rPr>
          <w:rFonts w:eastAsiaTheme="minorEastAsia"/>
        </w:rPr>
        <w:t xml:space="preserve">Since </w:t>
      </w:r>
      <m:oMath>
        <m:r>
          <w:rPr>
            <w:rFonts w:ascii="Cambria Math" w:hAnsi="Cambria Math"/>
            <w:color w:val="auto"/>
          </w:rPr>
          <m:t>m=</m:t>
        </m:r>
        <m:d>
          <m:dPr>
            <m:ctrlPr>
              <w:rPr>
                <w:rFonts w:ascii="Cambria Math" w:hAnsi="Cambria Math"/>
                <w:i/>
                <w:snapToGrid w:val="0"/>
                <w:color w:val="auto"/>
                <w:szCs w:val="22"/>
                <w:lang w:bidi="en-US"/>
              </w:rPr>
            </m:ctrlPr>
          </m:dPr>
          <m:e>
            <m:r>
              <w:rPr>
                <w:rFonts w:ascii="Cambria Math" w:hAnsi="Cambria Math"/>
                <w:color w:val="auto"/>
              </w:rPr>
              <m:t>n+1</m:t>
            </m:r>
          </m:e>
        </m:d>
        <m:r>
          <w:rPr>
            <w:rFonts w:ascii="Cambria Math" w:hAnsi="Cambria Math"/>
            <w:color w:val="auto"/>
          </w:rPr>
          <m:t>/2</m:t>
        </m:r>
      </m:oMath>
      <w:r>
        <w:rPr>
          <w:rFonts w:eastAsiaTheme="minorEastAsia"/>
          <w:color w:val="auto"/>
        </w:rPr>
        <w:t xml:space="preserve">, the two binomial coefficients are equal, and the ratio is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r>
              <m:rPr>
                <m:nor/>
              </m:rPr>
              <w:rPr>
                <w:rFonts w:ascii="Cambria Math" w:hAnsi="Cambria Math"/>
              </w:rPr>
              <m:t>FP</m:t>
            </m:r>
          </m:e>
        </m:d>
        <m:r>
          <w:rPr>
            <w:rFonts w:ascii="Cambria Math" w:hAnsi="Cambria Math"/>
          </w:rPr>
          <m:t>/</m:t>
        </m:r>
        <m:r>
          <m:rPr>
            <m:nor/>
          </m:rPr>
          <w:rPr>
            <w:rFonts w:ascii="Cambria Math" w:hAnsi="Cambria Math"/>
          </w:rPr>
          <m:t>FP</m:t>
        </m:r>
      </m:oMath>
      <w:r>
        <w:rPr>
          <w:rFonts w:eastAsiaTheme="minorEastAsia"/>
        </w:rPr>
        <w:t>, which exceeds 1 precisely for FP &lt; 0.5.</w:t>
      </w:r>
    </w:p>
    <w:p w14:paraId="7D3980EF" w14:textId="5D7586D3" w:rsidR="005666E0" w:rsidRPr="009D63B9" w:rsidRDefault="005666E0" w:rsidP="00F014FD">
      <w:pPr>
        <w:pStyle w:val="MDPI21heading1"/>
        <w:ind w:left="0"/>
        <w:rPr>
          <w:color w:val="000000" w:themeColor="text1"/>
        </w:rPr>
      </w:pPr>
      <w:r>
        <w:rPr>
          <w:color w:val="000000" w:themeColor="text1"/>
        </w:rPr>
        <w:lastRenderedPageBreak/>
        <w:t>Supplementary Figures</w:t>
      </w:r>
    </w:p>
    <w:bookmarkEnd w:id="0"/>
    <w:bookmarkEnd w:id="1"/>
    <w:p w14:paraId="22145AC5" w14:textId="77777777" w:rsidR="005666E0" w:rsidRDefault="005666E0" w:rsidP="00F014FD">
      <w:pPr>
        <w:pStyle w:val="MDPI31text"/>
        <w:ind w:left="0" w:firstLine="0"/>
        <w:rPr>
          <w:color w:val="000000" w:themeColor="text1"/>
        </w:rPr>
      </w:pPr>
    </w:p>
    <w:p w14:paraId="01EAFA7B" w14:textId="77777777" w:rsidR="005666E0" w:rsidRDefault="005666E0" w:rsidP="00F014FD">
      <w:pPr>
        <w:pStyle w:val="MDPI31text"/>
        <w:ind w:left="0" w:firstLine="0"/>
        <w:rPr>
          <w:color w:val="000000" w:themeColor="text1"/>
        </w:rPr>
      </w:pPr>
      <w:r w:rsidRPr="00A06D22">
        <w:rPr>
          <w:noProof/>
          <w:color w:val="000000" w:themeColor="text1"/>
          <w:lang w:eastAsia="en-US" w:bidi="ar-SA"/>
        </w:rPr>
        <w:drawing>
          <wp:inline distT="0" distB="0" distL="0" distR="0" wp14:anchorId="3586AE00" wp14:editId="0ACE15D6">
            <wp:extent cx="5615940" cy="2858469"/>
            <wp:effectExtent l="0" t="0" r="0" b="0"/>
            <wp:docPr id="2" name="Picture 2" descr="A picture containing text, screenshot, diagram, pl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screenshot, diagram, plo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858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7FC07" w14:textId="567D1A3B" w:rsidR="005666E0" w:rsidRPr="00007513" w:rsidRDefault="005666E0" w:rsidP="00F014FD">
      <w:pPr>
        <w:pStyle w:val="MDPI51figurecaption"/>
        <w:ind w:left="0"/>
        <w:rPr>
          <w:color w:val="000000" w:themeColor="text1"/>
          <w:szCs w:val="18"/>
        </w:rPr>
      </w:pPr>
      <w:r w:rsidRPr="00007513">
        <w:rPr>
          <w:b/>
          <w:color w:val="000000" w:themeColor="text1"/>
          <w:szCs w:val="18"/>
        </w:rPr>
        <w:t xml:space="preserve">Figure </w:t>
      </w:r>
      <w:r w:rsidR="00D03F34">
        <w:rPr>
          <w:b/>
          <w:color w:val="000000" w:themeColor="text1"/>
          <w:szCs w:val="18"/>
        </w:rPr>
        <w:t>S</w:t>
      </w:r>
      <w:r w:rsidRPr="00007513">
        <w:rPr>
          <w:b/>
          <w:color w:val="000000" w:themeColor="text1"/>
          <w:szCs w:val="18"/>
        </w:rPr>
        <w:t>1.</w:t>
      </w:r>
      <w:r w:rsidRPr="00007513">
        <w:rPr>
          <w:color w:val="000000" w:themeColor="text1"/>
          <w:szCs w:val="18"/>
        </w:rPr>
        <w:t xml:space="preserve"> Adequacy of approximation for majority rule sampling strategy. </w:t>
      </w:r>
      <w:r>
        <w:rPr>
          <w:color w:val="000000" w:themeColor="text1"/>
          <w:szCs w:val="18"/>
        </w:rPr>
        <w:t>Filled s</w:t>
      </w:r>
      <w:r w:rsidRPr="00007513">
        <w:rPr>
          <w:color w:val="000000" w:themeColor="text1"/>
          <w:szCs w:val="18"/>
        </w:rPr>
        <w:t>ymbols show actual values (</w:t>
      </w:r>
      <w:proofErr w:type="spellStart"/>
      <w:r>
        <w:rPr>
          <w:color w:val="000000" w:themeColor="text1"/>
          <w:szCs w:val="18"/>
        </w:rPr>
        <w:t>Eqs</w:t>
      </w:r>
      <w:proofErr w:type="spellEnd"/>
      <w:r>
        <w:rPr>
          <w:color w:val="000000" w:themeColor="text1"/>
          <w:szCs w:val="18"/>
        </w:rPr>
        <w:t>. 9 and 10</w:t>
      </w:r>
      <w:r w:rsidRPr="00007513">
        <w:rPr>
          <w:color w:val="000000" w:themeColor="text1"/>
          <w:szCs w:val="18"/>
        </w:rPr>
        <w:t xml:space="preserve">, Methods); </w:t>
      </w:r>
      <w:r>
        <w:rPr>
          <w:color w:val="000000" w:themeColor="text1"/>
          <w:szCs w:val="18"/>
        </w:rPr>
        <w:t>open symbols</w:t>
      </w:r>
      <w:r w:rsidRPr="00007513">
        <w:rPr>
          <w:color w:val="000000" w:themeColor="text1"/>
          <w:szCs w:val="18"/>
        </w:rPr>
        <w:t xml:space="preserve"> show </w:t>
      </w:r>
      <w:r>
        <w:rPr>
          <w:color w:val="000000" w:themeColor="text1"/>
          <w:szCs w:val="18"/>
        </w:rPr>
        <w:t xml:space="preserve">respective </w:t>
      </w:r>
      <w:r w:rsidRPr="00007513">
        <w:rPr>
          <w:color w:val="000000" w:themeColor="text1"/>
          <w:szCs w:val="18"/>
        </w:rPr>
        <w:t>approximations (</w:t>
      </w:r>
      <w:proofErr w:type="spellStart"/>
      <w:r>
        <w:rPr>
          <w:color w:val="000000" w:themeColor="text1"/>
          <w:szCs w:val="18"/>
        </w:rPr>
        <w:t>Eqs</w:t>
      </w:r>
      <w:proofErr w:type="spellEnd"/>
      <w:r>
        <w:rPr>
          <w:color w:val="000000" w:themeColor="text1"/>
          <w:szCs w:val="18"/>
        </w:rPr>
        <w:t>. 11 and 12,</w:t>
      </w:r>
      <w:r w:rsidRPr="00007513">
        <w:rPr>
          <w:color w:val="000000" w:themeColor="text1"/>
          <w:szCs w:val="18"/>
        </w:rPr>
        <w:t xml:space="preserve"> Methods).</w:t>
      </w:r>
      <w:r>
        <w:rPr>
          <w:color w:val="000000" w:themeColor="text1"/>
          <w:szCs w:val="18"/>
        </w:rPr>
        <w:t xml:space="preserve"> As noted in Section 2.3, for odd numbers of replicate assays, computed values of effective false positive and false negative rates are the same. </w:t>
      </w:r>
      <w:r w:rsidRPr="00007513">
        <w:rPr>
          <w:b/>
          <w:bCs/>
          <w:color w:val="000000" w:themeColor="text1"/>
          <w:szCs w:val="18"/>
        </w:rPr>
        <w:t>Parameters:</w:t>
      </w:r>
      <w:r w:rsidRPr="00007513">
        <w:rPr>
          <w:color w:val="000000" w:themeColor="text1"/>
          <w:szCs w:val="18"/>
        </w:rPr>
        <w:t xml:space="preserve"> FP = FN = 0.1.</w:t>
      </w:r>
    </w:p>
    <w:p w14:paraId="17AC6CFE" w14:textId="77777777" w:rsidR="005666E0" w:rsidRDefault="005666E0" w:rsidP="00F014FD">
      <w:pPr>
        <w:pStyle w:val="MDPI31text"/>
        <w:ind w:left="0" w:firstLine="0"/>
        <w:rPr>
          <w:color w:val="000000" w:themeColor="text1"/>
        </w:rPr>
      </w:pPr>
    </w:p>
    <w:p w14:paraId="4CDE0B96" w14:textId="77777777" w:rsidR="005666E0" w:rsidRDefault="005666E0" w:rsidP="00F014FD">
      <w:pPr>
        <w:pStyle w:val="MDPI31text"/>
        <w:ind w:left="0" w:firstLine="0"/>
        <w:rPr>
          <w:color w:val="000000" w:themeColor="text1"/>
        </w:rPr>
      </w:pPr>
      <w:r w:rsidRPr="00A06D22">
        <w:rPr>
          <w:noProof/>
          <w:color w:val="000000" w:themeColor="text1"/>
          <w:lang w:eastAsia="en-US" w:bidi="ar-SA"/>
        </w:rPr>
        <w:drawing>
          <wp:inline distT="0" distB="0" distL="0" distR="0" wp14:anchorId="1F28726F" wp14:editId="6DBACEEF">
            <wp:extent cx="5615940" cy="2858469"/>
            <wp:effectExtent l="0" t="0" r="0" b="0"/>
            <wp:docPr id="3" name="Picture 3" descr="A picture containing text, diagram, plo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diagram, plot, screensho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858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ABA77" w14:textId="6939653E" w:rsidR="005666E0" w:rsidRDefault="005666E0" w:rsidP="00F014FD">
      <w:pPr>
        <w:pStyle w:val="MDPI51figurecaption"/>
        <w:ind w:left="0"/>
        <w:rPr>
          <w:b/>
          <w:snapToGrid w:val="0"/>
          <w:color w:val="000000" w:themeColor="text1"/>
          <w:szCs w:val="22"/>
        </w:rPr>
      </w:pPr>
      <w:r w:rsidRPr="00DD11F3">
        <w:rPr>
          <w:b/>
          <w:color w:val="000000" w:themeColor="text1"/>
          <w:szCs w:val="18"/>
        </w:rPr>
        <w:t xml:space="preserve">Figure </w:t>
      </w:r>
      <w:r w:rsidR="00D03F34">
        <w:rPr>
          <w:b/>
          <w:color w:val="000000" w:themeColor="text1"/>
          <w:szCs w:val="18"/>
        </w:rPr>
        <w:t>S</w:t>
      </w:r>
      <w:r w:rsidRPr="00DD11F3">
        <w:rPr>
          <w:b/>
          <w:color w:val="000000" w:themeColor="text1"/>
          <w:szCs w:val="18"/>
        </w:rPr>
        <w:t>2.</w:t>
      </w:r>
      <w:r w:rsidRPr="00DD11F3">
        <w:rPr>
          <w:color w:val="000000" w:themeColor="text1"/>
          <w:szCs w:val="18"/>
        </w:rPr>
        <w:t xml:space="preserve"> Adequacy of approximation for confirmatory majority rule sampling strategy</w:t>
      </w:r>
      <w:r>
        <w:rPr>
          <w:color w:val="000000" w:themeColor="text1"/>
          <w:szCs w:val="18"/>
        </w:rPr>
        <w:t xml:space="preserve"> (initial assay higher sensitivity and lower specificity than subsequent assays)</w:t>
      </w:r>
      <w:r w:rsidRPr="00DD11F3">
        <w:rPr>
          <w:color w:val="000000" w:themeColor="text1"/>
          <w:szCs w:val="18"/>
        </w:rPr>
        <w:t xml:space="preserve">. </w:t>
      </w:r>
      <w:r>
        <w:rPr>
          <w:color w:val="000000" w:themeColor="text1"/>
          <w:szCs w:val="18"/>
        </w:rPr>
        <w:t>Filled s</w:t>
      </w:r>
      <w:r w:rsidRPr="00DD11F3">
        <w:rPr>
          <w:color w:val="000000" w:themeColor="text1"/>
          <w:szCs w:val="18"/>
        </w:rPr>
        <w:t>ymbols show actual values (</w:t>
      </w:r>
      <w:proofErr w:type="spellStart"/>
      <w:r>
        <w:rPr>
          <w:color w:val="000000" w:themeColor="text1"/>
          <w:szCs w:val="18"/>
        </w:rPr>
        <w:t>Eqs</w:t>
      </w:r>
      <w:proofErr w:type="spellEnd"/>
      <w:r>
        <w:rPr>
          <w:color w:val="000000" w:themeColor="text1"/>
          <w:szCs w:val="18"/>
        </w:rPr>
        <w:t>. 14 and 15</w:t>
      </w:r>
      <w:r w:rsidRPr="00DD11F3">
        <w:rPr>
          <w:color w:val="000000" w:themeColor="text1"/>
          <w:szCs w:val="18"/>
        </w:rPr>
        <w:t xml:space="preserve">, Methods); </w:t>
      </w:r>
      <w:r>
        <w:rPr>
          <w:color w:val="000000" w:themeColor="text1"/>
          <w:szCs w:val="18"/>
        </w:rPr>
        <w:t>open symbols</w:t>
      </w:r>
      <w:r w:rsidRPr="00DD11F3">
        <w:rPr>
          <w:color w:val="000000" w:themeColor="text1"/>
          <w:szCs w:val="18"/>
        </w:rPr>
        <w:t xml:space="preserve"> show approximations (</w:t>
      </w:r>
      <w:proofErr w:type="spellStart"/>
      <w:r>
        <w:rPr>
          <w:color w:val="000000" w:themeColor="text1"/>
          <w:szCs w:val="18"/>
        </w:rPr>
        <w:t>Eqs</w:t>
      </w:r>
      <w:proofErr w:type="spellEnd"/>
      <w:r>
        <w:rPr>
          <w:color w:val="000000" w:themeColor="text1"/>
          <w:szCs w:val="18"/>
        </w:rPr>
        <w:t>. 16 and 17</w:t>
      </w:r>
      <w:r w:rsidRPr="00DD11F3">
        <w:rPr>
          <w:color w:val="000000" w:themeColor="text1"/>
          <w:szCs w:val="18"/>
        </w:rPr>
        <w:t xml:space="preserve">, Methods). </w:t>
      </w:r>
      <w:r w:rsidRPr="00DD11F3">
        <w:rPr>
          <w:b/>
          <w:bCs/>
          <w:color w:val="000000" w:themeColor="text1"/>
          <w:szCs w:val="18"/>
        </w:rPr>
        <w:t>Parameters:</w:t>
      </w:r>
      <w:r w:rsidRPr="00DD11F3">
        <w:rPr>
          <w:color w:val="000000" w:themeColor="text1"/>
          <w:szCs w:val="18"/>
        </w:rPr>
        <w:t xml:space="preserve"> FP</w:t>
      </w:r>
      <w:r w:rsidRPr="00DD11F3">
        <w:rPr>
          <w:color w:val="000000" w:themeColor="text1"/>
          <w:szCs w:val="18"/>
          <w:vertAlign w:val="subscript"/>
        </w:rPr>
        <w:t>1</w:t>
      </w:r>
      <w:r w:rsidRPr="00DD11F3">
        <w:rPr>
          <w:color w:val="000000" w:themeColor="text1"/>
          <w:szCs w:val="18"/>
        </w:rPr>
        <w:t xml:space="preserve"> = 0.2; FN</w:t>
      </w:r>
      <w:r w:rsidRPr="00DD11F3">
        <w:rPr>
          <w:color w:val="000000" w:themeColor="text1"/>
          <w:szCs w:val="18"/>
          <w:vertAlign w:val="subscript"/>
        </w:rPr>
        <w:t>1</w:t>
      </w:r>
      <w:r w:rsidRPr="00DD11F3">
        <w:rPr>
          <w:color w:val="000000" w:themeColor="text1"/>
          <w:szCs w:val="18"/>
        </w:rPr>
        <w:t xml:space="preserve"> = 0.05; FP</w:t>
      </w:r>
      <w:r w:rsidRPr="00DD11F3">
        <w:rPr>
          <w:color w:val="000000" w:themeColor="text1"/>
          <w:szCs w:val="18"/>
          <w:vertAlign w:val="subscript"/>
        </w:rPr>
        <w:t>2</w:t>
      </w:r>
      <w:r w:rsidRPr="00DD11F3">
        <w:rPr>
          <w:color w:val="000000" w:themeColor="text1"/>
          <w:szCs w:val="18"/>
        </w:rPr>
        <w:t xml:space="preserve"> = FN</w:t>
      </w:r>
      <w:r w:rsidRPr="00DD11F3">
        <w:rPr>
          <w:color w:val="000000" w:themeColor="text1"/>
          <w:szCs w:val="18"/>
          <w:vertAlign w:val="subscript"/>
        </w:rPr>
        <w:t>2</w:t>
      </w:r>
      <w:r w:rsidRPr="00DD11F3">
        <w:rPr>
          <w:color w:val="000000" w:themeColor="text1"/>
          <w:szCs w:val="18"/>
        </w:rPr>
        <w:t xml:space="preserve"> = 0.1.</w:t>
      </w:r>
      <w:bookmarkEnd w:id="2"/>
      <w:bookmarkEnd w:id="3"/>
    </w:p>
    <w:sectPr w:rsidR="005666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6E0"/>
    <w:rsid w:val="00270432"/>
    <w:rsid w:val="00335C71"/>
    <w:rsid w:val="004C3A8D"/>
    <w:rsid w:val="005666E0"/>
    <w:rsid w:val="00584CB2"/>
    <w:rsid w:val="005B7180"/>
    <w:rsid w:val="00792216"/>
    <w:rsid w:val="0083760D"/>
    <w:rsid w:val="008D749E"/>
    <w:rsid w:val="008E3B57"/>
    <w:rsid w:val="00BF0955"/>
    <w:rsid w:val="00CB3409"/>
    <w:rsid w:val="00CF4AC0"/>
    <w:rsid w:val="00D03F34"/>
    <w:rsid w:val="00D4180E"/>
    <w:rsid w:val="00F014FD"/>
    <w:rsid w:val="00F4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36E7AB"/>
  <w15:chartTrackingRefBased/>
  <w15:docId w15:val="{C1B526D6-C868-1B44-86F5-8953E4357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6E0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66E0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qFormat/>
    <w:rsid w:val="005666E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51figurecaption">
    <w:name w:val="MDPI_5.1_figure_caption"/>
    <w:qFormat/>
    <w:rsid w:val="005666E0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  <w14:ligatures w14:val="none"/>
    </w:rPr>
  </w:style>
  <w:style w:type="paragraph" w:customStyle="1" w:styleId="MDPI21heading1">
    <w:name w:val="MDPI_2.1_heading1"/>
    <w:qFormat/>
    <w:rsid w:val="005666E0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szCs w:val="22"/>
      <w:lang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Rosenbloom, Daniel Scholes</dc:creator>
  <cp:keywords/>
  <dc:description/>
  <cp:lastModifiedBy>Rosenbloom, Daniel Scholes</cp:lastModifiedBy>
  <cp:revision>18</cp:revision>
  <dcterms:created xsi:type="dcterms:W3CDTF">2023-08-11T15:16:00Z</dcterms:created>
  <dcterms:modified xsi:type="dcterms:W3CDTF">2023-08-11T19:40:00Z</dcterms:modified>
</cp:coreProperties>
</file>