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CF" w:rsidRPr="00AF589E" w:rsidRDefault="007804CF" w:rsidP="007804CF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hAnsi="Palatino Linotype"/>
          <w:color w:val="auto"/>
          <w:sz w:val="18"/>
          <w:szCs w:val="22"/>
          <w:lang w:val="en-GB" w:bidi="en-US"/>
        </w:rPr>
      </w:pPr>
      <w:r w:rsidRPr="00AF589E"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 xml:space="preserve">Table </w:t>
      </w:r>
      <w:r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>S</w:t>
      </w:r>
      <w:bookmarkStart w:id="0" w:name="_GoBack"/>
      <w:bookmarkEnd w:id="0"/>
      <w:r w:rsidRPr="00AF589E"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 xml:space="preserve">3. </w:t>
      </w:r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Statistical comparison of differences in seroconversion rate between the two orally vaccinated groups (Group A vs. B – bait/</w:t>
      </w:r>
      <w:proofErr w:type="spellStart"/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d.o.a</w:t>
      </w:r>
      <w:proofErr w:type="spellEnd"/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.) and the combined orally and the parenteral vaccinated group (Group A+B vs C – oral/</w:t>
      </w:r>
      <w:proofErr w:type="spellStart"/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s.c.</w:t>
      </w:r>
      <w:proofErr w:type="spellEnd"/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) at different sampling points post vaccination based on both ELISA and RFFIT results.</w:t>
      </w:r>
    </w:p>
    <w:p w:rsidR="007804CF" w:rsidRPr="00AF589E" w:rsidRDefault="007804CF" w:rsidP="007804CF">
      <w:pPr>
        <w:pStyle w:val="MDPI31text"/>
      </w:pPr>
    </w:p>
    <w:p w:rsidR="007804CF" w:rsidRPr="00AF589E" w:rsidRDefault="007804CF" w:rsidP="007804CF">
      <w:pPr>
        <w:spacing w:line="240" w:lineRule="auto"/>
        <w:jc w:val="left"/>
        <w:rPr>
          <w:rFonts w:ascii="Palatino Linotype" w:hAnsi="Palatino Linotype"/>
          <w:b/>
          <w:snapToGrid w:val="0"/>
          <w:sz w:val="20"/>
          <w:szCs w:val="22"/>
          <w:lang w:bidi="en-US"/>
        </w:rPr>
      </w:pP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1778"/>
        <w:gridCol w:w="1778"/>
        <w:gridCol w:w="1770"/>
        <w:gridCol w:w="1770"/>
      </w:tblGrid>
      <w:tr w:rsidR="007804CF" w:rsidRPr="00AF589E" w:rsidTr="004814DD">
        <w:trPr>
          <w:trHeight w:val="311"/>
          <w:jc w:val="center"/>
        </w:trPr>
        <w:tc>
          <w:tcPr>
            <w:tcW w:w="657" w:type="dxa"/>
            <w:tcBorders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dpv</w:t>
            </w:r>
            <w:proofErr w:type="spellEnd"/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ELISA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 xml:space="preserve">(Group A vs B - 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proofErr w:type="gram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bait</w:t>
            </w:r>
            <w:proofErr w:type="gramEnd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 xml:space="preserve"> vs </w:t>
            </w:r>
            <w:proofErr w:type="spell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d.o.a</w:t>
            </w:r>
            <w:proofErr w:type="spellEnd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.)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RFFIT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 xml:space="preserve">(Group A vs B - bait vs </w:t>
            </w:r>
            <w:proofErr w:type="spell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d.o.a</w:t>
            </w:r>
            <w:proofErr w:type="spellEnd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.)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>ELISA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 xml:space="preserve">(Groups A+B vs C - oral vs </w:t>
            </w:r>
            <w:proofErr w:type="spell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>s.c.</w:t>
            </w:r>
            <w:proofErr w:type="spellEnd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>)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  <w:t>RFFIT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b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 xml:space="preserve">(Groups A+B vs C - oral vs </w:t>
            </w:r>
            <w:proofErr w:type="spellStart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>s.c.</w:t>
            </w:r>
            <w:proofErr w:type="spellEnd"/>
            <w:r w:rsidRPr="00AF589E">
              <w:rPr>
                <w:rFonts w:ascii="Palatino Linotype" w:hAnsi="Palatino Linotype"/>
                <w:b/>
                <w:snapToGrid w:val="0"/>
                <w:sz w:val="18"/>
                <w:szCs w:val="18"/>
                <w:lang w:bidi="en-US"/>
              </w:rPr>
              <w:t>)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7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5/15 vs 3/10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P=0.86,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0/15 vs 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8/25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P=0.0003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0/25 vs 4/10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P=0.004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14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14/15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10/15 vs 8/10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P=0.47,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24/25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18/25 vs 10/1</w:t>
            </w:r>
            <w:r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28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15/15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8/15 vs 7/10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P=0.41,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25/25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15/25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P=0.03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90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14/15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4/15 vs 1/10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P=0.31,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24/25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5/25 vs 5/10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P=0.08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180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14/15 vs 9/10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P=0.76,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8/15 vs 6/10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P=0.74,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23/25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14/25 vs 10/10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P=0.02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Fisher’s exact test</w:t>
            </w:r>
          </w:p>
        </w:tc>
      </w:tr>
      <w:tr w:rsidR="007804CF" w:rsidRPr="00AF589E" w:rsidTr="004814DD">
        <w:trPr>
          <w:jc w:val="center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left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365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13/15 vs 8/10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P=0.66,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7/15 vs 4/10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P=0.74,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21/25 vs 9/10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P=0.65,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11/25 vs 7/10</w:t>
            </w:r>
          </w:p>
          <w:p w:rsidR="007804CF" w:rsidRPr="00AF589E" w:rsidRDefault="007804CF" w:rsidP="004814DD">
            <w:pPr>
              <w:spacing w:line="0" w:lineRule="atLeast"/>
              <w:jc w:val="center"/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</w:pP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 xml:space="preserve">P=0.16, </w:t>
            </w:r>
            <w:proofErr w:type="spellStart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n.s</w:t>
            </w:r>
            <w:proofErr w:type="spellEnd"/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t>.</w:t>
            </w:r>
            <w:r w:rsidRPr="00AF589E">
              <w:rPr>
                <w:rFonts w:ascii="Palatino Linotype" w:hAnsi="Palatino Linotype"/>
                <w:snapToGrid w:val="0"/>
                <w:sz w:val="18"/>
                <w:szCs w:val="18"/>
                <w:lang w:val="en-GB" w:bidi="en-US"/>
              </w:rPr>
              <w:br/>
              <w:t>Chi²-test</w:t>
            </w:r>
          </w:p>
        </w:tc>
      </w:tr>
    </w:tbl>
    <w:p w:rsidR="007804CF" w:rsidRPr="00AF589E" w:rsidRDefault="007804CF" w:rsidP="007804CF">
      <w:pPr>
        <w:pStyle w:val="MDPI31text"/>
        <w:jc w:val="center"/>
        <w:rPr>
          <w:sz w:val="18"/>
        </w:rPr>
      </w:pPr>
      <w:r w:rsidRPr="00AF589E">
        <w:rPr>
          <w:sz w:val="18"/>
        </w:rPr>
        <w:t>1</w:t>
      </w:r>
      <w:r w:rsidRPr="00AF589E">
        <w:rPr>
          <w:sz w:val="18"/>
          <w:vertAlign w:val="superscript"/>
        </w:rPr>
        <w:t>st</w:t>
      </w:r>
      <w:r w:rsidRPr="00AF589E">
        <w:rPr>
          <w:sz w:val="18"/>
        </w:rPr>
        <w:t xml:space="preserve"> row number of seropositive animals/total number of animals per group, 2</w:t>
      </w:r>
      <w:r w:rsidRPr="00AF589E">
        <w:rPr>
          <w:sz w:val="18"/>
          <w:vertAlign w:val="superscript"/>
        </w:rPr>
        <w:t>nd</w:t>
      </w:r>
      <w:r w:rsidRPr="00AF589E">
        <w:rPr>
          <w:sz w:val="18"/>
        </w:rPr>
        <w:t xml:space="preserve"> row level of significance, 3</w:t>
      </w:r>
      <w:r w:rsidRPr="00AF589E">
        <w:rPr>
          <w:sz w:val="18"/>
          <w:vertAlign w:val="superscript"/>
        </w:rPr>
        <w:t>rd</w:t>
      </w:r>
      <w:r w:rsidRPr="00AF589E">
        <w:rPr>
          <w:sz w:val="18"/>
        </w:rPr>
        <w:t xml:space="preserve"> row statistical test used; </w:t>
      </w:r>
      <w:proofErr w:type="spellStart"/>
      <w:r w:rsidRPr="00AF589E">
        <w:rPr>
          <w:sz w:val="18"/>
        </w:rPr>
        <w:t>n.s</w:t>
      </w:r>
      <w:proofErr w:type="spellEnd"/>
      <w:r w:rsidRPr="00AF589E">
        <w:rPr>
          <w:sz w:val="18"/>
        </w:rPr>
        <w:t>. – not significant;</w:t>
      </w:r>
    </w:p>
    <w:p w:rsidR="007804CF" w:rsidRPr="00AF589E" w:rsidRDefault="007804CF" w:rsidP="007804CF">
      <w:pPr>
        <w:spacing w:line="240" w:lineRule="auto"/>
        <w:jc w:val="left"/>
        <w:rPr>
          <w:rFonts w:ascii="Palatino Linotype" w:hAnsi="Palatino Linotype"/>
          <w:b/>
          <w:snapToGrid w:val="0"/>
          <w:sz w:val="20"/>
          <w:szCs w:val="22"/>
          <w:lang w:bidi="en-US"/>
        </w:rPr>
      </w:pPr>
    </w:p>
    <w:p w:rsidR="007432E4" w:rsidRDefault="007432E4"/>
    <w:sectPr w:rsidR="007432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CF"/>
    <w:rsid w:val="0060188B"/>
    <w:rsid w:val="007432E4"/>
    <w:rsid w:val="0078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7B9C"/>
  <w15:chartTrackingRefBased/>
  <w15:docId w15:val="{535DF336-12A9-4AEC-904A-1A5A4D07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04C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04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Zchn"/>
    <w:qFormat/>
    <w:rsid w:val="007804C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7804CF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1374</Characters>
  <Application>Microsoft Office Word</Application>
  <DocSecurity>0</DocSecurity>
  <Lines>11</Lines>
  <Paragraphs>3</Paragraphs>
  <ScaleCrop>false</ScaleCrop>
  <Company>Friedrich-Loeffler-Institut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Freuling, Conrad</dc:creator>
  <cp:keywords/>
  <dc:description/>
  <cp:lastModifiedBy>Freuling, Conrad</cp:lastModifiedBy>
  <cp:revision>1</cp:revision>
  <dcterms:created xsi:type="dcterms:W3CDTF">2020-09-16T12:03:00Z</dcterms:created>
  <dcterms:modified xsi:type="dcterms:W3CDTF">2020-09-16T12:04:00Z</dcterms:modified>
</cp:coreProperties>
</file>