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5CC7" w14:textId="7E252D47" w:rsidR="00FE2059" w:rsidRPr="00FE2059" w:rsidRDefault="00FE2059" w:rsidP="00FE2059">
      <w:pPr>
        <w:pStyle w:val="MDPI11articletype"/>
        <w:rPr>
          <w:rFonts w:eastAsia="Palatino Linotype"/>
        </w:rPr>
      </w:pPr>
      <w:r w:rsidRPr="00FE2059">
        <w:rPr>
          <w:rFonts w:eastAsia="Palatino Linotype"/>
        </w:rPr>
        <w:t>Supplementary information for</w:t>
      </w:r>
    </w:p>
    <w:p w14:paraId="372E569B" w14:textId="77777777" w:rsidR="00602D05" w:rsidRPr="009D38EF" w:rsidRDefault="00602D05" w:rsidP="00602D05">
      <w:pPr>
        <w:pStyle w:val="MDPI12title"/>
      </w:pPr>
      <w:r w:rsidRPr="009D38EF">
        <w:t xml:space="preserve">Antifungal Activity, Structural Stability, and </w:t>
      </w:r>
      <w:r w:rsidRPr="009D38EF">
        <w:br/>
        <w:t xml:space="preserve">Immunomodulatory Effects on Human Immune Cells of </w:t>
      </w:r>
      <w:r w:rsidRPr="009D38EF">
        <w:br/>
        <w:t xml:space="preserve">Defensin from the Lentil </w:t>
      </w:r>
      <w:r w:rsidRPr="009D38EF">
        <w:rPr>
          <w:i/>
          <w:iCs/>
        </w:rPr>
        <w:t>Lens culinaris</w:t>
      </w:r>
    </w:p>
    <w:p w14:paraId="07BD438A" w14:textId="77777777" w:rsidR="00602D05" w:rsidRPr="009D38EF" w:rsidRDefault="00602D05" w:rsidP="00602D05">
      <w:pPr>
        <w:pStyle w:val="MDPI13authornames"/>
      </w:pPr>
      <w:bookmarkStart w:id="0" w:name="_Hlk112676623"/>
      <w:r w:rsidRPr="009D38EF">
        <w:t xml:space="preserve">Ekaterina I. Finkina </w:t>
      </w:r>
      <w:r w:rsidRPr="009D38EF">
        <w:rPr>
          <w:vertAlign w:val="superscript"/>
        </w:rPr>
        <w:t>1,</w:t>
      </w:r>
      <w:r w:rsidRPr="009D38EF">
        <w:t xml:space="preserve">*, Ivan V. Bogdanov </w:t>
      </w:r>
      <w:r w:rsidRPr="009D38EF">
        <w:rPr>
          <w:vertAlign w:val="superscript"/>
        </w:rPr>
        <w:t>1</w:t>
      </w:r>
      <w:r w:rsidRPr="009D38EF">
        <w:t xml:space="preserve">, </w:t>
      </w:r>
      <w:r w:rsidRPr="009D38EF">
        <w:rPr>
          <w:color w:val="auto"/>
          <w:lang w:val="es-ES"/>
        </w:rPr>
        <w:t xml:space="preserve">Anastasia A. Ignatova </w:t>
      </w:r>
      <w:r w:rsidRPr="009D38EF">
        <w:rPr>
          <w:color w:val="auto"/>
          <w:vertAlign w:val="superscript"/>
          <w:lang w:val="es-ES"/>
        </w:rPr>
        <w:t>1</w:t>
      </w:r>
      <w:r w:rsidRPr="009D38EF">
        <w:rPr>
          <w:color w:val="auto"/>
          <w:lang w:val="es-ES"/>
        </w:rPr>
        <w:t xml:space="preserve">, </w:t>
      </w:r>
      <w:bookmarkStart w:id="1" w:name="_Hlk109033950"/>
      <w:r w:rsidRPr="009D38EF">
        <w:rPr>
          <w:color w:val="auto"/>
          <w:lang w:val="es-ES"/>
        </w:rPr>
        <w:t xml:space="preserve">Marina D. Kanushkina </w:t>
      </w:r>
      <w:r w:rsidRPr="009D38EF">
        <w:rPr>
          <w:color w:val="auto"/>
          <w:vertAlign w:val="superscript"/>
          <w:lang w:val="es-ES"/>
        </w:rPr>
        <w:t>1</w:t>
      </w:r>
      <w:r w:rsidRPr="009D38EF">
        <w:rPr>
          <w:color w:val="auto"/>
          <w:lang w:val="es-ES"/>
        </w:rPr>
        <w:t xml:space="preserve">, </w:t>
      </w:r>
      <w:r w:rsidRPr="009D38EF">
        <w:rPr>
          <w:color w:val="auto"/>
          <w:lang w:val="es-ES"/>
        </w:rPr>
        <w:br/>
      </w:r>
      <w:r w:rsidRPr="009D38EF">
        <w:rPr>
          <w:color w:val="auto"/>
        </w:rPr>
        <w:t xml:space="preserve">Ekaterina A. Egorova </w:t>
      </w:r>
      <w:r w:rsidRPr="009D38EF">
        <w:rPr>
          <w:color w:val="auto"/>
          <w:vertAlign w:val="superscript"/>
        </w:rPr>
        <w:t>2</w:t>
      </w:r>
      <w:r w:rsidRPr="009D38EF">
        <w:rPr>
          <w:color w:val="auto"/>
        </w:rPr>
        <w:t xml:space="preserve">, Alexander D. Voropaev </w:t>
      </w:r>
      <w:r w:rsidRPr="009D38EF">
        <w:rPr>
          <w:color w:val="auto"/>
          <w:vertAlign w:val="superscript"/>
        </w:rPr>
        <w:t>2</w:t>
      </w:r>
      <w:r w:rsidRPr="009D38EF">
        <w:rPr>
          <w:color w:val="auto"/>
        </w:rPr>
        <w:t xml:space="preserve">, </w:t>
      </w:r>
      <w:bookmarkEnd w:id="1"/>
      <w:r w:rsidRPr="009D38EF">
        <w:t xml:space="preserve">Elena A. Stukacheva </w:t>
      </w:r>
      <w:r w:rsidRPr="009D38EF">
        <w:rPr>
          <w:vertAlign w:val="superscript"/>
        </w:rPr>
        <w:t>1</w:t>
      </w:r>
      <w:r w:rsidRPr="009D38EF">
        <w:t xml:space="preserve"> and Tatiana V. Ovchinnikova </w:t>
      </w:r>
      <w:r w:rsidRPr="009D38EF">
        <w:rPr>
          <w:vertAlign w:val="superscript"/>
        </w:rPr>
        <w:t>1</w:t>
      </w:r>
    </w:p>
    <w:bookmarkEnd w:id="0"/>
    <w:p w14:paraId="02D4C6B3" w14:textId="5F7151B2" w:rsidR="00602D05" w:rsidRPr="009D38EF" w:rsidRDefault="00602D05" w:rsidP="00602D05">
      <w:pPr>
        <w:pStyle w:val="MDPI16affiliation"/>
      </w:pPr>
      <w:r w:rsidRPr="009D38EF">
        <w:rPr>
          <w:vertAlign w:val="superscript"/>
        </w:rPr>
        <w:t>1</w:t>
      </w:r>
      <w:r w:rsidRPr="009D38EF">
        <w:tab/>
        <w:t>M.M. Shemyakin &amp; Yu.A. Ovchinnikov Institute of Bioorganic Chemistry, the Russian Academy of Sciences, Miklukho-Maklaya str. 16/10, 117997 Moscow, Russia</w:t>
      </w:r>
    </w:p>
    <w:p w14:paraId="37D77208" w14:textId="5C079892" w:rsidR="00602D05" w:rsidRPr="009D38EF" w:rsidRDefault="00602D05" w:rsidP="00602D05">
      <w:pPr>
        <w:pStyle w:val="MDPI16affiliation"/>
      </w:pPr>
      <w:r w:rsidRPr="009D38EF">
        <w:rPr>
          <w:vertAlign w:val="superscript"/>
        </w:rPr>
        <w:t>2</w:t>
      </w:r>
      <w:r w:rsidRPr="009D38EF">
        <w:tab/>
        <w:t xml:space="preserve">G.N. Gabrichevsky Research Institute for Epidemiology and Microbiology, Admiral Makarov </w:t>
      </w:r>
      <w:r w:rsidR="00C148A3">
        <w:t>s</w:t>
      </w:r>
      <w:r w:rsidRPr="009D38EF">
        <w:t>t</w:t>
      </w:r>
      <w:r w:rsidR="00C148A3">
        <w:t>r</w:t>
      </w:r>
      <w:r w:rsidRPr="009D38EF">
        <w:t>.</w:t>
      </w:r>
      <w:r w:rsidR="002D18FE">
        <w:t xml:space="preserve"> </w:t>
      </w:r>
      <w:r w:rsidRPr="009D38EF">
        <w:t xml:space="preserve">10, </w:t>
      </w:r>
      <w:r w:rsidR="002D18FE">
        <w:br/>
      </w:r>
      <w:r w:rsidRPr="009D38EF">
        <w:t>125212 Moscow, Russia</w:t>
      </w:r>
    </w:p>
    <w:p w14:paraId="5F3E6ECE" w14:textId="77777777" w:rsidR="00602D05" w:rsidRPr="009D38EF" w:rsidRDefault="00602D05" w:rsidP="00602D05">
      <w:pPr>
        <w:pStyle w:val="MDPI16affiliation"/>
      </w:pPr>
      <w:r w:rsidRPr="009D38EF">
        <w:rPr>
          <w:b/>
        </w:rPr>
        <w:t>*</w:t>
      </w:r>
      <w:r w:rsidRPr="009D38EF">
        <w:tab/>
        <w:t>Correspondence: finkina@mail.ru; Tel.: +7-495-335-42-00</w:t>
      </w:r>
    </w:p>
    <w:p w14:paraId="51FB11B0" w14:textId="22957380" w:rsidR="00FE2059" w:rsidRPr="00FE2059" w:rsidRDefault="00FE2059" w:rsidP="00FE2059">
      <w:pPr>
        <w:pStyle w:val="MDPI41tablecaption"/>
        <w:jc w:val="left"/>
        <w:rPr>
          <w:rFonts w:eastAsia="Palatino Linotype"/>
        </w:rPr>
      </w:pPr>
      <w:r w:rsidRPr="00FE2059">
        <w:rPr>
          <w:rFonts w:eastAsia="Palatino Linotype"/>
          <w:b/>
        </w:rPr>
        <w:t xml:space="preserve">Table S1. </w:t>
      </w:r>
      <w:r w:rsidRPr="00FE2059">
        <w:rPr>
          <w:rFonts w:eastAsia="Palatino Linotype"/>
        </w:rPr>
        <w:t xml:space="preserve">List of </w:t>
      </w:r>
      <w:bookmarkStart w:id="2" w:name="_Hlk109126886"/>
      <w:r w:rsidRPr="00FE2059">
        <w:rPr>
          <w:rFonts w:eastAsia="Palatino Linotype"/>
        </w:rPr>
        <w:t>overlapping primers</w:t>
      </w:r>
      <w:bookmarkEnd w:id="2"/>
      <w:r w:rsidRPr="00FE2059">
        <w:rPr>
          <w:rFonts w:eastAsia="Palatino Linotype"/>
        </w:rPr>
        <w:t>.</w:t>
      </w:r>
    </w:p>
    <w:tbl>
      <w:tblPr>
        <w:tblStyle w:val="1"/>
        <w:tblW w:w="7857" w:type="dxa"/>
        <w:tblInd w:w="2608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000000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259"/>
      </w:tblGrid>
      <w:tr w:rsidR="00FE2059" w:rsidRPr="00FE2059" w14:paraId="7B5252D3" w14:textId="77777777" w:rsidTr="00FE2059">
        <w:tc>
          <w:tcPr>
            <w:tcW w:w="709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7E26D26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2" w:firstLineChars="0" w:hanging="2"/>
              <w:jc w:val="center"/>
              <w:textAlignment w:val="auto"/>
              <w:outlineLvl w:val="9"/>
              <w:rPr>
                <w:rFonts w:ascii="Palatino Linotype" w:hAnsi="Palatino Linotype"/>
                <w:b/>
                <w:bCs/>
                <w:sz w:val="18"/>
                <w:szCs w:val="20"/>
              </w:rPr>
            </w:pPr>
            <w:r w:rsidRPr="00FE2059">
              <w:rPr>
                <w:rFonts w:ascii="Palatino Linotype" w:hAnsi="Palatino Linotype"/>
                <w:b/>
                <w:bCs/>
                <w:sz w:val="18"/>
                <w:szCs w:val="20"/>
              </w:rPr>
              <w:t>№</w:t>
            </w:r>
          </w:p>
        </w:tc>
        <w:tc>
          <w:tcPr>
            <w:tcW w:w="8642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8206F9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2" w:firstLineChars="0" w:hanging="2"/>
              <w:jc w:val="center"/>
              <w:textAlignment w:val="auto"/>
              <w:outlineLvl w:val="9"/>
              <w:rPr>
                <w:rFonts w:ascii="Palatino Linotype" w:hAnsi="Palatino Linotype"/>
                <w:b/>
                <w:bCs/>
                <w:color w:val="000000"/>
                <w:sz w:val="18"/>
                <w:szCs w:val="20"/>
                <w:shd w:val="clear" w:color="auto" w:fill="FFFFFF"/>
              </w:rPr>
            </w:pPr>
            <w:r w:rsidRPr="00FE2059">
              <w:rPr>
                <w:rFonts w:ascii="Palatino Linotype" w:hAnsi="Palatino Linotype"/>
                <w:b/>
                <w:bCs/>
                <w:color w:val="000000"/>
                <w:sz w:val="18"/>
                <w:szCs w:val="20"/>
                <w:shd w:val="clear" w:color="auto" w:fill="FFFFFF"/>
              </w:rPr>
              <w:t>primer sequences (5’-3’)</w:t>
            </w:r>
          </w:p>
        </w:tc>
      </w:tr>
      <w:tr w:rsidR="00FE2059" w:rsidRPr="00FE2059" w14:paraId="79A85626" w14:textId="77777777" w:rsidTr="00FE2059"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4056B9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2" w:firstLineChars="0" w:hanging="2"/>
              <w:jc w:val="center"/>
              <w:textAlignment w:val="auto"/>
              <w:outlineLvl w:val="9"/>
              <w:rPr>
                <w:rFonts w:ascii="Palatino Linotype" w:hAnsi="Palatino Linotype"/>
                <w:sz w:val="18"/>
                <w:szCs w:val="20"/>
              </w:rPr>
            </w:pPr>
            <w:r w:rsidRPr="00FE2059">
              <w:rPr>
                <w:rFonts w:ascii="Palatino Linotype" w:hAnsi="Palatino Linotype"/>
                <w:sz w:val="18"/>
                <w:szCs w:val="20"/>
              </w:rPr>
              <w:t>s1</w:t>
            </w:r>
          </w:p>
        </w:tc>
        <w:tc>
          <w:tcPr>
            <w:tcW w:w="864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4BCA9A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2" w:firstLineChars="0" w:hanging="2"/>
              <w:jc w:val="center"/>
              <w:textAlignment w:val="auto"/>
              <w:outlineLvl w:val="9"/>
              <w:rPr>
                <w:rFonts w:ascii="Palatino Linotype" w:hAnsi="Palatino Linotype"/>
                <w:sz w:val="18"/>
                <w:szCs w:val="20"/>
              </w:rPr>
            </w:pPr>
            <w:r w:rsidRPr="00FE2059">
              <w:rPr>
                <w:rFonts w:ascii="Palatino Linotype" w:hAnsi="Palatino Linotype"/>
                <w:color w:val="000000"/>
                <w:sz w:val="18"/>
                <w:szCs w:val="20"/>
                <w:shd w:val="clear" w:color="auto" w:fill="FFFFFF"/>
              </w:rPr>
              <w:t>CCTCGACGCTAACCTGGCCGGATCTATGAAAACTTGTGAACACTTGGCTGATACCTA</w:t>
            </w:r>
          </w:p>
        </w:tc>
      </w:tr>
      <w:tr w:rsidR="00FE2059" w:rsidRPr="00FE2059" w14:paraId="7BD053A1" w14:textId="77777777" w:rsidTr="00FE2059">
        <w:tc>
          <w:tcPr>
            <w:tcW w:w="709" w:type="dxa"/>
            <w:shd w:val="clear" w:color="auto" w:fill="auto"/>
            <w:vAlign w:val="center"/>
          </w:tcPr>
          <w:p w14:paraId="49FDF8B3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2" w:firstLineChars="0" w:hanging="2"/>
              <w:jc w:val="center"/>
              <w:textAlignment w:val="auto"/>
              <w:outlineLvl w:val="9"/>
              <w:rPr>
                <w:rFonts w:ascii="Palatino Linotype" w:hAnsi="Palatino Linotype"/>
                <w:sz w:val="18"/>
                <w:szCs w:val="20"/>
              </w:rPr>
            </w:pPr>
            <w:r w:rsidRPr="00FE2059">
              <w:rPr>
                <w:rFonts w:ascii="Palatino Linotype" w:hAnsi="Palatino Linotype"/>
                <w:sz w:val="18"/>
                <w:szCs w:val="20"/>
              </w:rPr>
              <w:t>s2</w:t>
            </w:r>
          </w:p>
        </w:tc>
        <w:tc>
          <w:tcPr>
            <w:tcW w:w="8642" w:type="dxa"/>
            <w:shd w:val="clear" w:color="auto" w:fill="auto"/>
            <w:vAlign w:val="center"/>
          </w:tcPr>
          <w:p w14:paraId="2F3ABF79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2" w:firstLineChars="0" w:hanging="2"/>
              <w:jc w:val="center"/>
              <w:textAlignment w:val="auto"/>
              <w:outlineLvl w:val="9"/>
              <w:rPr>
                <w:rFonts w:ascii="Palatino Linotype" w:hAnsi="Palatino Linotype"/>
                <w:sz w:val="18"/>
                <w:szCs w:val="20"/>
              </w:rPr>
            </w:pPr>
            <w:r w:rsidRPr="00FE2059">
              <w:rPr>
                <w:rFonts w:ascii="Palatino Linotype" w:hAnsi="Palatino Linotype"/>
                <w:color w:val="000000"/>
                <w:sz w:val="18"/>
                <w:szCs w:val="20"/>
                <w:shd w:val="clear" w:color="auto" w:fill="FFFFFF"/>
              </w:rPr>
              <w:t>CTTGGCTGATACCTACCGTGGAGTTTGTTTCACTAATGCTAGTTGTGACGATCACTGTAAAAA</w:t>
            </w:r>
          </w:p>
        </w:tc>
      </w:tr>
      <w:tr w:rsidR="00FE2059" w:rsidRPr="00FE2059" w14:paraId="520AA73F" w14:textId="77777777" w:rsidTr="00FE2059">
        <w:tc>
          <w:tcPr>
            <w:tcW w:w="709" w:type="dxa"/>
            <w:shd w:val="clear" w:color="auto" w:fill="auto"/>
            <w:vAlign w:val="center"/>
          </w:tcPr>
          <w:p w14:paraId="02253D0E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rFonts w:ascii="Palatino Linotype" w:hAnsi="Palatino Linotype"/>
                <w:sz w:val="18"/>
                <w:szCs w:val="20"/>
              </w:rPr>
            </w:pPr>
            <w:r w:rsidRPr="00FE2059">
              <w:rPr>
                <w:rFonts w:ascii="Palatino Linotype" w:hAnsi="Palatino Linotype"/>
                <w:sz w:val="18"/>
                <w:szCs w:val="20"/>
              </w:rPr>
              <w:t>ans3</w:t>
            </w:r>
          </w:p>
        </w:tc>
        <w:tc>
          <w:tcPr>
            <w:tcW w:w="8642" w:type="dxa"/>
            <w:shd w:val="clear" w:color="auto" w:fill="auto"/>
            <w:vAlign w:val="center"/>
          </w:tcPr>
          <w:p w14:paraId="69A3F569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2" w:firstLineChars="0" w:hanging="2"/>
              <w:jc w:val="center"/>
              <w:textAlignment w:val="auto"/>
              <w:outlineLvl w:val="9"/>
              <w:rPr>
                <w:rFonts w:ascii="Palatino Linotype" w:hAnsi="Palatino Linotype"/>
                <w:sz w:val="18"/>
                <w:szCs w:val="20"/>
              </w:rPr>
            </w:pPr>
            <w:r w:rsidRPr="00FE2059">
              <w:rPr>
                <w:rFonts w:ascii="Palatino Linotype" w:hAnsi="Palatino Linotype"/>
                <w:sz w:val="18"/>
                <w:szCs w:val="20"/>
              </w:rPr>
              <w:t>CATTTCCAATTATGACACGTGCCTGATATTAGATGTGCTTTATTTTTACAGTGATCG</w:t>
            </w:r>
          </w:p>
        </w:tc>
      </w:tr>
      <w:tr w:rsidR="00FE2059" w:rsidRPr="00FE2059" w14:paraId="022C0709" w14:textId="77777777" w:rsidTr="00FE2059">
        <w:tc>
          <w:tcPr>
            <w:tcW w:w="709" w:type="dxa"/>
            <w:shd w:val="clear" w:color="auto" w:fill="auto"/>
            <w:vAlign w:val="center"/>
          </w:tcPr>
          <w:p w14:paraId="7DBEEE28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2" w:firstLineChars="0" w:hanging="2"/>
              <w:jc w:val="center"/>
              <w:textAlignment w:val="auto"/>
              <w:outlineLvl w:val="9"/>
              <w:rPr>
                <w:rFonts w:ascii="Palatino Linotype" w:hAnsi="Palatino Linotype"/>
                <w:sz w:val="18"/>
                <w:szCs w:val="20"/>
              </w:rPr>
            </w:pPr>
            <w:r w:rsidRPr="00FE2059">
              <w:rPr>
                <w:rFonts w:ascii="Palatino Linotype" w:hAnsi="Palatino Linotype"/>
                <w:sz w:val="18"/>
                <w:szCs w:val="20"/>
              </w:rPr>
              <w:t>ans4</w:t>
            </w:r>
          </w:p>
        </w:tc>
        <w:tc>
          <w:tcPr>
            <w:tcW w:w="8642" w:type="dxa"/>
            <w:shd w:val="clear" w:color="auto" w:fill="auto"/>
            <w:vAlign w:val="center"/>
          </w:tcPr>
          <w:p w14:paraId="20C35F4E" w14:textId="77777777" w:rsidR="00FE2059" w:rsidRPr="00FE2059" w:rsidRDefault="00FE2059" w:rsidP="00FE2059">
            <w:pPr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ind w:leftChars="0" w:left="2" w:firstLineChars="0" w:hanging="2"/>
              <w:jc w:val="center"/>
              <w:textAlignment w:val="auto"/>
              <w:outlineLvl w:val="9"/>
              <w:rPr>
                <w:rFonts w:ascii="Palatino Linotype" w:hAnsi="Palatino Linotype"/>
                <w:sz w:val="18"/>
                <w:szCs w:val="20"/>
              </w:rPr>
            </w:pPr>
            <w:r w:rsidRPr="00FE2059">
              <w:rPr>
                <w:rFonts w:ascii="Palatino Linotype" w:hAnsi="Palatino Linotype"/>
                <w:sz w:val="18"/>
                <w:szCs w:val="20"/>
              </w:rPr>
              <w:t>GGTGCTCGAGAGAATTCGCGGATCCTTAACAGTTTTGGGTACAGAAGCATTTCCAATTATGACAC</w:t>
            </w:r>
          </w:p>
        </w:tc>
      </w:tr>
    </w:tbl>
    <w:p w14:paraId="6E16939F" w14:textId="77777777" w:rsidR="00FE2059" w:rsidRPr="00FE2059" w:rsidRDefault="00FE2059" w:rsidP="00FE2059">
      <w:pPr>
        <w:ind w:leftChars="0" w:left="0" w:firstLineChars="0" w:firstLine="0"/>
      </w:pPr>
    </w:p>
    <w:p w14:paraId="732A332C" w14:textId="77777777" w:rsidR="00FE2059" w:rsidRPr="00FE2059" w:rsidRDefault="00FE2059" w:rsidP="00FE2059">
      <w:pPr>
        <w:pStyle w:val="MDPI52figure"/>
        <w:ind w:left="2608"/>
        <w:jc w:val="left"/>
        <w:rPr>
          <w:lang w:val="ru-RU"/>
        </w:rPr>
      </w:pPr>
      <w:r w:rsidRPr="00FE2059">
        <w:rPr>
          <w:noProof/>
        </w:rPr>
        <w:drawing>
          <wp:inline distT="0" distB="0" distL="0" distR="0" wp14:anchorId="79767E27" wp14:editId="51D29E5F">
            <wp:extent cx="3437467" cy="2630125"/>
            <wp:effectExtent l="0" t="0" r="0" b="0"/>
            <wp:docPr id="55" name="Рисунок 55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Рисунок 55" descr="A picture containing time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584" cy="2637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FA0BDB" w14:textId="261B4ACC" w:rsidR="00FE2059" w:rsidRPr="00FE2059" w:rsidRDefault="00FE2059" w:rsidP="00FE2059">
      <w:pPr>
        <w:pStyle w:val="MDPI51figurecaption"/>
        <w:jc w:val="left"/>
        <w:rPr>
          <w:rFonts w:eastAsia="Palatino Linotype"/>
        </w:rPr>
      </w:pPr>
      <w:r w:rsidRPr="00FE2059">
        <w:rPr>
          <w:rFonts w:eastAsia="Palatino Linotype"/>
          <w:b/>
        </w:rPr>
        <w:t xml:space="preserve">Figure S1. </w:t>
      </w:r>
      <w:r w:rsidRPr="00FE2059">
        <w:rPr>
          <w:rFonts w:eastAsia="Palatino Linotype"/>
        </w:rPr>
        <w:t>MALDI mass spectra of the recombinant defensins.</w:t>
      </w:r>
    </w:p>
    <w:p w14:paraId="77A5A78C" w14:textId="77777777" w:rsidR="00FE2059" w:rsidRPr="00FE2059" w:rsidRDefault="00FE2059" w:rsidP="00FE2059">
      <w:pPr>
        <w:pStyle w:val="MDPI52figure"/>
        <w:rPr>
          <w:rFonts w:eastAsia="Palatino Linotype"/>
        </w:rPr>
      </w:pPr>
      <w:r w:rsidRPr="00FE2059">
        <w:rPr>
          <w:rFonts w:eastAsia="Palatino Linotype"/>
          <w:noProof/>
        </w:rPr>
        <w:lastRenderedPageBreak/>
        <w:drawing>
          <wp:inline distT="0" distB="0" distL="0" distR="0" wp14:anchorId="18127443" wp14:editId="1702E856">
            <wp:extent cx="5745280" cy="2535618"/>
            <wp:effectExtent l="0" t="0" r="8255" b="0"/>
            <wp:docPr id="2" name="Рисунок 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131" cy="25505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19A1A5" w14:textId="67290E91" w:rsidR="00FE2059" w:rsidRPr="00FE2059" w:rsidRDefault="00FE2059" w:rsidP="00FE2059">
      <w:pPr>
        <w:pStyle w:val="MDPI51figurecaption"/>
        <w:rPr>
          <w:rFonts w:eastAsia="Palatino Linotype"/>
        </w:rPr>
      </w:pPr>
      <w:bookmarkStart w:id="3" w:name="_Hlk109034764"/>
      <w:bookmarkStart w:id="4" w:name="_Hlk108459976"/>
      <w:r w:rsidRPr="00FE2059">
        <w:rPr>
          <w:rFonts w:eastAsia="Palatino Linotype"/>
          <w:b/>
        </w:rPr>
        <w:t xml:space="preserve">Figure S2. </w:t>
      </w:r>
      <w:r w:rsidRPr="00FE2059">
        <w:rPr>
          <w:rFonts w:eastAsia="Palatino Linotype"/>
        </w:rPr>
        <w:t>(</w:t>
      </w:r>
      <w:r w:rsidRPr="00602D05">
        <w:rPr>
          <w:rFonts w:eastAsia="Palatino Linotype"/>
          <w:b/>
          <w:bCs/>
        </w:rPr>
        <w:t>A</w:t>
      </w:r>
      <w:r w:rsidRPr="00FE2059">
        <w:rPr>
          <w:rFonts w:eastAsia="Palatino Linotype"/>
        </w:rPr>
        <w:t>) Comparison of the amino acid sequences of two legumes defensins – lentil Lc-def and pea Psd1. Identical and similar amino acids are shown in green and blue, respectively. %I, percentage of sequence identity. (</w:t>
      </w:r>
      <w:r w:rsidRPr="00602D05">
        <w:rPr>
          <w:rFonts w:eastAsia="Palatino Linotype"/>
          <w:b/>
          <w:bCs/>
        </w:rPr>
        <w:t>B</w:t>
      </w:r>
      <w:r w:rsidRPr="00FE2059">
        <w:rPr>
          <w:rFonts w:eastAsia="Palatino Linotype"/>
        </w:rPr>
        <w:t xml:space="preserve">) ELISA with lentil Lc-def and pea Psd1 </w:t>
      </w:r>
      <w:bookmarkStart w:id="5" w:name="_Hlk108257535"/>
      <w:r w:rsidRPr="00FE2059">
        <w:rPr>
          <w:rFonts w:eastAsia="Palatino Linotype"/>
        </w:rPr>
        <w:t>using rabbit polyclonal anti-Lc-def antibodies</w:t>
      </w:r>
      <w:bookmarkEnd w:id="5"/>
      <w:r w:rsidRPr="00FE2059">
        <w:rPr>
          <w:rFonts w:eastAsia="Palatino Linotype"/>
        </w:rPr>
        <w:t>. Error bars represent standard deviation between technical replications. (</w:t>
      </w:r>
      <w:r w:rsidRPr="00602D05">
        <w:rPr>
          <w:rFonts w:eastAsia="Palatino Linotype"/>
          <w:b/>
          <w:bCs/>
        </w:rPr>
        <w:t>C</w:t>
      </w:r>
      <w:r w:rsidRPr="00FE2059">
        <w:rPr>
          <w:rFonts w:eastAsia="Palatino Linotype"/>
        </w:rPr>
        <w:t>) SDS-PAGE analysis or (</w:t>
      </w:r>
      <w:r w:rsidRPr="00602D05">
        <w:rPr>
          <w:rFonts w:eastAsia="Palatino Linotype"/>
          <w:b/>
          <w:bCs/>
        </w:rPr>
        <w:t>D</w:t>
      </w:r>
      <w:r w:rsidRPr="00FE2059">
        <w:rPr>
          <w:rFonts w:eastAsia="Palatino Linotype"/>
        </w:rPr>
        <w:t>) immunoblotting with rabbit polyclonal anti-Lc-def antibodies of Lc-def in the absence (</w:t>
      </w:r>
      <w:r w:rsidRPr="00602D05">
        <w:rPr>
          <w:rFonts w:eastAsia="Palatino Linotype"/>
          <w:b/>
          <w:bCs/>
        </w:rPr>
        <w:t>1</w:t>
      </w:r>
      <w:r w:rsidRPr="00FE2059">
        <w:rPr>
          <w:rFonts w:eastAsia="Palatino Linotype"/>
        </w:rPr>
        <w:t>) or present (</w:t>
      </w:r>
      <w:r w:rsidRPr="00602D05">
        <w:rPr>
          <w:rFonts w:eastAsia="Palatino Linotype"/>
          <w:b/>
          <w:bCs/>
        </w:rPr>
        <w:t>2</w:t>
      </w:r>
      <w:r w:rsidRPr="00FE2059">
        <w:rPr>
          <w:rFonts w:eastAsia="Palatino Linotype"/>
        </w:rPr>
        <w:t xml:space="preserve">) of </w:t>
      </w:r>
      <w:r w:rsidRPr="00FE2059">
        <w:rPr>
          <w:rFonts w:eastAsia="Palatino Linotype" w:cs="Arial"/>
        </w:rPr>
        <w:t xml:space="preserve">BME </w:t>
      </w:r>
      <w:r w:rsidRPr="00FE2059">
        <w:rPr>
          <w:rFonts w:eastAsia="Palatino Linotype"/>
        </w:rPr>
        <w:t xml:space="preserve">and lysate of </w:t>
      </w:r>
      <w:r w:rsidRPr="00FE2059">
        <w:rPr>
          <w:rFonts w:eastAsia="Palatino Linotype"/>
          <w:i/>
          <w:iCs/>
        </w:rPr>
        <w:t>E. coli</w:t>
      </w:r>
      <w:r w:rsidRPr="00FE2059">
        <w:rPr>
          <w:rFonts w:eastAsia="Palatino Linotype"/>
        </w:rPr>
        <w:t xml:space="preserve"> cells (</w:t>
      </w:r>
      <w:r w:rsidRPr="00602D05">
        <w:rPr>
          <w:rFonts w:eastAsia="Palatino Linotype"/>
          <w:b/>
          <w:bCs/>
        </w:rPr>
        <w:t>3</w:t>
      </w:r>
      <w:r w:rsidRPr="00FE2059">
        <w:rPr>
          <w:rFonts w:eastAsia="Palatino Linotype"/>
        </w:rPr>
        <w:t>) expressing the fusion protein 8His-Trxl-Lc-def (MW 19kDa).</w:t>
      </w:r>
      <w:bookmarkEnd w:id="3"/>
    </w:p>
    <w:bookmarkEnd w:id="4"/>
    <w:p w14:paraId="575AED1D" w14:textId="77777777" w:rsidR="00FE2059" w:rsidRPr="00FE2059" w:rsidRDefault="00FE2059" w:rsidP="00FE2059">
      <w:pPr>
        <w:ind w:left="0" w:hanging="2"/>
        <w:rPr>
          <w:rFonts w:ascii="Palatino Linotype" w:eastAsia="Palatino Linotype" w:hAnsi="Palatino Linotype" w:cs="Palatino Linotype"/>
          <w:color w:val="000000"/>
          <w:sz w:val="20"/>
          <w:szCs w:val="20"/>
        </w:rPr>
      </w:pPr>
    </w:p>
    <w:p w14:paraId="564757E3" w14:textId="77777777" w:rsidR="00FE2059" w:rsidRPr="00FE2059" w:rsidRDefault="00FE2059" w:rsidP="00FE2059">
      <w:pPr>
        <w:pStyle w:val="MDPI52figure"/>
      </w:pPr>
      <w:r w:rsidRPr="00FE2059">
        <w:rPr>
          <w:noProof/>
        </w:rPr>
        <w:drawing>
          <wp:inline distT="0" distB="0" distL="0" distR="0" wp14:anchorId="6597F558" wp14:editId="11AC2376">
            <wp:extent cx="5921862" cy="1958422"/>
            <wp:effectExtent l="0" t="0" r="3175" b="3810"/>
            <wp:docPr id="5" name="Рисунок 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485" cy="1981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037DF4" w14:textId="03B1E256" w:rsidR="00FE2059" w:rsidRPr="00FE2059" w:rsidRDefault="00FE2059" w:rsidP="00FE2059">
      <w:pPr>
        <w:pStyle w:val="MDPI51figurecaption"/>
        <w:rPr>
          <w:rFonts w:eastAsia="Palatino Linotype"/>
        </w:rPr>
      </w:pPr>
      <w:bookmarkStart w:id="6" w:name="_Hlk108545591"/>
      <w:r w:rsidRPr="00FE2059">
        <w:rPr>
          <w:rFonts w:eastAsia="Palatino Linotype"/>
          <w:b/>
        </w:rPr>
        <w:t xml:space="preserve">Figure S3. </w:t>
      </w:r>
      <w:r w:rsidRPr="00FE2059">
        <w:rPr>
          <w:rFonts w:eastAsia="Palatino Linotype"/>
        </w:rPr>
        <w:t>(</w:t>
      </w:r>
      <w:r w:rsidRPr="00602D05">
        <w:rPr>
          <w:rFonts w:eastAsia="Palatino Linotype"/>
          <w:b/>
          <w:bCs/>
        </w:rPr>
        <w:t>A</w:t>
      </w:r>
      <w:r w:rsidRPr="00FE2059">
        <w:rPr>
          <w:rFonts w:eastAsia="Palatino Linotype"/>
        </w:rPr>
        <w:t xml:space="preserve">) The growth of the clinical isolate of </w:t>
      </w:r>
      <w:r w:rsidRPr="00FE2059">
        <w:rPr>
          <w:rFonts w:eastAsia="Palatino Linotype"/>
          <w:i/>
          <w:iCs/>
        </w:rPr>
        <w:t xml:space="preserve">C. albicans </w:t>
      </w:r>
      <w:r w:rsidRPr="00FE2059">
        <w:rPr>
          <w:rFonts w:eastAsia="Palatino Linotype"/>
        </w:rPr>
        <w:t>in the presence of different concentrations of lentil lipid transfer protein Lc-LTP2 (100, 50, 25, 12.5, 6.25, 3.125 and 1.56 μM).</w:t>
      </w:r>
      <w:r w:rsidRPr="00FE2059">
        <w:t xml:space="preserve"> </w:t>
      </w:r>
      <w:r w:rsidRPr="00FE2059">
        <w:rPr>
          <w:rFonts w:eastAsia="Palatino Linotype"/>
        </w:rPr>
        <w:t>Asterisk (red) shows optical density of the control without peptide. (</w:t>
      </w:r>
      <w:r w:rsidRPr="00602D05">
        <w:rPr>
          <w:rFonts w:eastAsia="Palatino Linotype"/>
          <w:b/>
          <w:bCs/>
        </w:rPr>
        <w:t>B</w:t>
      </w:r>
      <w:r w:rsidRPr="00FE2059">
        <w:rPr>
          <w:rFonts w:eastAsia="Palatino Linotype"/>
        </w:rPr>
        <w:t>) Hemolytic assay of different concentrations of Lc-def and melittin as positive control. Error bars represent standard deviation between technical replications.</w:t>
      </w:r>
    </w:p>
    <w:p w14:paraId="4303AEFD" w14:textId="77777777" w:rsidR="00FE2059" w:rsidRPr="00FE2059" w:rsidRDefault="00FE2059" w:rsidP="00FE2059">
      <w:pPr>
        <w:ind w:left="0" w:hanging="2"/>
      </w:pPr>
    </w:p>
    <w:bookmarkEnd w:id="6"/>
    <w:p w14:paraId="7F5D0655" w14:textId="77777777" w:rsidR="00FE2059" w:rsidRPr="00FE2059" w:rsidRDefault="00FE2059" w:rsidP="00FE2059">
      <w:pPr>
        <w:pStyle w:val="MDPI52figure"/>
        <w:rPr>
          <w:lang w:val="ru-RU"/>
        </w:rPr>
      </w:pPr>
      <w:r w:rsidRPr="00FE2059">
        <w:rPr>
          <w:noProof/>
          <w:lang w:val="ru-RU"/>
        </w:rPr>
        <w:lastRenderedPageBreak/>
        <w:drawing>
          <wp:inline distT="0" distB="0" distL="0" distR="0" wp14:anchorId="13D92E53" wp14:editId="0DD2F26F">
            <wp:extent cx="5940425" cy="4929129"/>
            <wp:effectExtent l="0" t="0" r="3175" b="5080"/>
            <wp:docPr id="33" name="Рисунок 3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025" cy="4949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C8F6B2" w14:textId="4D1346BA" w:rsidR="00FE2059" w:rsidRPr="00494B14" w:rsidRDefault="00FE2059" w:rsidP="00FE2059">
      <w:pPr>
        <w:pStyle w:val="MDPI51figurecaption"/>
        <w:rPr>
          <w:rFonts w:eastAsia="Palatino Linotype"/>
        </w:rPr>
      </w:pPr>
      <w:r w:rsidRPr="00FE2059">
        <w:rPr>
          <w:rFonts w:eastAsia="Palatino Linotype"/>
          <w:b/>
        </w:rPr>
        <w:t xml:space="preserve">Figure S4. </w:t>
      </w:r>
      <w:r w:rsidRPr="00FE2059">
        <w:rPr>
          <w:rFonts w:eastAsia="Palatino Linotype"/>
        </w:rPr>
        <w:t>(</w:t>
      </w:r>
      <w:r w:rsidRPr="00602D05">
        <w:rPr>
          <w:rFonts w:eastAsia="Palatino Linotype"/>
          <w:b/>
          <w:bCs/>
        </w:rPr>
        <w:t>A</w:t>
      </w:r>
      <w:r w:rsidRPr="00FE2059">
        <w:rPr>
          <w:rFonts w:eastAsia="Palatino Linotype"/>
        </w:rPr>
        <w:t>) Effect of heating on the sensitivity of Lc-def to digestive enzymes as detected by means of RP-HPLC on Luna C</w:t>
      </w:r>
      <w:r w:rsidRPr="00FE2059">
        <w:rPr>
          <w:rFonts w:eastAsia="Palatino Linotype"/>
          <w:vertAlign w:val="subscript"/>
        </w:rPr>
        <w:t>18</w:t>
      </w:r>
      <w:r w:rsidRPr="00FE2059">
        <w:rPr>
          <w:rFonts w:eastAsia="Palatino Linotype"/>
        </w:rPr>
        <w:t xml:space="preserve"> column</w:t>
      </w:r>
      <w:r w:rsidRPr="00FE2059">
        <w:t xml:space="preserve"> </w:t>
      </w:r>
      <w:r w:rsidRPr="00FE2059">
        <w:rPr>
          <w:rFonts w:eastAsia="Palatino Linotype"/>
        </w:rPr>
        <w:t xml:space="preserve">(5 μm, 250 × 4.6 mm; Phenomenex) at a flow rate of 0.5 mL/min, using a linear gradient of acetonitrile concentration from 5 to 80% for 60 min in 0.1% trifluoroacetic acid (0 ‘ and 120’ p— pepsin digestion </w:t>
      </w:r>
      <w:bookmarkStart w:id="7" w:name="_Hlk108682378"/>
      <w:r w:rsidRPr="00FE2059">
        <w:rPr>
          <w:rFonts w:eastAsia="Palatino Linotype"/>
        </w:rPr>
        <w:t>during 10 s and 120 mi</w:t>
      </w:r>
      <w:bookmarkEnd w:id="7"/>
      <w:r w:rsidRPr="00FE2059">
        <w:rPr>
          <w:rFonts w:eastAsia="Palatino Linotype"/>
        </w:rPr>
        <w:t>n; 120’ and 24 h p+ch —subsequent digestion by mixture trypsin/α-chymotrypsin</w:t>
      </w:r>
      <w:r w:rsidRPr="00FE2059">
        <w:t xml:space="preserve"> </w:t>
      </w:r>
      <w:r w:rsidRPr="00FE2059">
        <w:rPr>
          <w:rFonts w:eastAsia="Palatino Linotype"/>
        </w:rPr>
        <w:t>during 120 min and 24 h). (</w:t>
      </w:r>
      <w:r w:rsidRPr="00602D05">
        <w:rPr>
          <w:rFonts w:eastAsia="Palatino Linotype"/>
          <w:b/>
          <w:bCs/>
        </w:rPr>
        <w:t>B</w:t>
      </w:r>
      <w:r w:rsidRPr="00FE2059">
        <w:rPr>
          <w:rFonts w:eastAsia="Palatino Linotype"/>
        </w:rPr>
        <w:t>)</w:t>
      </w:r>
      <w:r w:rsidRPr="00FE2059">
        <w:t xml:space="preserve"> </w:t>
      </w:r>
      <w:r w:rsidRPr="00FE2059">
        <w:rPr>
          <w:rFonts w:eastAsia="Palatino Linotype"/>
        </w:rPr>
        <w:t>MALDI mass spectra of the RP-HPLC fractions (from 28, 31 and 33 min) of Lc-def digests.</w:t>
      </w:r>
    </w:p>
    <w:p w14:paraId="6EACE267" w14:textId="77777777" w:rsidR="00FE2059" w:rsidRDefault="00FE2059" w:rsidP="00FE2059">
      <w:pPr>
        <w:pBdr>
          <w:top w:val="nil"/>
          <w:left w:val="nil"/>
          <w:bottom w:val="nil"/>
          <w:right w:val="nil"/>
          <w:between w:val="nil"/>
        </w:pBdr>
        <w:spacing w:before="240" w:line="257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0"/>
          <w:szCs w:val="20"/>
        </w:rPr>
      </w:pPr>
    </w:p>
    <w:p w14:paraId="23DA85E3" w14:textId="14A00D7A" w:rsidR="007D6959" w:rsidRPr="00FE2059" w:rsidRDefault="007D6959" w:rsidP="00FE2059">
      <w:pPr>
        <w:ind w:left="0" w:hanging="2"/>
      </w:pPr>
    </w:p>
    <w:sectPr w:rsidR="007D6959" w:rsidRPr="00FE2059" w:rsidSect="00715E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05D91" w14:textId="77777777" w:rsidR="0085421C" w:rsidRDefault="0085421C">
      <w:pPr>
        <w:spacing w:line="240" w:lineRule="auto"/>
        <w:ind w:left="0" w:hanging="2"/>
      </w:pPr>
      <w:r>
        <w:separator/>
      </w:r>
    </w:p>
  </w:endnote>
  <w:endnote w:type="continuationSeparator" w:id="0">
    <w:p w14:paraId="02C33827" w14:textId="77777777" w:rsidR="0085421C" w:rsidRDefault="0085421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AF79" w14:textId="77777777" w:rsidR="002D18FE" w:rsidRDefault="002D18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46A9" w14:textId="77777777" w:rsidR="00003763" w:rsidRPr="00875983" w:rsidRDefault="00003763" w:rsidP="00003763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B470" w14:textId="5ED256AC" w:rsidR="00003763" w:rsidRPr="00FE2059" w:rsidRDefault="00003763" w:rsidP="004A5EC8">
    <w:pPr>
      <w:tabs>
        <w:tab w:val="right" w:pos="10466"/>
      </w:tabs>
      <w:adjustRightInd w:val="0"/>
      <w:snapToGrid w:val="0"/>
      <w:spacing w:line="240" w:lineRule="auto"/>
      <w:ind w:left="0" w:hanging="2"/>
      <w:rPr>
        <w:rFonts w:ascii="Palatino Linotype" w:hAnsi="Palatino Linotype"/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3CFAB" w14:textId="77777777" w:rsidR="0085421C" w:rsidRDefault="0085421C">
      <w:pPr>
        <w:spacing w:line="240" w:lineRule="auto"/>
        <w:ind w:left="0" w:hanging="2"/>
      </w:pPr>
      <w:r>
        <w:separator/>
      </w:r>
    </w:p>
  </w:footnote>
  <w:footnote w:type="continuationSeparator" w:id="0">
    <w:p w14:paraId="551938A8" w14:textId="77777777" w:rsidR="0085421C" w:rsidRDefault="0085421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2851E" w14:textId="77777777" w:rsidR="00003763" w:rsidRDefault="00003763" w:rsidP="00003763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DDF7" w14:textId="77777777" w:rsidR="00003763" w:rsidRPr="00651818" w:rsidRDefault="00003763" w:rsidP="009D49A3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ind w:left="0" w:hanging="2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6D7FF9" w:rsidRPr="004A5EC8" w14:paraId="2315E567" w14:textId="77777777" w:rsidTr="00F47E1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3AE4A320" w14:textId="77777777" w:rsidR="006D7FF9" w:rsidRPr="00F525CA" w:rsidRDefault="00B40E72" w:rsidP="004A5EC8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F525CA">
            <w:rPr>
              <w:rFonts w:eastAsia="DengXian"/>
              <w:b/>
              <w:bCs/>
            </w:rPr>
            <w:drawing>
              <wp:inline distT="0" distB="0" distL="0" distR="0" wp14:anchorId="2D4E879A" wp14:editId="38B4F231">
                <wp:extent cx="1676400" cy="436245"/>
                <wp:effectExtent l="0" t="0" r="0" b="0"/>
                <wp:docPr id="1" name="Picture 3" descr="C:\Users\home\AppData\Local\Temp\HZ$D.082.3350\membrane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082.3350\membrane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7052D6EB" w14:textId="77777777" w:rsidR="006D7FF9" w:rsidRPr="00F525CA" w:rsidRDefault="006D7FF9" w:rsidP="004A5EC8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50BDC79" w14:textId="77777777" w:rsidR="006D7FF9" w:rsidRPr="00F525CA" w:rsidRDefault="00F47E1C" w:rsidP="00F47E1C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10BC1413" wp14:editId="1A5AE151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A0E52EC" w14:textId="77777777" w:rsidR="00003763" w:rsidRPr="006D7FF9" w:rsidRDefault="00003763" w:rsidP="009D49A3">
    <w:pPr>
      <w:pBdr>
        <w:bottom w:val="single" w:sz="4" w:space="1" w:color="000000"/>
      </w:pBdr>
      <w:adjustRightInd w:val="0"/>
      <w:snapToGrid w:val="0"/>
      <w:spacing w:line="100" w:lineRule="exact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BD6A0076"/>
    <w:lvl w:ilvl="0" w:tplc="76423E4E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EDE7720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B23CE"/>
    <w:multiLevelType w:val="hybridMultilevel"/>
    <w:tmpl w:val="FB349BDC"/>
    <w:lvl w:ilvl="0" w:tplc="FAC4B6BC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26D74B6"/>
    <w:multiLevelType w:val="hybridMultilevel"/>
    <w:tmpl w:val="1CBCDC74"/>
    <w:lvl w:ilvl="0" w:tplc="71B0111E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0CC88FD0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36CEB"/>
    <w:multiLevelType w:val="hybridMultilevel"/>
    <w:tmpl w:val="E3F81FF2"/>
    <w:lvl w:ilvl="0" w:tplc="F150111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248417">
    <w:abstractNumId w:val="4"/>
  </w:num>
  <w:num w:numId="2" w16cid:durableId="288821886">
    <w:abstractNumId w:val="7"/>
  </w:num>
  <w:num w:numId="3" w16cid:durableId="463886527">
    <w:abstractNumId w:val="3"/>
  </w:num>
  <w:num w:numId="4" w16cid:durableId="1035816111">
    <w:abstractNumId w:val="5"/>
  </w:num>
  <w:num w:numId="5" w16cid:durableId="694497699">
    <w:abstractNumId w:val="10"/>
  </w:num>
  <w:num w:numId="6" w16cid:durableId="1535922128">
    <w:abstractNumId w:val="2"/>
  </w:num>
  <w:num w:numId="7" w16cid:durableId="266541408">
    <w:abstractNumId w:val="10"/>
  </w:num>
  <w:num w:numId="8" w16cid:durableId="1481074797">
    <w:abstractNumId w:val="2"/>
  </w:num>
  <w:num w:numId="9" w16cid:durableId="1306861747">
    <w:abstractNumId w:val="10"/>
  </w:num>
  <w:num w:numId="10" w16cid:durableId="1437360054">
    <w:abstractNumId w:val="2"/>
  </w:num>
  <w:num w:numId="11" w16cid:durableId="17820644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537260">
    <w:abstractNumId w:val="0"/>
  </w:num>
  <w:num w:numId="13" w16cid:durableId="2071884806">
    <w:abstractNumId w:val="11"/>
  </w:num>
  <w:num w:numId="14" w16cid:durableId="1547790276">
    <w:abstractNumId w:val="13"/>
  </w:num>
  <w:num w:numId="15" w16cid:durableId="1079712090">
    <w:abstractNumId w:val="10"/>
  </w:num>
  <w:num w:numId="16" w16cid:durableId="752891408">
    <w:abstractNumId w:val="2"/>
  </w:num>
  <w:num w:numId="17" w16cid:durableId="871235754">
    <w:abstractNumId w:val="1"/>
  </w:num>
  <w:num w:numId="18" w16cid:durableId="1326477658">
    <w:abstractNumId w:val="9"/>
  </w:num>
  <w:num w:numId="19" w16cid:durableId="139688403">
    <w:abstractNumId w:val="0"/>
  </w:num>
  <w:num w:numId="20" w16cid:durableId="843590417">
    <w:abstractNumId w:val="10"/>
  </w:num>
  <w:num w:numId="21" w16cid:durableId="1171916666">
    <w:abstractNumId w:val="2"/>
  </w:num>
  <w:num w:numId="22" w16cid:durableId="1882789788">
    <w:abstractNumId w:val="1"/>
  </w:num>
  <w:num w:numId="23" w16cid:durableId="250553531">
    <w:abstractNumId w:val="6"/>
  </w:num>
  <w:num w:numId="24" w16cid:durableId="916475879">
    <w:abstractNumId w:val="12"/>
  </w:num>
  <w:num w:numId="25" w16cid:durableId="9249928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59"/>
    <w:rsid w:val="00003763"/>
    <w:rsid w:val="00031B6B"/>
    <w:rsid w:val="000407BF"/>
    <w:rsid w:val="00062B21"/>
    <w:rsid w:val="00080A08"/>
    <w:rsid w:val="0008707A"/>
    <w:rsid w:val="00091DEF"/>
    <w:rsid w:val="0009258E"/>
    <w:rsid w:val="00096978"/>
    <w:rsid w:val="000B7B71"/>
    <w:rsid w:val="000C0B40"/>
    <w:rsid w:val="000D6E38"/>
    <w:rsid w:val="00140FA8"/>
    <w:rsid w:val="0014750B"/>
    <w:rsid w:val="00167F6F"/>
    <w:rsid w:val="00187D84"/>
    <w:rsid w:val="001A536C"/>
    <w:rsid w:val="001C1471"/>
    <w:rsid w:val="001E2AEB"/>
    <w:rsid w:val="00217505"/>
    <w:rsid w:val="002303E6"/>
    <w:rsid w:val="00234AA6"/>
    <w:rsid w:val="00235C86"/>
    <w:rsid w:val="00267DBF"/>
    <w:rsid w:val="002979E1"/>
    <w:rsid w:val="002A0923"/>
    <w:rsid w:val="002A24F9"/>
    <w:rsid w:val="002A5CA9"/>
    <w:rsid w:val="002C7154"/>
    <w:rsid w:val="002D18FE"/>
    <w:rsid w:val="002D68AE"/>
    <w:rsid w:val="002E5F0D"/>
    <w:rsid w:val="002F2043"/>
    <w:rsid w:val="0032421E"/>
    <w:rsid w:val="00326141"/>
    <w:rsid w:val="00345A6B"/>
    <w:rsid w:val="003646C2"/>
    <w:rsid w:val="00374C17"/>
    <w:rsid w:val="00390330"/>
    <w:rsid w:val="00393114"/>
    <w:rsid w:val="003A05E4"/>
    <w:rsid w:val="003E7886"/>
    <w:rsid w:val="003F591A"/>
    <w:rsid w:val="00401D30"/>
    <w:rsid w:val="004022FE"/>
    <w:rsid w:val="00404931"/>
    <w:rsid w:val="00417700"/>
    <w:rsid w:val="00450CC4"/>
    <w:rsid w:val="00476730"/>
    <w:rsid w:val="004810D5"/>
    <w:rsid w:val="004950CC"/>
    <w:rsid w:val="004A5EC8"/>
    <w:rsid w:val="00512E32"/>
    <w:rsid w:val="005364C6"/>
    <w:rsid w:val="005405C6"/>
    <w:rsid w:val="0054184C"/>
    <w:rsid w:val="00553017"/>
    <w:rsid w:val="005604E8"/>
    <w:rsid w:val="0056206C"/>
    <w:rsid w:val="00584072"/>
    <w:rsid w:val="005B44FC"/>
    <w:rsid w:val="005E51F3"/>
    <w:rsid w:val="00602D05"/>
    <w:rsid w:val="00613915"/>
    <w:rsid w:val="006210C7"/>
    <w:rsid w:val="00662499"/>
    <w:rsid w:val="006722CB"/>
    <w:rsid w:val="006816FC"/>
    <w:rsid w:val="00684CE9"/>
    <w:rsid w:val="006850F7"/>
    <w:rsid w:val="006858A3"/>
    <w:rsid w:val="00687C0B"/>
    <w:rsid w:val="00692393"/>
    <w:rsid w:val="006C40B2"/>
    <w:rsid w:val="006C4E8A"/>
    <w:rsid w:val="006D7FF9"/>
    <w:rsid w:val="006E59B4"/>
    <w:rsid w:val="006F5293"/>
    <w:rsid w:val="00715ED5"/>
    <w:rsid w:val="007235F2"/>
    <w:rsid w:val="00726430"/>
    <w:rsid w:val="00774319"/>
    <w:rsid w:val="007772CC"/>
    <w:rsid w:val="007B47C6"/>
    <w:rsid w:val="007B5467"/>
    <w:rsid w:val="007D1202"/>
    <w:rsid w:val="007D6959"/>
    <w:rsid w:val="0080326F"/>
    <w:rsid w:val="008235EE"/>
    <w:rsid w:val="008316C8"/>
    <w:rsid w:val="00853B80"/>
    <w:rsid w:val="0085421C"/>
    <w:rsid w:val="00877FBC"/>
    <w:rsid w:val="0088321E"/>
    <w:rsid w:val="008A24C2"/>
    <w:rsid w:val="008D62E4"/>
    <w:rsid w:val="008E200A"/>
    <w:rsid w:val="00907314"/>
    <w:rsid w:val="00925602"/>
    <w:rsid w:val="00952E53"/>
    <w:rsid w:val="0095527D"/>
    <w:rsid w:val="00970620"/>
    <w:rsid w:val="009B0BDB"/>
    <w:rsid w:val="009D49A3"/>
    <w:rsid w:val="009E5443"/>
    <w:rsid w:val="009F5518"/>
    <w:rsid w:val="009F5D13"/>
    <w:rsid w:val="009F70E6"/>
    <w:rsid w:val="00A20AAC"/>
    <w:rsid w:val="00A348AF"/>
    <w:rsid w:val="00A613A4"/>
    <w:rsid w:val="00A63568"/>
    <w:rsid w:val="00A72480"/>
    <w:rsid w:val="00A768CB"/>
    <w:rsid w:val="00A81550"/>
    <w:rsid w:val="00AC1369"/>
    <w:rsid w:val="00AD63F9"/>
    <w:rsid w:val="00AF6C9C"/>
    <w:rsid w:val="00B0282E"/>
    <w:rsid w:val="00B07A86"/>
    <w:rsid w:val="00B13EF6"/>
    <w:rsid w:val="00B14203"/>
    <w:rsid w:val="00B40E72"/>
    <w:rsid w:val="00B47A9D"/>
    <w:rsid w:val="00B677CD"/>
    <w:rsid w:val="00B846C8"/>
    <w:rsid w:val="00BA03E5"/>
    <w:rsid w:val="00BB10DA"/>
    <w:rsid w:val="00BB1AEA"/>
    <w:rsid w:val="00BE538A"/>
    <w:rsid w:val="00C148A3"/>
    <w:rsid w:val="00C22000"/>
    <w:rsid w:val="00C32621"/>
    <w:rsid w:val="00C622DC"/>
    <w:rsid w:val="00C63804"/>
    <w:rsid w:val="00C67C12"/>
    <w:rsid w:val="00C82056"/>
    <w:rsid w:val="00CB68A0"/>
    <w:rsid w:val="00CB754C"/>
    <w:rsid w:val="00CC5CF2"/>
    <w:rsid w:val="00CD14D1"/>
    <w:rsid w:val="00CE0F5C"/>
    <w:rsid w:val="00CE77A1"/>
    <w:rsid w:val="00D04A79"/>
    <w:rsid w:val="00D055C9"/>
    <w:rsid w:val="00D229C0"/>
    <w:rsid w:val="00D360CF"/>
    <w:rsid w:val="00D5629E"/>
    <w:rsid w:val="00D75847"/>
    <w:rsid w:val="00D85A92"/>
    <w:rsid w:val="00D861E2"/>
    <w:rsid w:val="00DF4A03"/>
    <w:rsid w:val="00DF59E3"/>
    <w:rsid w:val="00E029D8"/>
    <w:rsid w:val="00E212A1"/>
    <w:rsid w:val="00E255C2"/>
    <w:rsid w:val="00E807B9"/>
    <w:rsid w:val="00E80B68"/>
    <w:rsid w:val="00E86529"/>
    <w:rsid w:val="00EA57D3"/>
    <w:rsid w:val="00ED08AB"/>
    <w:rsid w:val="00F16C7B"/>
    <w:rsid w:val="00F2025E"/>
    <w:rsid w:val="00F37DC5"/>
    <w:rsid w:val="00F407C6"/>
    <w:rsid w:val="00F47E1C"/>
    <w:rsid w:val="00F525CA"/>
    <w:rsid w:val="00F5284D"/>
    <w:rsid w:val="00F63CB6"/>
    <w:rsid w:val="00F6601C"/>
    <w:rsid w:val="00F816E1"/>
    <w:rsid w:val="00F82986"/>
    <w:rsid w:val="00F845ED"/>
    <w:rsid w:val="00FB3E88"/>
    <w:rsid w:val="00FE2059"/>
    <w:rsid w:val="00FE3789"/>
    <w:rsid w:val="00FE514A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A824153"/>
  <w15:chartTrackingRefBased/>
  <w15:docId w15:val="{24BC6E02-9789-4EBE-AEBE-E4978948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059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eastAsia="Calibri" w:cs="Calibri"/>
      <w:position w:val="-1"/>
      <w:sz w:val="22"/>
      <w:szCs w:val="2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7D6959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7D695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7D6959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7D6959"/>
    <w:pPr>
      <w:suppressAutoHyphens w:val="0"/>
      <w:adjustRightInd w:val="0"/>
      <w:snapToGrid w:val="0"/>
      <w:spacing w:after="0" w:line="240" w:lineRule="atLeast"/>
      <w:ind w:leftChars="0" w:left="0" w:right="113" w:firstLineChars="0" w:firstLine="0"/>
      <w:textDirection w:val="lrTb"/>
      <w:textAlignment w:val="auto"/>
      <w:outlineLvl w:val="9"/>
    </w:pPr>
    <w:rPr>
      <w:rFonts w:ascii="Palatino Linotype" w:eastAsia="Times New Roman" w:hAnsi="Palatino Linotype" w:cs="Times New Roman"/>
      <w:color w:val="000000"/>
      <w:position w:val="0"/>
      <w:sz w:val="14"/>
      <w:szCs w:val="20"/>
      <w:lang w:eastAsia="de-DE" w:bidi="en-US"/>
    </w:rPr>
  </w:style>
  <w:style w:type="paragraph" w:customStyle="1" w:styleId="MDPI16affiliation">
    <w:name w:val="MDPI_1.6_affiliation"/>
    <w:qFormat/>
    <w:rsid w:val="007D695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7D695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7D695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7D6959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407C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7D695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D6959"/>
    <w:pPr>
      <w:tabs>
        <w:tab w:val="center" w:pos="4153"/>
        <w:tab w:val="right" w:pos="8306"/>
      </w:tabs>
      <w:suppressAutoHyphens w:val="0"/>
      <w:snapToGrid w:val="0"/>
      <w:spacing w:after="0" w:line="240" w:lineRule="atLeast"/>
      <w:ind w:leftChars="0" w:left="0" w:firstLineChars="0" w:firstLine="0"/>
      <w:jc w:val="both"/>
      <w:textDirection w:val="lrTb"/>
      <w:textAlignment w:val="auto"/>
      <w:outlineLvl w:val="9"/>
    </w:pPr>
    <w:rPr>
      <w:rFonts w:ascii="Palatino Linotype" w:eastAsia="SimSun" w:hAnsi="Palatino Linotype" w:cs="Times New Roman"/>
      <w:noProof/>
      <w:color w:val="000000"/>
      <w:position w:val="0"/>
      <w:sz w:val="20"/>
      <w:szCs w:val="18"/>
      <w:lang w:eastAsia="zh-CN"/>
    </w:rPr>
  </w:style>
  <w:style w:type="character" w:customStyle="1" w:styleId="FooterChar">
    <w:name w:val="Footer Char"/>
    <w:link w:val="Footer"/>
    <w:uiPriority w:val="99"/>
    <w:rsid w:val="007D6959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7D695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spacing w:after="0" w:line="24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Palatino Linotype" w:eastAsia="SimSun" w:hAnsi="Palatino Linotype" w:cs="Times New Roman"/>
      <w:noProof/>
      <w:color w:val="000000"/>
      <w:position w:val="0"/>
      <w:sz w:val="20"/>
      <w:szCs w:val="18"/>
      <w:lang w:eastAsia="zh-CN"/>
    </w:rPr>
  </w:style>
  <w:style w:type="character" w:customStyle="1" w:styleId="HeaderChar">
    <w:name w:val="Header Char"/>
    <w:link w:val="Header"/>
    <w:uiPriority w:val="99"/>
    <w:rsid w:val="007D6959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7D695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7D6959"/>
    <w:pPr>
      <w:ind w:firstLine="0"/>
    </w:pPr>
  </w:style>
  <w:style w:type="paragraph" w:customStyle="1" w:styleId="MDPI31text">
    <w:name w:val="MDPI_3.1_text"/>
    <w:qFormat/>
    <w:rsid w:val="00CE77A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7D6959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7D6959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7D695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7D6959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F47E1C"/>
    <w:pPr>
      <w:numPr>
        <w:numId w:val="2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F47E1C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7D695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7D6959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7D6959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40493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7D695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7D6959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7D695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7D695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7D695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7D6959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7D695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7D695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8E200A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7D6959"/>
    <w:pPr>
      <w:suppressAutoHyphens w:val="0"/>
      <w:spacing w:after="0" w:line="260" w:lineRule="atLeast"/>
      <w:ind w:leftChars="0" w:left="0" w:firstLineChars="0" w:firstLine="0"/>
      <w:jc w:val="both"/>
      <w:textDirection w:val="lrTb"/>
      <w:textAlignment w:val="auto"/>
      <w:outlineLvl w:val="9"/>
    </w:pPr>
    <w:rPr>
      <w:rFonts w:ascii="Palatino Linotype" w:eastAsia="SimSun" w:hAnsi="Palatino Linotype" w:cs="Tahoma"/>
      <w:noProof/>
      <w:color w:val="000000"/>
      <w:position w:val="0"/>
      <w:sz w:val="20"/>
      <w:szCs w:val="18"/>
      <w:lang w:eastAsia="zh-CN"/>
    </w:rPr>
  </w:style>
  <w:style w:type="character" w:customStyle="1" w:styleId="BalloonTextChar">
    <w:name w:val="Balloon Text Char"/>
    <w:link w:val="BalloonText"/>
    <w:uiPriority w:val="99"/>
    <w:rsid w:val="007D6959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B07A86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7D695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7D6959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348A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5604E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7D6959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7D6959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7D6959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6E59B4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7D6959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7D695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7D695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7D6959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7D695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7D695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7D695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7D6959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7D695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7D6959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7D695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7D6959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7D6959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7D695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7D6959"/>
  </w:style>
  <w:style w:type="paragraph" w:styleId="Bibliography">
    <w:name w:val="Bibliography"/>
    <w:basedOn w:val="Normal"/>
    <w:next w:val="Normal"/>
    <w:uiPriority w:val="37"/>
    <w:semiHidden/>
    <w:unhideWhenUsed/>
    <w:rsid w:val="007D6959"/>
    <w:pPr>
      <w:suppressAutoHyphens w:val="0"/>
      <w:spacing w:after="0" w:line="260" w:lineRule="atLeast"/>
      <w:ind w:leftChars="0" w:left="0" w:firstLineChars="0" w:firstLine="0"/>
      <w:jc w:val="both"/>
      <w:textDirection w:val="lrTb"/>
      <w:textAlignment w:val="auto"/>
      <w:outlineLvl w:val="9"/>
    </w:pPr>
    <w:rPr>
      <w:rFonts w:ascii="Palatino Linotype" w:eastAsia="SimSun" w:hAnsi="Palatino Linotype" w:cs="Times New Roman"/>
      <w:noProof/>
      <w:color w:val="000000"/>
      <w:position w:val="0"/>
      <w:sz w:val="20"/>
      <w:szCs w:val="20"/>
      <w:lang w:eastAsia="zh-CN"/>
    </w:rPr>
  </w:style>
  <w:style w:type="paragraph" w:styleId="BodyText">
    <w:name w:val="Body Text"/>
    <w:link w:val="BodyTextChar"/>
    <w:rsid w:val="007D6959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7D6959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7D6959"/>
    <w:rPr>
      <w:sz w:val="21"/>
      <w:szCs w:val="21"/>
    </w:rPr>
  </w:style>
  <w:style w:type="paragraph" w:styleId="CommentText">
    <w:name w:val="annotation text"/>
    <w:basedOn w:val="Normal"/>
    <w:link w:val="CommentTextChar"/>
    <w:rsid w:val="007D6959"/>
    <w:pPr>
      <w:suppressAutoHyphens w:val="0"/>
      <w:spacing w:after="0" w:line="260" w:lineRule="atLeast"/>
      <w:ind w:leftChars="0" w:left="0" w:firstLineChars="0" w:firstLine="0"/>
      <w:jc w:val="both"/>
      <w:textDirection w:val="lrTb"/>
      <w:textAlignment w:val="auto"/>
      <w:outlineLvl w:val="9"/>
    </w:pPr>
    <w:rPr>
      <w:rFonts w:ascii="Palatino Linotype" w:eastAsia="SimSun" w:hAnsi="Palatino Linotype" w:cs="Times New Roman"/>
      <w:noProof/>
      <w:color w:val="000000"/>
      <w:position w:val="0"/>
      <w:sz w:val="20"/>
      <w:szCs w:val="20"/>
      <w:lang w:eastAsia="zh-CN"/>
    </w:rPr>
  </w:style>
  <w:style w:type="character" w:customStyle="1" w:styleId="CommentTextChar">
    <w:name w:val="Comment Text Char"/>
    <w:link w:val="CommentText"/>
    <w:rsid w:val="007D6959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7D6959"/>
    <w:rPr>
      <w:b/>
      <w:bCs/>
    </w:rPr>
  </w:style>
  <w:style w:type="character" w:customStyle="1" w:styleId="CommentSubjectChar">
    <w:name w:val="Comment Subject Char"/>
    <w:link w:val="CommentSubject"/>
    <w:rsid w:val="007D6959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7D695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7D6959"/>
    <w:pPr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Palatino Linotype" w:eastAsia="SimSun" w:hAnsi="Palatino Linotype" w:cs="Times New Roman"/>
      <w:noProof/>
      <w:color w:val="000000"/>
      <w:position w:val="0"/>
      <w:sz w:val="20"/>
      <w:szCs w:val="20"/>
      <w:lang w:eastAsia="zh-CN"/>
    </w:rPr>
  </w:style>
  <w:style w:type="character" w:customStyle="1" w:styleId="EndnoteTextChar">
    <w:name w:val="Endnote Text Char"/>
    <w:link w:val="EndnoteText"/>
    <w:semiHidden/>
    <w:rsid w:val="007D6959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7D6959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7D6959"/>
    <w:pPr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Palatino Linotype" w:eastAsia="SimSun" w:hAnsi="Palatino Linotype" w:cs="Times New Roman"/>
      <w:noProof/>
      <w:color w:val="000000"/>
      <w:position w:val="0"/>
      <w:sz w:val="20"/>
      <w:szCs w:val="20"/>
      <w:lang w:eastAsia="zh-CN"/>
    </w:rPr>
  </w:style>
  <w:style w:type="character" w:customStyle="1" w:styleId="FootnoteTextChar">
    <w:name w:val="Footnote Text Char"/>
    <w:link w:val="FootnoteText"/>
    <w:semiHidden/>
    <w:rsid w:val="007D6959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7D6959"/>
    <w:pPr>
      <w:suppressAutoHyphens w:val="0"/>
      <w:spacing w:after="0" w:line="260" w:lineRule="atLeast"/>
      <w:ind w:leftChars="0" w:left="0" w:firstLineChars="0" w:firstLine="0"/>
      <w:jc w:val="both"/>
      <w:textDirection w:val="lrTb"/>
      <w:textAlignment w:val="auto"/>
      <w:outlineLvl w:val="9"/>
    </w:pPr>
    <w:rPr>
      <w:rFonts w:ascii="Palatino Linotype" w:eastAsia="SimSun" w:hAnsi="Palatino Linotype" w:cs="Times New Roman"/>
      <w:noProof/>
      <w:color w:val="000000"/>
      <w:position w:val="0"/>
      <w:sz w:val="20"/>
      <w:szCs w:val="24"/>
      <w:lang w:eastAsia="zh-CN"/>
    </w:rPr>
  </w:style>
  <w:style w:type="paragraph" w:customStyle="1" w:styleId="MsoFootnoteText0">
    <w:name w:val="MsoFootnoteText"/>
    <w:basedOn w:val="NormalWeb"/>
    <w:qFormat/>
    <w:rsid w:val="007D6959"/>
    <w:rPr>
      <w:rFonts w:ascii="Times New Roman" w:hAnsi="Times New Roman"/>
    </w:rPr>
  </w:style>
  <w:style w:type="character" w:styleId="PageNumber">
    <w:name w:val="page number"/>
    <w:rsid w:val="007D6959"/>
  </w:style>
  <w:style w:type="character" w:styleId="PlaceholderText">
    <w:name w:val="Placeholder Text"/>
    <w:uiPriority w:val="99"/>
    <w:semiHidden/>
    <w:rsid w:val="007D6959"/>
    <w:rPr>
      <w:color w:val="808080"/>
    </w:rPr>
  </w:style>
  <w:style w:type="paragraph" w:customStyle="1" w:styleId="MDPI71FootNotes">
    <w:name w:val="MDPI_7.1_FootNotes"/>
    <w:qFormat/>
    <w:rsid w:val="004022FE"/>
    <w:pPr>
      <w:numPr>
        <w:numId w:val="22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table" w:customStyle="1" w:styleId="1">
    <w:name w:val="Сетка таблицы1"/>
    <w:basedOn w:val="TableNormal"/>
    <w:next w:val="TableGrid"/>
    <w:uiPriority w:val="99"/>
    <w:rsid w:val="00FE2059"/>
    <w:rPr>
      <w:rFonts w:asciiTheme="minorHAnsi" w:eastAsia="Times New Roman" w:hAnsiTheme="minorHAns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MDPI%20dokumenta\Word%20docs\membranes-template.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membranes-template.new</Template>
  <TotalTime>3</TotalTime>
  <Pages>3</Pages>
  <Words>381</Words>
  <Characters>2307</Characters>
  <Application>Microsoft Office Word</Application>
  <DocSecurity>0</DocSecurity>
  <Lines>52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Admin</dc:creator>
  <cp:keywords/>
  <dc:description/>
  <cp:lastModifiedBy>Milica Vukelic</cp:lastModifiedBy>
  <cp:revision>5</cp:revision>
  <cp:lastPrinted>2022-08-16T07:25:00Z</cp:lastPrinted>
  <dcterms:created xsi:type="dcterms:W3CDTF">2022-08-31T10:38:00Z</dcterms:created>
  <dcterms:modified xsi:type="dcterms:W3CDTF">2022-09-01T13:11:00Z</dcterms:modified>
</cp:coreProperties>
</file>