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8E0" w:rsidRPr="00CD79A5" w:rsidRDefault="003758E0" w:rsidP="003758E0">
      <w:pPr>
        <w:jc w:val="center"/>
        <w:rPr>
          <w:rStyle w:val="SubtleEmphasis"/>
          <w:rFonts w:eastAsia="Malgun Gothic"/>
          <w:b/>
          <w:i w:val="0"/>
          <w:iCs w:val="0"/>
          <w:color w:val="auto"/>
          <w:sz w:val="24"/>
          <w:szCs w:val="24"/>
        </w:rPr>
      </w:pPr>
      <w:r w:rsidRPr="00CD79A5">
        <w:rPr>
          <w:rFonts w:eastAsia="Malgun Gothic"/>
          <w:b/>
          <w:sz w:val="24"/>
          <w:szCs w:val="24"/>
        </w:rPr>
        <w:t xml:space="preserve">Table S1. </w:t>
      </w:r>
      <w:r w:rsidRPr="00CD79A5">
        <w:rPr>
          <w:sz w:val="24"/>
          <w:szCs w:val="24"/>
        </w:rPr>
        <w:t>Baseline clinical, laboratory, angiographic, and procedural characteristics</w:t>
      </w:r>
    </w:p>
    <w:tbl>
      <w:tblPr>
        <w:tblW w:w="13751" w:type="dxa"/>
        <w:tblInd w:w="99" w:type="dxa"/>
        <w:shd w:val="clear" w:color="auto" w:fill="FFFFFF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86"/>
        <w:gridCol w:w="1984"/>
        <w:gridCol w:w="1843"/>
        <w:gridCol w:w="1134"/>
        <w:gridCol w:w="1985"/>
        <w:gridCol w:w="1985"/>
        <w:gridCol w:w="1134"/>
      </w:tblGrid>
      <w:tr w:rsidR="003758E0" w:rsidRPr="001704A6" w:rsidTr="003758E0">
        <w:trPr>
          <w:trHeight w:val="531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Variables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C-PCI</w:t>
            </w:r>
          </w:p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(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= 470)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 xml:space="preserve">CR </w:t>
            </w:r>
          </w:p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(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= 432)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  <w:i/>
              </w:rPr>
              <w:t>p</w:t>
            </w:r>
            <w:r w:rsidRPr="001704A6">
              <w:rPr>
                <w:rFonts w:eastAsia="Gulim"/>
                <w:bCs/>
              </w:rPr>
              <w:t xml:space="preserve"> value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C-PCI</w:t>
            </w:r>
          </w:p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(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= 470)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IR</w:t>
            </w:r>
          </w:p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(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= 140)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  <w:i/>
              </w:rPr>
              <w:t>p</w:t>
            </w:r>
            <w:r w:rsidRPr="001704A6">
              <w:rPr>
                <w:rFonts w:eastAsia="Gulim"/>
                <w:bCs/>
              </w:rPr>
              <w:t xml:space="preserve"> value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Age (years)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71.7 ± 9.7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71.3 ± 9.2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0.495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71.7 ± 9.7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71.2 ± 9.0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0.521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 xml:space="preserve"> ≥65 years,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364 (77.4)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328 (75.9)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0.589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364 (77.4)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106 (75.7)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0.669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 xml:space="preserve">Male,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278 (59.1)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217 (50.2)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0.007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278 (59.1)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81 (57.9)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0.785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LVEF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48.3 ± 12.6</w:t>
            </w:r>
          </w:p>
        </w:tc>
        <w:tc>
          <w:tcPr>
            <w:tcW w:w="1843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49.9 ± 12.7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0.054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48.3 ± 12.6</w:t>
            </w:r>
          </w:p>
        </w:tc>
        <w:tc>
          <w:tcPr>
            <w:tcW w:w="1985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46.1 ± 12.5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0.037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&lt;40%,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116 (24.7)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93 (21.5)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0.262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116 (24.7)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38 (27.1)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0.556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BMI (kg/m</w:t>
            </w:r>
            <w:r w:rsidRPr="001704A6">
              <w:rPr>
                <w:rFonts w:eastAsia="Gulim"/>
                <w:vertAlign w:val="superscript"/>
              </w:rPr>
              <w:t>2</w:t>
            </w:r>
            <w:r w:rsidRPr="001704A6">
              <w:rPr>
                <w:rFonts w:eastAsia="Gulim"/>
              </w:rPr>
              <w:t>)</w:t>
            </w:r>
          </w:p>
        </w:tc>
        <w:tc>
          <w:tcPr>
            <w:tcW w:w="198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23.6 ± 3.3</w:t>
            </w:r>
          </w:p>
        </w:tc>
        <w:tc>
          <w:tcPr>
            <w:tcW w:w="1843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23.9 ± 3.3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0.133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23.6 ± 3.3</w:t>
            </w:r>
          </w:p>
        </w:tc>
        <w:tc>
          <w:tcPr>
            <w:tcW w:w="1985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23.54 ±3.3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0.456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SBP (mmHg)</w:t>
            </w:r>
          </w:p>
        </w:tc>
        <w:tc>
          <w:tcPr>
            <w:tcW w:w="198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133.9 ± 30.1</w:t>
            </w:r>
          </w:p>
        </w:tc>
        <w:tc>
          <w:tcPr>
            <w:tcW w:w="1843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134.5 ± 29.3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0.762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133.9 ± 30.1</w:t>
            </w:r>
          </w:p>
        </w:tc>
        <w:tc>
          <w:tcPr>
            <w:tcW w:w="1985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135.3 ± 31.0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0.624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DBP (mmHg)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78.3 ± 16.6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78.1 ± 15.4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0.844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78.3 ± 16.6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78.3 ± 15.6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0.974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Killip class III,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83 (17.7)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75 (17.4)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0.930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83 (17.7)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26 (18.6)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0.802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Hypertension,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363 (77.2)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323 (74.8)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0.386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363 (77.2)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116 (82.9)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0.155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Diabetes mellitus</w:t>
            </w:r>
            <w:r w:rsidRPr="001704A6">
              <w:rPr>
                <w:rFonts w:eastAsia="Gulim"/>
                <w:bCs/>
              </w:rPr>
              <w:t xml:space="preserve">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247 (52.6)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234 (54.2)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0.628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247 (52.6)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91 (65.0)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0.009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Dyslipidemia,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294 (62.6)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294 (68.1)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0.083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294 (62.6)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84 (60.0)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0.585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Previous MI</w:t>
            </w:r>
            <w:r w:rsidRPr="001704A6">
              <w:rPr>
                <w:rFonts w:eastAsia="Gulim"/>
                <w:bCs/>
              </w:rPr>
              <w:t xml:space="preserve">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37 (7.9)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33 (7.6)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0.902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37 (7.9)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 (10.7)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0.302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Previous PCI</w:t>
            </w:r>
            <w:r w:rsidRPr="001704A6">
              <w:rPr>
                <w:rFonts w:eastAsia="Gulim"/>
                <w:bCs/>
              </w:rPr>
              <w:t xml:space="preserve">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71 (15.1)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42 (9.7)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0.016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71 (15.1)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26 (18.6)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0.325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Previous CABG</w:t>
            </w:r>
            <w:r w:rsidRPr="001704A6">
              <w:rPr>
                <w:rFonts w:eastAsia="Gulim"/>
                <w:bCs/>
              </w:rPr>
              <w:t xml:space="preserve">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11 (2.3)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 (0.7)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0.059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11 (2.3)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 (3.6)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0.382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Previous HF,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22 (4.7)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 (4.2)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0.748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22 (4.7)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 (5.0)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0.824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Previous CVA</w:t>
            </w:r>
            <w:r w:rsidRPr="001704A6">
              <w:rPr>
                <w:rFonts w:eastAsia="Gulim"/>
                <w:bCs/>
              </w:rPr>
              <w:t xml:space="preserve">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72 (15.3)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54 (12.5)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0.249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72 (15.3)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19 (13.6)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0.686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Current smokers,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98 (20.9)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80 (18.5)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0.403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98 (20.9)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23 (16.4)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0.278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Peak CK-MB (mg/dL)</w:t>
            </w:r>
          </w:p>
        </w:tc>
        <w:tc>
          <w:tcPr>
            <w:tcW w:w="198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61.1 ± 96.8</w:t>
            </w:r>
          </w:p>
        </w:tc>
        <w:tc>
          <w:tcPr>
            <w:tcW w:w="1843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47.6 ± 75.9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0.035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61.1 ± 96.8</w:t>
            </w:r>
          </w:p>
        </w:tc>
        <w:tc>
          <w:tcPr>
            <w:tcW w:w="1985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52.5 ± 94.5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0.368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Peak troponin-I (ng/mL)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35.6 ± 91.5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24.4 ± 60.0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0.084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35.6 ± 91.5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34.3 ± 88.7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0.834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NT-ProBNP (pg/mL)</w:t>
            </w:r>
          </w:p>
        </w:tc>
        <w:tc>
          <w:tcPr>
            <w:tcW w:w="198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7027.3 ± 9781.9</w:t>
            </w:r>
          </w:p>
        </w:tc>
        <w:tc>
          <w:tcPr>
            <w:tcW w:w="1843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5825.1 ± 8862.6 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0.069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7027.3 ± 9781.9</w:t>
            </w:r>
          </w:p>
        </w:tc>
        <w:tc>
          <w:tcPr>
            <w:tcW w:w="1985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7015.4 ± 8725.4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0.765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Hs-CRP (mg/dL)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9.4 ± 32.9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10.8 ± 45.8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0.600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9.4 ± 32.9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5.5 ± 17.4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0.067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Serum creatinine (mg/L)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2.41 ± 2.45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2.32 ± 2.64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0.621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2.41 ± 2.45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2.45 ± 2.58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0.883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eGFR, mL/min/1.73m</w:t>
            </w:r>
            <w:r w:rsidRPr="001704A6">
              <w:rPr>
                <w:rFonts w:eastAsia="Gulim"/>
                <w:vertAlign w:val="superscript"/>
              </w:rPr>
              <w:t>2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39.6 ± 16.7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40.8 ± 16.5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0.305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39.6 ± 16.7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38.3 ± 16.8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0.390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bookmarkStart w:id="0" w:name="_GoBack" w:colFirst="6" w:colLast="6"/>
            <w:r w:rsidRPr="001704A6">
              <w:rPr>
                <w:rFonts w:eastAsia="Gulim"/>
              </w:rPr>
              <w:lastRenderedPageBreak/>
              <w:t>Blood glucose (mg/dL)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189.4 ± 100.3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193.6 ± 108.1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0.543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189.4 ± 100.3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213.6 ± 114.7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0.025</w:t>
            </w:r>
          </w:p>
        </w:tc>
      </w:tr>
      <w:bookmarkEnd w:id="0"/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Total cholesterol (mg/dL)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169.7 ± 56.8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174.1 ± 45.7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0.193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169.7 ± 56.8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172.1 ± 48.1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0.612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Triglyceride (mg/L)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118.2 ± 71.0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130.9 ± 116.3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0.052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118.2 ± 71.0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121.8 ± 66.0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0.580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HDL cholesterol (mg/L)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42.5 ± 22.2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40.2 ± 10.5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0.038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42.5 ± 22.2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42.0 ± 12.0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0.738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LDL cholesterol (mg/L)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103.8 ± 41.9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109.1 ± 35.4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0.040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103.8 ± 41.9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101.5 ± 38.0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0.542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Discharge medications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100" w:firstLine="2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Aspirin,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451 (96.0)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418 (96.8)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0.522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451 (96.0)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136 (97.1)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0.518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100" w:firstLine="2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Clopidogrel,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435 (92.6)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405 (93.8)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0.655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435 (92.6)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125 (89.3)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0.214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100" w:firstLine="2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Ticagrelor,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23 (4.9)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19 (4.4)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0.754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23 (4.9)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12 (8.6)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0.144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 Prasugrel,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12 (2.6)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 (1.9)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0.506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12 (2.6)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 (2.1)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0.783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100" w:firstLine="2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Cilostazole,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77 (16.4)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121 (28.0)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77 (16.4)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17 (12.1)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0.286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 Beta-blocker,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368 (78.3)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339 (78.5)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0.949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368 (78.3)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110 (78.6)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0.945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 ACEI,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202 (43.0)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180 (41.7)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0.690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202 (43.0)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53 (37.9)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0.329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 ARB,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167 (35.5)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158 (36.6)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0.745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167 (35.5)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56 (40.0)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0.368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 CCB</w:t>
            </w:r>
            <w:r w:rsidRPr="001704A6">
              <w:rPr>
                <w:rFonts w:eastAsia="Gulim"/>
                <w:bCs/>
              </w:rPr>
              <w:t xml:space="preserve">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81 (17.2)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64 (14.8)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0.364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81 (17.2)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24 (17.1)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0.980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 Lipid lowering agents, </w:t>
            </w:r>
            <w:r w:rsidRPr="001704A6">
              <w:rPr>
                <w:rFonts w:eastAsia="Gulim"/>
                <w:i/>
              </w:rPr>
              <w:t xml:space="preserve">n </w:t>
            </w:r>
            <w:r w:rsidRPr="001704A6">
              <w:rPr>
                <w:rFonts w:eastAsia="Gulim"/>
              </w:rPr>
              <w:t>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360 (76.6)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348 (80.6)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0.148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360 (76.6)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122 (87.1)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0.007</w:t>
            </w:r>
          </w:p>
        </w:tc>
      </w:tr>
      <w:tr w:rsidR="003758E0" w:rsidRPr="001704A6" w:rsidTr="003758E0">
        <w:trPr>
          <w:trHeight w:val="264"/>
        </w:trPr>
        <w:tc>
          <w:tcPr>
            <w:tcW w:w="13751" w:type="dxa"/>
            <w:gridSpan w:val="7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Angiographic &amp; procedural characteristics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IRA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Left main,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17 (3.6)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22 (5.1)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0.326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17 (3.6)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14 (10.0)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0.007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 xml:space="preserve"> LAD,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190 (40.4)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151 (35.0)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0.189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190 (40.4)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51 (36.4)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0.421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LCx,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105 (22.3)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114 (26.4)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0.157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105 (22.3)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29 (20.7)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0.683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RCA,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158 (33.6)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145 (33.6)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0.987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158 (33.6)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46 (32.9)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0.867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>Treated vessel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Left main,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21 (4.5)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38 (8.8)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0.010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21 (4.5)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 (12.9)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0.001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  <w:bCs/>
              </w:rPr>
            </w:pPr>
            <w:r w:rsidRPr="001704A6">
              <w:rPr>
                <w:rFonts w:eastAsia="Gulim"/>
                <w:bCs/>
              </w:rPr>
              <w:t xml:space="preserve"> LAD,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217 (46.2)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321 (74.3)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217 (46.2)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99 (70.7)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LCx,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131 (27.9)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284 (65.7)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131 (27.9)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68 (48.6)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RCA,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180 (38.3)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247 (57.2)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180 (38.3)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70 (50.0)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0.013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Extent of CAD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lastRenderedPageBreak/>
              <w:t xml:space="preserve"> 2-vessel disease,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229 (48.7)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227 (52.5)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0.258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229 (48.7)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43 (30.7)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≥ 3-vessel disease,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241 (51.3)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205 (47.5)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0.258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241 (51.3)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97 (69.3)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ACC/AHA lesion type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Type B1,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62 (13.2)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54 (12.5)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0.766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62 (13.2)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24 (17.1)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0.238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Type B2, </w:t>
            </w:r>
            <w:r w:rsidRPr="001704A6">
              <w:rPr>
                <w:rFonts w:eastAsia="Gulim"/>
                <w:bCs/>
                <w:i/>
              </w:rPr>
              <w:t>n</w:t>
            </w:r>
            <w:r w:rsidRPr="001704A6">
              <w:rPr>
                <w:rFonts w:eastAsia="Gulim"/>
                <w:bCs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154 (32.8)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154 (35.6)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0.362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154 (32.8)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26 (18.6)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0.001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Type C,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224 (47.7)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196 (45.4)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0.491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224 (47.7)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76 (54.3)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0.169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Pre-PCI TIMI flow grade 0/1,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185 (39.4)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179 (41.4)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0.526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185 (39.4)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49 (35.0)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0.352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In-hospital GP IIb/IIIa,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28 (6.0)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17 (3.9)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0.172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28 (6.0)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 (5.7)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0.915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Drug-eluting stents</w:t>
            </w:r>
            <w:r w:rsidRPr="001704A6">
              <w:rPr>
                <w:rFonts w:eastAsia="Gulim"/>
                <w:vertAlign w:val="superscript"/>
              </w:rPr>
              <w:t>a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ZES,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168 (35.7)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164 (38.0)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0.534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168 (35.7)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39 (27.9)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0.085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EES,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248 (52.8)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233 (53.9)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0.725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248 (52.8)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88 (62.9)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0.035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ind w:firstLineChars="50" w:firstLine="100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BES,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54 (11.5)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47 (10.9)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0.833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54 (11.5)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19 (13.6)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0.505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Others,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 (1.3)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 (1.4)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0.883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 (1.3)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 (0.7)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0.583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IVUS,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68 (14.5)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99 (22.9)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0.001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68 (14.5)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39 (27.9)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OCT,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 (0.2)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 (0.2)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0.952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 (0.2)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 (0.7)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0.407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FFR,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 (0.6)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 (0.2)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0.626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 (0.6)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 (0.7)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0.922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Completeness of multivessel PCI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CR,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432 (100.0)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IR,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140 (100.0)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rPr>
                <w:rFonts w:eastAsia="Gulim"/>
              </w:rPr>
            </w:pPr>
            <w:r w:rsidRPr="001704A6">
              <w:rPr>
                <w:rFonts w:eastAsia="Gulim"/>
              </w:rPr>
              <w:t>PCI for non-IRA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 During index PCI,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315 (72.9)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87 (62.1)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 Staged PCI before discharge,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117 (27.1)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-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53 (37.9)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rPr>
                <w:rFonts w:eastAsia="Gulim"/>
              </w:rPr>
            </w:pPr>
            <w:r w:rsidRPr="001704A6">
              <w:rPr>
                <w:rFonts w:eastAsia="Gulim"/>
              </w:rPr>
              <w:t>Time from admission to PCI (hours)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18.1 ± 54.6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22.6 ± 57.3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0.008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18.1 ± 54.6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22.9 ± 55.4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0.007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Stent diameter (mm)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3.03 ± 0.41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3.02 ± 0.38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0.622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3.03 ± 0.41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3.11 ± 0.45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0.060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Stent length (mm)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28.8 ± 13.4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28.6 ± 14.6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0.864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28.8 ± 13.4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30.5 ± 14.6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0.220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Number of stent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1.42 ± 0.70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2.40 ± 1.00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1.42 ± 0.70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2.03 ± 0.92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&lt;0.001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GRACE risk score</w:t>
            </w:r>
          </w:p>
        </w:tc>
        <w:tc>
          <w:tcPr>
            <w:tcW w:w="198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150.9 ± 27.3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149.7 ± 26.8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0.501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150.9 ± 27.3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151.4 ± 26.7.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0.847</w:t>
            </w:r>
          </w:p>
        </w:tc>
      </w:tr>
      <w:tr w:rsidR="003758E0" w:rsidRPr="001704A6" w:rsidTr="003758E0">
        <w:trPr>
          <w:trHeight w:val="264"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 xml:space="preserve">  &gt; 140, </w:t>
            </w:r>
            <w:r w:rsidRPr="001704A6">
              <w:rPr>
                <w:rFonts w:eastAsia="Gulim"/>
                <w:i/>
              </w:rPr>
              <w:t>n</w:t>
            </w:r>
            <w:r w:rsidRPr="001704A6">
              <w:rPr>
                <w:rFonts w:eastAsia="Gulim"/>
              </w:rPr>
              <w:t xml:space="preserve"> (%)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294 (62.6)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255 (59.0)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0.278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294 (62.6)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88 (62.9)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3758E0" w:rsidRPr="001704A6" w:rsidRDefault="003758E0" w:rsidP="007D0D64">
            <w:pPr>
              <w:spacing w:line="240" w:lineRule="auto"/>
              <w:jc w:val="left"/>
              <w:rPr>
                <w:rFonts w:eastAsia="Gulim"/>
              </w:rPr>
            </w:pPr>
            <w:r w:rsidRPr="001704A6">
              <w:rPr>
                <w:rFonts w:eastAsia="Gulim"/>
              </w:rPr>
              <w:t>0.885</w:t>
            </w:r>
          </w:p>
        </w:tc>
      </w:tr>
    </w:tbl>
    <w:p w:rsidR="003758E0" w:rsidRPr="00F474F3" w:rsidRDefault="003758E0" w:rsidP="003758E0">
      <w:pPr>
        <w:spacing w:line="240" w:lineRule="auto"/>
        <w:rPr>
          <w:rFonts w:eastAsia="Malgun Gothic"/>
        </w:rPr>
      </w:pPr>
      <w:r w:rsidRPr="00F474F3">
        <w:rPr>
          <w:rFonts w:eastAsia="Malgun Gothic"/>
        </w:rPr>
        <w:lastRenderedPageBreak/>
        <w:t>For continuous variables, intergroup differences were evaluated with the unpaired t-test and data are expressed as mean ± standard deviation. For categorical variables, intergroup differences were analyzed using the χ</w:t>
      </w:r>
      <w:r w:rsidRPr="00F474F3">
        <w:rPr>
          <w:rFonts w:eastAsia="Malgun Gothic"/>
          <w:vertAlign w:val="superscript"/>
        </w:rPr>
        <w:t>2</w:t>
      </w:r>
      <w:r w:rsidRPr="00F474F3">
        <w:rPr>
          <w:rFonts w:eastAsia="Malgun Gothic"/>
        </w:rPr>
        <w:t xml:space="preserve"> test or, if not applicable, Fisher’s exact test and the data are expressed as count and percentage. </w:t>
      </w:r>
      <w:r w:rsidRPr="00F474F3">
        <w:t xml:space="preserve">CR, complete revascularization; IR, incomplete revascularization; </w:t>
      </w:r>
      <w:r w:rsidRPr="00F474F3">
        <w:rPr>
          <w:rFonts w:eastAsia="Malgun Gothic"/>
        </w:rPr>
        <w:t xml:space="preserve">LVEF, left ventricular ejection fraction; BMI, body mass index; SBP, systolic blood pressure; DBP, diastolic blood pressure; MI, myocardial infarction; PCI, percutaneous coronary intervention; CABG, coronary artery bypass graft; HF, heart failure; CVA, cerebrovascular events; CK-MB, creatine kinase myocardial band; NT-ProBNP, N-terminal pro-brain natriuretic peptide; Hs-CRP, high-sensitivity C-reactive protein; eGFR, estimated glomerular filtration rate; HDL, high-density lipoprotein; LDL, low-density lipoprotein; ACEI, angiotensin converting enzyme inhibitors; ARB, angiotensin receptor blockers; CCB, calcium channel blockers; IRA, infarct-related artery; LM, left main coronary artery; LAD, left anterior descending coronary artery; LCx, left circumflex coronary artery; RCA, right coronary artery; CAD, coronary artery disease; ACC/AHA, American College of Cardiology/American Heart Association; TIMI, thrombolysis in myocardial infarction; GP, glycoprotein; ZES, zotarolimus-eluting stent; EES, everolimus-eluting stent; BES, biolimus-eluting stent; IVUS, intravascular ultrasound; OCT, optical coherence tomography; FFR, fractional flow reserve; CR, complete revascularization; IR, incomplete revascularization; </w:t>
      </w:r>
      <w:r w:rsidRPr="00F474F3">
        <w:rPr>
          <w:rFonts w:eastAsia="Malgun Gothic"/>
          <w:vertAlign w:val="superscript"/>
        </w:rPr>
        <w:t>a</w:t>
      </w:r>
      <w:r w:rsidRPr="00F474F3">
        <w:rPr>
          <w:rFonts w:eastAsia="Malgun Gothic"/>
        </w:rPr>
        <w:t>Drug-eluting stents were composed of ZES (Resolute Integrity stent; Medtronic, Inc., Minneapolis, MN), EES (Xience Prime stent, Abbott Vascular, Santa Clara, CA; or Promus Element stent, Boston Scientific, Natick, MA), and BES (BioMatrix Flex stent, Biosensors International, Morges, Switzerland; or Nobori stent, Terumo Corporation, Tokyo, Japan).</w:t>
      </w:r>
    </w:p>
    <w:p w:rsidR="003758E0" w:rsidRPr="00CD79A5" w:rsidRDefault="003758E0" w:rsidP="003758E0"/>
    <w:p w:rsidR="00FE6943" w:rsidRPr="003758E0" w:rsidRDefault="00FE6943" w:rsidP="003758E0"/>
    <w:sectPr w:rsidR="00FE6943" w:rsidRPr="003758E0" w:rsidSect="003758E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720" w:right="1417" w:bottom="720" w:left="1077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291" w:rsidRDefault="00D46291">
      <w:pPr>
        <w:spacing w:line="240" w:lineRule="auto"/>
      </w:pPr>
      <w:r>
        <w:separator/>
      </w:r>
    </w:p>
  </w:endnote>
  <w:endnote w:type="continuationSeparator" w:id="0">
    <w:p w:rsidR="00D46291" w:rsidRDefault="00D462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8D" w:rsidRPr="00032917" w:rsidRDefault="00357C8D" w:rsidP="00357C8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E0" w:rsidRDefault="003758E0" w:rsidP="003758E0">
    <w:pPr>
      <w:pStyle w:val="Footer"/>
      <w:pBdr>
        <w:top w:val="single" w:sz="4" w:space="0" w:color="000000"/>
      </w:pBdr>
      <w:adjustRightInd w:val="0"/>
      <w:spacing w:before="480" w:line="100" w:lineRule="exact"/>
      <w:jc w:val="left"/>
      <w:rPr>
        <w:i/>
        <w:sz w:val="16"/>
      </w:rPr>
    </w:pPr>
  </w:p>
  <w:p w:rsidR="003758E0" w:rsidRPr="00606C58" w:rsidRDefault="003758E0" w:rsidP="003758E0">
    <w:pPr>
      <w:pStyle w:val="Footer"/>
      <w:tabs>
        <w:tab w:val="clear" w:pos="4153"/>
        <w:tab w:val="clear" w:pos="8306"/>
        <w:tab w:val="right" w:pos="14344"/>
      </w:tabs>
      <w:adjustRightInd w:val="0"/>
      <w:spacing w:line="240" w:lineRule="auto"/>
      <w:rPr>
        <w:sz w:val="16"/>
      </w:rPr>
    </w:pPr>
    <w:r w:rsidRPr="00606C58">
      <w:rPr>
        <w:i/>
        <w:sz w:val="16"/>
      </w:rPr>
      <w:t>J. Clin. Med.</w:t>
    </w:r>
    <w:r>
      <w:rPr>
        <w:sz w:val="16"/>
      </w:rPr>
      <w:t xml:space="preserve"> </w:t>
    </w:r>
    <w:r w:rsidRPr="00606C58">
      <w:rPr>
        <w:b/>
        <w:sz w:val="16"/>
      </w:rPr>
      <w:t>2021</w:t>
    </w:r>
    <w:r>
      <w:rPr>
        <w:sz w:val="16"/>
      </w:rPr>
      <w:t>,</w:t>
    </w:r>
    <w:r w:rsidRPr="00606C58">
      <w:rPr>
        <w:i/>
        <w:sz w:val="16"/>
      </w:rPr>
      <w:t xml:space="preserve"> 10</w:t>
    </w:r>
    <w:r>
      <w:rPr>
        <w:sz w:val="16"/>
      </w:rPr>
      <w:t>, 4629. https://doi.org/10.3390/jcm10204629</w:t>
    </w:r>
    <w:r>
      <w:rPr>
        <w:sz w:val="16"/>
      </w:rPr>
      <w:tab/>
    </w:r>
    <w:r>
      <w:rPr>
        <w:sz w:val="16"/>
      </w:rPr>
      <w:t>www.mdpi.com/journal/jcm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291" w:rsidRDefault="00D46291">
      <w:pPr>
        <w:spacing w:line="240" w:lineRule="auto"/>
      </w:pPr>
      <w:r>
        <w:separator/>
      </w:r>
    </w:p>
  </w:footnote>
  <w:footnote w:type="continuationSeparator" w:id="0">
    <w:p w:rsidR="00D46291" w:rsidRDefault="00D462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8D" w:rsidRDefault="00357C8D" w:rsidP="00357C8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E0" w:rsidRDefault="003758E0" w:rsidP="003758E0">
    <w:pPr>
      <w:tabs>
        <w:tab w:val="right" w:pos="14344"/>
      </w:tabs>
      <w:adjustRightInd w:val="0"/>
      <w:snapToGrid w:val="0"/>
      <w:spacing w:line="240" w:lineRule="auto"/>
      <w:rPr>
        <w:sz w:val="16"/>
      </w:rPr>
    </w:pPr>
    <w:r w:rsidRPr="00606C58">
      <w:rPr>
        <w:i/>
        <w:sz w:val="16"/>
      </w:rPr>
      <w:t>J. Clin. Med.</w:t>
    </w:r>
    <w:r>
      <w:rPr>
        <w:sz w:val="16"/>
      </w:rPr>
      <w:t xml:space="preserve"> </w:t>
    </w:r>
    <w:r w:rsidRPr="00606C58">
      <w:rPr>
        <w:b/>
        <w:sz w:val="16"/>
      </w:rPr>
      <w:t>2021</w:t>
    </w:r>
    <w:r>
      <w:rPr>
        <w:sz w:val="16"/>
      </w:rPr>
      <w:t>,</w:t>
    </w:r>
    <w:r w:rsidRPr="00606C58">
      <w:rPr>
        <w:i/>
        <w:sz w:val="16"/>
      </w:rPr>
      <w:t xml:space="preserve"> 10</w:t>
    </w:r>
    <w:r>
      <w:rPr>
        <w:sz w:val="16"/>
      </w:rPr>
      <w:t>, 4629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4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4</w:t>
    </w:r>
    <w:r>
      <w:rPr>
        <w:sz w:val="16"/>
      </w:rPr>
      <w:fldChar w:fldCharType="end"/>
    </w:r>
  </w:p>
  <w:p w:rsidR="003758E0" w:rsidRPr="00606C58" w:rsidRDefault="003758E0" w:rsidP="003758E0">
    <w:pPr>
      <w:pBdr>
        <w:bottom w:val="single" w:sz="4" w:space="0" w:color="000000"/>
      </w:pBdr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4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31"/>
      <w:gridCol w:w="6202"/>
      <w:gridCol w:w="3108"/>
    </w:tblGrid>
    <w:tr w:rsidR="003A2C19" w:rsidRPr="00770821" w:rsidTr="003758E0">
      <w:trPr>
        <w:trHeight w:val="752"/>
      </w:trPr>
      <w:tc>
        <w:tcPr>
          <w:tcW w:w="5031" w:type="dxa"/>
          <w:shd w:val="clear" w:color="auto" w:fill="auto"/>
          <w:vAlign w:val="center"/>
        </w:tcPr>
        <w:p w:rsidR="003A2C19" w:rsidRPr="00904B95" w:rsidRDefault="003758E0" w:rsidP="00770821">
          <w:pPr>
            <w:pStyle w:val="Header"/>
            <w:pBdr>
              <w:bottom w:val="none" w:sz="0" w:space="0" w:color="auto"/>
            </w:pBdr>
            <w:jc w:val="left"/>
            <w:rPr>
              <w:rFonts w:eastAsia="等线"/>
              <w:b/>
              <w:bCs/>
            </w:rPr>
          </w:pPr>
          <w:r w:rsidRPr="00904B95">
            <w:rPr>
              <w:rFonts w:eastAsia="等线"/>
              <w:b/>
              <w:bCs/>
            </w:rPr>
            <w:drawing>
              <wp:inline distT="0" distB="0" distL="0" distR="0">
                <wp:extent cx="1678940" cy="422910"/>
                <wp:effectExtent l="0" t="0" r="0" b="0"/>
                <wp:docPr id="93" name="Picture 5" descr="C:\Users\home\Desktop\logos\png\jcm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png\jcm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894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02" w:type="dxa"/>
          <w:shd w:val="clear" w:color="auto" w:fill="auto"/>
          <w:vAlign w:val="center"/>
        </w:tcPr>
        <w:p w:rsidR="003A2C19" w:rsidRPr="00904B95" w:rsidRDefault="003A2C19" w:rsidP="00770821">
          <w:pPr>
            <w:pStyle w:val="Header"/>
            <w:pBdr>
              <w:bottom w:val="none" w:sz="0" w:space="0" w:color="auto"/>
            </w:pBdr>
            <w:rPr>
              <w:rFonts w:eastAsia="等线"/>
              <w:b/>
              <w:bCs/>
            </w:rPr>
          </w:pPr>
        </w:p>
      </w:tc>
      <w:tc>
        <w:tcPr>
          <w:tcW w:w="3108" w:type="dxa"/>
          <w:shd w:val="clear" w:color="auto" w:fill="auto"/>
          <w:vAlign w:val="center"/>
        </w:tcPr>
        <w:p w:rsidR="003A2C19" w:rsidRPr="00904B95" w:rsidRDefault="003758E0" w:rsidP="00770821">
          <w:pPr>
            <w:pStyle w:val="Header"/>
            <w:pBdr>
              <w:bottom w:val="none" w:sz="0" w:space="0" w:color="auto"/>
            </w:pBdr>
            <w:jc w:val="right"/>
            <w:rPr>
              <w:rFonts w:eastAsia="等线"/>
              <w:b/>
              <w:bCs/>
            </w:rPr>
          </w:pPr>
          <w:r w:rsidRPr="00904B95">
            <w:rPr>
              <w:rFonts w:eastAsia="等线"/>
              <w:b/>
              <w:bCs/>
            </w:rPr>
            <w:drawing>
              <wp:inline distT="0" distB="0" distL="0" distR="0">
                <wp:extent cx="546100" cy="354965"/>
                <wp:effectExtent l="0" t="0" r="6350" b="6985"/>
                <wp:docPr id="94" name="Picture 94" descr="M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4" descr="M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100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7C8D" w:rsidRPr="003A2C19" w:rsidRDefault="00357C8D" w:rsidP="00065CF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6"/>
  </w:num>
  <w:num w:numId="9">
    <w:abstractNumId w:val="1"/>
  </w:num>
  <w:num w:numId="10">
    <w:abstractNumId w:val="6"/>
  </w:num>
  <w:num w:numId="11">
    <w:abstractNumId w:val="1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8E0"/>
    <w:rsid w:val="000019D8"/>
    <w:rsid w:val="00006F9A"/>
    <w:rsid w:val="000302D9"/>
    <w:rsid w:val="00041D95"/>
    <w:rsid w:val="00065CFE"/>
    <w:rsid w:val="00085770"/>
    <w:rsid w:val="000A7316"/>
    <w:rsid w:val="000B7CBD"/>
    <w:rsid w:val="000C0FC2"/>
    <w:rsid w:val="000C6424"/>
    <w:rsid w:val="000E2866"/>
    <w:rsid w:val="00152F6D"/>
    <w:rsid w:val="001710B7"/>
    <w:rsid w:val="00172385"/>
    <w:rsid w:val="001C4EF2"/>
    <w:rsid w:val="001D1C27"/>
    <w:rsid w:val="001D25D3"/>
    <w:rsid w:val="001E2AEB"/>
    <w:rsid w:val="001E6B6B"/>
    <w:rsid w:val="001F462D"/>
    <w:rsid w:val="00274D95"/>
    <w:rsid w:val="00280F25"/>
    <w:rsid w:val="00280FC4"/>
    <w:rsid w:val="00287BE6"/>
    <w:rsid w:val="0029303F"/>
    <w:rsid w:val="002C5B08"/>
    <w:rsid w:val="002C74FC"/>
    <w:rsid w:val="002E235C"/>
    <w:rsid w:val="00314B6E"/>
    <w:rsid w:val="003207B3"/>
    <w:rsid w:val="00325CF8"/>
    <w:rsid w:val="00326141"/>
    <w:rsid w:val="0034278A"/>
    <w:rsid w:val="0034365E"/>
    <w:rsid w:val="00357C8D"/>
    <w:rsid w:val="00362F34"/>
    <w:rsid w:val="003758E0"/>
    <w:rsid w:val="003977A3"/>
    <w:rsid w:val="003A2C19"/>
    <w:rsid w:val="003D37C7"/>
    <w:rsid w:val="003D4857"/>
    <w:rsid w:val="003D55AB"/>
    <w:rsid w:val="003F2DA1"/>
    <w:rsid w:val="003F4ECB"/>
    <w:rsid w:val="00401D30"/>
    <w:rsid w:val="00412261"/>
    <w:rsid w:val="004142C7"/>
    <w:rsid w:val="004225B0"/>
    <w:rsid w:val="0045182C"/>
    <w:rsid w:val="0046295C"/>
    <w:rsid w:val="004B1358"/>
    <w:rsid w:val="004B7429"/>
    <w:rsid w:val="004D54CC"/>
    <w:rsid w:val="004D5F4D"/>
    <w:rsid w:val="004F5B4C"/>
    <w:rsid w:val="005123DF"/>
    <w:rsid w:val="00547A54"/>
    <w:rsid w:val="005577F2"/>
    <w:rsid w:val="005963C5"/>
    <w:rsid w:val="00616F82"/>
    <w:rsid w:val="00622838"/>
    <w:rsid w:val="006300CB"/>
    <w:rsid w:val="00637CD2"/>
    <w:rsid w:val="00667913"/>
    <w:rsid w:val="00685F96"/>
    <w:rsid w:val="00691DEB"/>
    <w:rsid w:val="00692393"/>
    <w:rsid w:val="00694025"/>
    <w:rsid w:val="006A11B0"/>
    <w:rsid w:val="006A5D76"/>
    <w:rsid w:val="006C3990"/>
    <w:rsid w:val="006E1776"/>
    <w:rsid w:val="007018DC"/>
    <w:rsid w:val="00705D61"/>
    <w:rsid w:val="00706D77"/>
    <w:rsid w:val="00770821"/>
    <w:rsid w:val="0079312A"/>
    <w:rsid w:val="00816BBE"/>
    <w:rsid w:val="00821EF1"/>
    <w:rsid w:val="00851192"/>
    <w:rsid w:val="00853B85"/>
    <w:rsid w:val="00865A31"/>
    <w:rsid w:val="008D0B41"/>
    <w:rsid w:val="008E63F1"/>
    <w:rsid w:val="008F1228"/>
    <w:rsid w:val="008F6E8C"/>
    <w:rsid w:val="009035B8"/>
    <w:rsid w:val="00904B95"/>
    <w:rsid w:val="00914275"/>
    <w:rsid w:val="00915CAE"/>
    <w:rsid w:val="00943EE6"/>
    <w:rsid w:val="00945A8C"/>
    <w:rsid w:val="00970559"/>
    <w:rsid w:val="00970888"/>
    <w:rsid w:val="009709FF"/>
    <w:rsid w:val="00995F53"/>
    <w:rsid w:val="00996419"/>
    <w:rsid w:val="009C5893"/>
    <w:rsid w:val="009F70E6"/>
    <w:rsid w:val="00A73B50"/>
    <w:rsid w:val="00AB2F7D"/>
    <w:rsid w:val="00AC3FDF"/>
    <w:rsid w:val="00AD3640"/>
    <w:rsid w:val="00AD4E9B"/>
    <w:rsid w:val="00AF63F6"/>
    <w:rsid w:val="00AF66CF"/>
    <w:rsid w:val="00B24D42"/>
    <w:rsid w:val="00B27BDC"/>
    <w:rsid w:val="00B84BC1"/>
    <w:rsid w:val="00BB2253"/>
    <w:rsid w:val="00BB7AA1"/>
    <w:rsid w:val="00BC2D10"/>
    <w:rsid w:val="00BD5379"/>
    <w:rsid w:val="00BE4E1F"/>
    <w:rsid w:val="00BF5D96"/>
    <w:rsid w:val="00BF6F8B"/>
    <w:rsid w:val="00C06920"/>
    <w:rsid w:val="00C1439D"/>
    <w:rsid w:val="00C144B6"/>
    <w:rsid w:val="00C17D2C"/>
    <w:rsid w:val="00C76749"/>
    <w:rsid w:val="00CA6FBF"/>
    <w:rsid w:val="00CB5986"/>
    <w:rsid w:val="00CC4494"/>
    <w:rsid w:val="00D03F63"/>
    <w:rsid w:val="00D0452F"/>
    <w:rsid w:val="00D06DB4"/>
    <w:rsid w:val="00D15FBD"/>
    <w:rsid w:val="00D46291"/>
    <w:rsid w:val="00D537C4"/>
    <w:rsid w:val="00D72E82"/>
    <w:rsid w:val="00D76EFE"/>
    <w:rsid w:val="00DB5D84"/>
    <w:rsid w:val="00DB65CB"/>
    <w:rsid w:val="00DC5308"/>
    <w:rsid w:val="00E548E8"/>
    <w:rsid w:val="00E62446"/>
    <w:rsid w:val="00E9417E"/>
    <w:rsid w:val="00EA792D"/>
    <w:rsid w:val="00EB730D"/>
    <w:rsid w:val="00EC2CB7"/>
    <w:rsid w:val="00EE3D95"/>
    <w:rsid w:val="00F159D6"/>
    <w:rsid w:val="00F20DC0"/>
    <w:rsid w:val="00F41D77"/>
    <w:rsid w:val="00F61547"/>
    <w:rsid w:val="00F733DC"/>
    <w:rsid w:val="00FA2DB6"/>
    <w:rsid w:val="00FA4695"/>
    <w:rsid w:val="00FC70BF"/>
    <w:rsid w:val="00FD4789"/>
    <w:rsid w:val="00FE6943"/>
    <w:rsid w:val="00FF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008C19-11B0-4372-9F53-D0171B2B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943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  <w:rsid w:val="00FE6943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E6943"/>
  </w:style>
  <w:style w:type="paragraph" w:customStyle="1" w:styleId="MDPI11articletype">
    <w:name w:val="MDPI_1.1_article_type"/>
    <w:next w:val="Normal"/>
    <w:qFormat/>
    <w:rsid w:val="00FE6943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FE6943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FE6943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FE6943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FE6943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FE694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FE694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FE6943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Footer">
    <w:name w:val="footer"/>
    <w:basedOn w:val="Normal"/>
    <w:link w:val="FooterChar"/>
    <w:uiPriority w:val="99"/>
    <w:rsid w:val="00FE6943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FE6943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FE69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FE6943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FE6943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FE6943"/>
    <w:pPr>
      <w:ind w:firstLine="0"/>
    </w:pPr>
  </w:style>
  <w:style w:type="paragraph" w:customStyle="1" w:styleId="MDPI31text">
    <w:name w:val="MDPI_3.1_text"/>
    <w:qFormat/>
    <w:rsid w:val="00AC3FD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FE6943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FE6943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FE6943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FE6943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FE6943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FE6943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FE6943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FE6943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FE6943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4B742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FE6943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FE694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FE6943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FE694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FE694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FE6943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FE6943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FE6943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FE6943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EE3D95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FE6943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FE6943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F20DC0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FE6943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FE6943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3427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E6943"/>
    <w:pPr>
      <w:spacing w:line="260" w:lineRule="atLeast"/>
      <w:jc w:val="both"/>
    </w:pPr>
    <w:rPr>
      <w:rFonts w:ascii="Palatino Linotype" w:hAnsi="Palatino Linotype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4">
    <w:name w:val="Plain Table 4"/>
    <w:basedOn w:val="TableNormal"/>
    <w:uiPriority w:val="44"/>
    <w:rsid w:val="00853B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FE6943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FE6943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FE6943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FE6943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FE6943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FE6943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FE6943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FE6943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FE6943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FE6943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FE6943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FE694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FE6943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FE6943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FE6943"/>
    <w:rPr>
      <w:rFonts w:ascii="Palatino Linotype" w:hAnsi="Palatino Linotype"/>
      <w:color w:val="000000"/>
      <w:lang w:val="en-CA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DPItext">
    <w:name w:val="MDPI_text"/>
    <w:qFormat/>
    <w:rsid w:val="00FE6943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FE694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FE6943"/>
  </w:style>
  <w:style w:type="paragraph" w:styleId="Bibliography">
    <w:name w:val="Bibliography"/>
    <w:basedOn w:val="Normal"/>
    <w:next w:val="Normal"/>
    <w:uiPriority w:val="37"/>
    <w:semiHidden/>
    <w:unhideWhenUsed/>
    <w:rsid w:val="00FE6943"/>
  </w:style>
  <w:style w:type="paragraph" w:styleId="BodyText">
    <w:name w:val="Body Text"/>
    <w:link w:val="BodyTextChar"/>
    <w:rsid w:val="00FE6943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FE6943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FE6943"/>
    <w:rPr>
      <w:sz w:val="21"/>
      <w:szCs w:val="21"/>
    </w:rPr>
  </w:style>
  <w:style w:type="paragraph" w:styleId="CommentText">
    <w:name w:val="annotation text"/>
    <w:basedOn w:val="Normal"/>
    <w:link w:val="CommentTextChar"/>
    <w:rsid w:val="00FE6943"/>
  </w:style>
  <w:style w:type="character" w:customStyle="1" w:styleId="CommentTextChar">
    <w:name w:val="Comment Text Char"/>
    <w:link w:val="CommentText"/>
    <w:rsid w:val="00FE6943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FE6943"/>
    <w:rPr>
      <w:b/>
      <w:bCs/>
    </w:rPr>
  </w:style>
  <w:style w:type="character" w:customStyle="1" w:styleId="CommentSubjectChar">
    <w:name w:val="Comment Subject Char"/>
    <w:link w:val="CommentSubject"/>
    <w:rsid w:val="00FE6943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FE6943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E6943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FE6943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FE6943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FE6943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FE6943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FE6943"/>
    <w:rPr>
      <w:szCs w:val="24"/>
    </w:rPr>
  </w:style>
  <w:style w:type="paragraph" w:customStyle="1" w:styleId="MsoFootnoteText0">
    <w:name w:val="MsoFootnoteText"/>
    <w:basedOn w:val="NormalWeb"/>
    <w:qFormat/>
    <w:rsid w:val="00FE6943"/>
    <w:rPr>
      <w:rFonts w:ascii="Times New Roman" w:hAnsi="Times New Roman"/>
    </w:rPr>
  </w:style>
  <w:style w:type="character" w:styleId="PageNumber">
    <w:name w:val="page number"/>
    <w:rsid w:val="00FE6943"/>
  </w:style>
  <w:style w:type="character" w:styleId="PlaceholderText">
    <w:name w:val="Placeholder Text"/>
    <w:uiPriority w:val="99"/>
    <w:semiHidden/>
    <w:rsid w:val="00FE6943"/>
    <w:rPr>
      <w:color w:val="808080"/>
    </w:rPr>
  </w:style>
  <w:style w:type="character" w:styleId="SubtleEmphasis">
    <w:name w:val="Subtle Emphasis"/>
    <w:uiPriority w:val="19"/>
    <w:qFormat/>
    <w:rsid w:val="003758E0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AppData\Local\Temp\7zO82B99BEF\jcm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jcm-template.dot</Template>
  <TotalTime>3</TotalTime>
  <Pages>4</Pages>
  <Words>1343</Words>
  <Characters>6205</Characters>
  <Application>Microsoft Office Word</Application>
  <DocSecurity>0</DocSecurity>
  <Lines>620</Lines>
  <Paragraphs>628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6920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2021-10-09T09:03:00Z</dcterms:created>
  <dcterms:modified xsi:type="dcterms:W3CDTF">2021-10-09T09:07:00Z</dcterms:modified>
</cp:coreProperties>
</file>