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5C7" w:rsidRPr="00DC35C7" w:rsidRDefault="00DC35C7" w:rsidP="00DC35C7">
      <w:pPr>
        <w:adjustRightInd w:val="0"/>
        <w:snapToGrid w:val="0"/>
        <w:spacing w:before="240" w:line="240" w:lineRule="auto"/>
        <w:jc w:val="left"/>
        <w:rPr>
          <w:rFonts w:ascii="Palatino Linotype" w:hAnsi="Palatino Linotype"/>
          <w:i/>
          <w:snapToGrid w:val="0"/>
          <w:sz w:val="20"/>
          <w:szCs w:val="22"/>
          <w:lang w:bidi="en-US"/>
        </w:rPr>
      </w:pPr>
      <w:r>
        <w:rPr>
          <w:rFonts w:ascii="Palatino Linotype" w:hAnsi="Palatino Linotype"/>
          <w:i/>
          <w:snapToGrid w:val="0"/>
          <w:sz w:val="20"/>
          <w:szCs w:val="22"/>
          <w:lang w:bidi="en-US"/>
        </w:rPr>
        <w:t>Supplemental material</w:t>
      </w:r>
    </w:p>
    <w:p w:rsidR="00404ED8" w:rsidRPr="00A27720" w:rsidRDefault="00404ED8" w:rsidP="00404ED8">
      <w:pPr>
        <w:pStyle w:val="MDPI12title"/>
        <w:spacing w:line="240" w:lineRule="atLeast"/>
      </w:pPr>
      <w:r w:rsidRPr="002B22BE">
        <w:t>Urinary epidermal growth factor/creatinine ratio and graft failure in renal transplant recipients: a prospective cohort study.</w:t>
      </w:r>
    </w:p>
    <w:p w:rsidR="00D17578" w:rsidRDefault="00D17578" w:rsidP="00D17578">
      <w:pPr>
        <w:pStyle w:val="MDPI13authornames"/>
      </w:pPr>
      <w:r>
        <w:t xml:space="preserve">Manuela Yepes-Calderón </w:t>
      </w:r>
      <w:r>
        <w:rPr>
          <w:vertAlign w:val="superscript"/>
        </w:rPr>
        <w:t>1</w:t>
      </w:r>
      <w:r>
        <w:t xml:space="preserve">, Camilo G. Sotomayor </w:t>
      </w:r>
      <w:proofErr w:type="gramStart"/>
      <w:r>
        <w:rPr>
          <w:vertAlign w:val="superscript"/>
        </w:rPr>
        <w:t>1,</w:t>
      </w:r>
      <w:r>
        <w:t>*</w:t>
      </w:r>
      <w:proofErr w:type="gramEnd"/>
      <w:r>
        <w:t>, Matthias Kretzler</w:t>
      </w:r>
      <w:r>
        <w:rPr>
          <w:vertAlign w:val="superscript"/>
        </w:rPr>
        <w:t>2</w:t>
      </w:r>
      <w:r>
        <w:t xml:space="preserve">, </w:t>
      </w:r>
      <w:proofErr w:type="spellStart"/>
      <w:r>
        <w:t>Rijk</w:t>
      </w:r>
      <w:proofErr w:type="spellEnd"/>
      <w:r>
        <w:t xml:space="preserve"> O.B. </w:t>
      </w:r>
      <w:proofErr w:type="spellStart"/>
      <w:r>
        <w:t>Gans</w:t>
      </w:r>
      <w:proofErr w:type="spellEnd"/>
      <w:r>
        <w:t xml:space="preserve"> </w:t>
      </w:r>
      <w:r>
        <w:rPr>
          <w:vertAlign w:val="superscript"/>
        </w:rPr>
        <w:t>3</w:t>
      </w:r>
      <w:r>
        <w:t>, Stefan P. Berger</w:t>
      </w:r>
      <w:r>
        <w:rPr>
          <w:vertAlign w:val="superscript"/>
        </w:rPr>
        <w:t>1</w:t>
      </w:r>
      <w:r>
        <w:t xml:space="preserve">, </w:t>
      </w:r>
      <w:proofErr w:type="spellStart"/>
      <w:r>
        <w:t>Gerjan</w:t>
      </w:r>
      <w:proofErr w:type="spellEnd"/>
      <w:r>
        <w:t xml:space="preserve"> J. Navis</w:t>
      </w:r>
      <w:r>
        <w:rPr>
          <w:vertAlign w:val="superscript"/>
        </w:rPr>
        <w:t>1</w:t>
      </w:r>
      <w:r>
        <w:t>, Wenjun Ju</w:t>
      </w:r>
      <w:r>
        <w:rPr>
          <w:vertAlign w:val="superscript"/>
        </w:rPr>
        <w:t xml:space="preserve">2 </w:t>
      </w:r>
      <w:r>
        <w:t>and Stephan J.L. Bakker</w:t>
      </w:r>
      <w:r>
        <w:rPr>
          <w:vertAlign w:val="superscript"/>
        </w:rPr>
        <w:t>1</w:t>
      </w:r>
      <w:r>
        <w:t>.</w:t>
      </w:r>
    </w:p>
    <w:p w:rsidR="00D17578" w:rsidRDefault="00D17578" w:rsidP="00D17578">
      <w:pPr>
        <w:pStyle w:val="MDPI16affiliation"/>
        <w:rPr>
          <w:lang w:val="en-GB"/>
        </w:rPr>
      </w:pPr>
      <w:r>
        <w:rPr>
          <w:vertAlign w:val="superscript"/>
          <w:lang w:val="en-GB"/>
        </w:rPr>
        <w:t>1</w:t>
      </w:r>
      <w:r>
        <w:rPr>
          <w:lang w:val="en-GB"/>
        </w:rPr>
        <w:tab/>
        <w:t xml:space="preserve">Division of Nephrology, Department of Internal Medicine, University Medical </w:t>
      </w:r>
      <w:proofErr w:type="spellStart"/>
      <w:r>
        <w:rPr>
          <w:lang w:val="en-GB"/>
        </w:rPr>
        <w:t>Center</w:t>
      </w:r>
      <w:proofErr w:type="spellEnd"/>
      <w:r>
        <w:rPr>
          <w:lang w:val="en-GB"/>
        </w:rPr>
        <w:t xml:space="preserve"> Groningen, University of Groningen, Groningen, The Netherlands.</w:t>
      </w:r>
    </w:p>
    <w:p w:rsidR="00D17578" w:rsidRDefault="00D17578" w:rsidP="00D17578">
      <w:pPr>
        <w:pStyle w:val="MDPI16affiliation"/>
      </w:pPr>
      <w:r>
        <w:rPr>
          <w:szCs w:val="20"/>
          <w:vertAlign w:val="superscript"/>
        </w:rPr>
        <w:t>2</w:t>
      </w:r>
      <w:r>
        <w:rPr>
          <w:szCs w:val="20"/>
        </w:rPr>
        <w:tab/>
      </w:r>
      <w:r>
        <w:t>Department of Internal Medicine, Department of Computational Medicine and Bioinformatics, University of Michigan, Michigan, Unite States of America.</w:t>
      </w:r>
    </w:p>
    <w:p w:rsidR="00D17578" w:rsidRDefault="00D17578" w:rsidP="00D17578">
      <w:pPr>
        <w:pStyle w:val="MDPI16affiliation"/>
      </w:pPr>
      <w:r>
        <w:rPr>
          <w:szCs w:val="20"/>
          <w:vertAlign w:val="superscript"/>
        </w:rPr>
        <w:t>3</w:t>
      </w:r>
      <w:r>
        <w:rPr>
          <w:szCs w:val="20"/>
        </w:rPr>
        <w:tab/>
      </w:r>
      <w:r>
        <w:t>Department of Internal Medicine, University Medical Center Groningen, University of Groningen, Groningen, The Netherlands.</w:t>
      </w:r>
    </w:p>
    <w:p w:rsidR="00D17578" w:rsidRDefault="00D17578" w:rsidP="00D17578">
      <w:pPr>
        <w:pStyle w:val="MDPI16affiliation"/>
      </w:pPr>
    </w:p>
    <w:p w:rsidR="00D17578" w:rsidRDefault="00D17578" w:rsidP="00D17578">
      <w:pPr>
        <w:pStyle w:val="MDPI14history"/>
        <w:spacing w:before="0"/>
        <w:ind w:left="311" w:hanging="198"/>
      </w:pPr>
      <w:r>
        <w:rPr>
          <w:b/>
        </w:rPr>
        <w:t>*</w:t>
      </w:r>
      <w:r>
        <w:tab/>
        <w:t>Correspondence: c.g.sotomayor.campos@umcg.nl; Tel.: 0031 061 925 27 12</w:t>
      </w:r>
    </w:p>
    <w:p w:rsidR="00D17578" w:rsidRDefault="00D17578" w:rsidP="00D17578">
      <w:pPr>
        <w:pStyle w:val="MDPI14history"/>
      </w:pPr>
      <w:r>
        <w:t>Received: date; Accepted: date; Published: date</w:t>
      </w:r>
    </w:p>
    <w:p w:rsidR="00D17578" w:rsidRDefault="00D17578">
      <w:pPr>
        <w:spacing w:line="240" w:lineRule="auto"/>
        <w:jc w:val="left"/>
        <w:rPr>
          <w:rFonts w:ascii="Palatino Linotype" w:hAnsi="Palatino Linotype"/>
          <w:sz w:val="18"/>
          <w:lang w:bidi="en-US"/>
        </w:rPr>
      </w:pPr>
      <w:r>
        <w:br w:type="page"/>
      </w:r>
    </w:p>
    <w:p w:rsidR="00996419" w:rsidRPr="00A27720" w:rsidRDefault="00DC35C7" w:rsidP="00996419">
      <w:pPr>
        <w:pStyle w:val="MDPI21heading1"/>
        <w:spacing w:before="480"/>
        <w:rPr>
          <w:lang w:eastAsia="zh-CN"/>
        </w:rPr>
      </w:pPr>
      <w:r>
        <w:rPr>
          <w:lang w:eastAsia="zh-CN"/>
        </w:rPr>
        <w:lastRenderedPageBreak/>
        <w:t>1</w:t>
      </w:r>
      <w:r w:rsidR="00996419" w:rsidRPr="00A27720">
        <w:rPr>
          <w:lang w:eastAsia="zh-CN"/>
        </w:rPr>
        <w:t xml:space="preserve">. </w:t>
      </w:r>
      <w:r>
        <w:rPr>
          <w:lang w:eastAsia="zh-CN"/>
        </w:rPr>
        <w:t>Table S1</w:t>
      </w:r>
    </w:p>
    <w:p w:rsidR="00DC35C7" w:rsidRPr="00DC35C7" w:rsidRDefault="00DC35C7" w:rsidP="00DC35C7">
      <w:pPr>
        <w:adjustRightInd w:val="0"/>
        <w:snapToGrid w:val="0"/>
        <w:spacing w:after="120" w:line="260" w:lineRule="atLeast"/>
        <w:ind w:left="425" w:right="425"/>
        <w:jc w:val="center"/>
        <w:rPr>
          <w:rFonts w:ascii="Palatino Linotype" w:hAnsi="Palatino Linotype"/>
          <w:sz w:val="18"/>
          <w:lang w:bidi="en-US"/>
        </w:rPr>
      </w:pPr>
      <w:r w:rsidRPr="00DC35C7">
        <w:rPr>
          <w:rFonts w:ascii="Palatino Linotype" w:hAnsi="Palatino Linotype"/>
          <w:b/>
          <w:sz w:val="18"/>
          <w:lang w:bidi="en-US"/>
        </w:rPr>
        <w:t>Table S1.</w:t>
      </w:r>
      <w:r w:rsidRPr="00DC35C7">
        <w:rPr>
          <w:rFonts w:ascii="Palatino Linotype" w:hAnsi="Palatino Linotype"/>
          <w:sz w:val="18"/>
          <w:lang w:bidi="en-US"/>
        </w:rPr>
        <w:t xml:space="preserve"> Comparison of baseline characteristics between renal transplant rec</w:t>
      </w:r>
      <w:r w:rsidR="0069087E">
        <w:rPr>
          <w:rFonts w:ascii="Palatino Linotype" w:hAnsi="Palatino Linotype"/>
          <w:sz w:val="18"/>
          <w:lang w:bidi="en-US"/>
        </w:rPr>
        <w:t>ipients with and without data of</w:t>
      </w:r>
      <w:r w:rsidRPr="00DC35C7">
        <w:rPr>
          <w:rFonts w:ascii="Palatino Linotype" w:hAnsi="Palatino Linotype"/>
          <w:sz w:val="18"/>
          <w:lang w:bidi="en-US"/>
        </w:rPr>
        <w:t xml:space="preserve"> urinary EGF concentration.</w:t>
      </w:r>
    </w:p>
    <w:tbl>
      <w:tblPr>
        <w:tblW w:w="9017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23"/>
        <w:gridCol w:w="222"/>
        <w:gridCol w:w="3039"/>
        <w:gridCol w:w="235"/>
        <w:gridCol w:w="1943"/>
        <w:gridCol w:w="235"/>
        <w:gridCol w:w="1832"/>
        <w:gridCol w:w="111"/>
        <w:gridCol w:w="111"/>
        <w:gridCol w:w="1066"/>
      </w:tblGrid>
      <w:tr w:rsidR="00710BDC" w:rsidRPr="00DC35C7" w:rsidTr="00710BDC">
        <w:trPr>
          <w:trHeight w:val="397"/>
        </w:trPr>
        <w:tc>
          <w:tcPr>
            <w:tcW w:w="3571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35C7" w:rsidRPr="00DC35C7" w:rsidRDefault="00DC35C7" w:rsidP="00710BDC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Baseline characteristics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RTR included in the final analyses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1865" w:type="dxa"/>
            <w:tcBorders>
              <w:top w:val="single" w:sz="4" w:space="0" w:color="auto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RTR with missing uEGF values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i/>
                <w:color w:val="auto"/>
                <w:sz w:val="20"/>
                <w:lang w:val="en-GB" w:eastAsia="en-US"/>
              </w:rPr>
              <w:t>P</w:t>
            </w: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 xml:space="preserve"> value</w:t>
            </w:r>
          </w:p>
        </w:tc>
      </w:tr>
      <w:tr w:rsidR="00D17578" w:rsidRPr="00DC35C7" w:rsidTr="00710BDC">
        <w:trPr>
          <w:trHeight w:val="397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3348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236" w:type="dxa"/>
            <w:tcBorders>
              <w:top w:val="nil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1982" w:type="dxa"/>
            <w:tcBorders>
              <w:top w:val="nil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i/>
                <w:color w:val="auto"/>
                <w:sz w:val="20"/>
                <w:lang w:val="en-GB" w:eastAsia="en-US"/>
              </w:rPr>
              <w:t>n</w:t>
            </w: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=649</w:t>
            </w:r>
          </w:p>
        </w:tc>
        <w:tc>
          <w:tcPr>
            <w:tcW w:w="236" w:type="dxa"/>
            <w:tcBorders>
              <w:top w:val="nil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1865" w:type="dxa"/>
            <w:tcBorders>
              <w:top w:val="nil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i/>
                <w:color w:val="auto"/>
                <w:sz w:val="20"/>
                <w:lang w:val="en-GB" w:eastAsia="en-US"/>
              </w:rPr>
              <w:t>n</w:t>
            </w: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=57</w:t>
            </w:r>
          </w:p>
        </w:tc>
        <w:tc>
          <w:tcPr>
            <w:tcW w:w="236" w:type="dxa"/>
            <w:gridSpan w:val="2"/>
            <w:tcBorders>
              <w:top w:val="nil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891" w:type="dxa"/>
            <w:tcBorders>
              <w:top w:val="nil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</w:tr>
      <w:tr w:rsidR="00D17578" w:rsidRPr="00DC35C7" w:rsidTr="00710BDC">
        <w:trPr>
          <w:trHeight w:val="397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3348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DC35C7" w:rsidRPr="00DC35C7" w:rsidRDefault="00DC35C7" w:rsidP="00710BDC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Age, years</w:t>
            </w:r>
          </w:p>
        </w:tc>
        <w:tc>
          <w:tcPr>
            <w:tcW w:w="236" w:type="dxa"/>
            <w:tcBorders>
              <w:top w:val="nil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1982" w:type="dxa"/>
            <w:tcBorders>
              <w:top w:val="nil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53 ± 13</w:t>
            </w:r>
            <w:r w:rsidRPr="00DC35C7">
              <w:rPr>
                <w:rFonts w:ascii="Palatino Linotype" w:eastAsia="Calibri" w:hAnsi="Palatino Linotype"/>
                <w:color w:val="auto"/>
                <w:sz w:val="20"/>
                <w:vertAlign w:val="superscript"/>
                <w:lang w:val="en-GB" w:eastAsia="en-US"/>
              </w:rPr>
              <w:t>†</w:t>
            </w:r>
          </w:p>
        </w:tc>
        <w:tc>
          <w:tcPr>
            <w:tcW w:w="236" w:type="dxa"/>
            <w:tcBorders>
              <w:top w:val="nil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1865" w:type="dxa"/>
            <w:tcBorders>
              <w:top w:val="nil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53 ± 13</w:t>
            </w:r>
          </w:p>
        </w:tc>
        <w:tc>
          <w:tcPr>
            <w:tcW w:w="236" w:type="dxa"/>
            <w:gridSpan w:val="2"/>
            <w:tcBorders>
              <w:top w:val="nil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891" w:type="dxa"/>
            <w:tcBorders>
              <w:top w:val="nil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0.96</w:t>
            </w:r>
          </w:p>
        </w:tc>
      </w:tr>
      <w:tr w:rsidR="00D17578" w:rsidRPr="00DC35C7" w:rsidTr="00710BDC">
        <w:trPr>
          <w:trHeight w:val="397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3348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DC35C7" w:rsidRPr="00DC35C7" w:rsidRDefault="00DC35C7" w:rsidP="00710BDC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Sex, male</w:t>
            </w:r>
          </w:p>
        </w:tc>
        <w:tc>
          <w:tcPr>
            <w:tcW w:w="236" w:type="dxa"/>
            <w:tcBorders>
              <w:top w:val="nil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1982" w:type="dxa"/>
            <w:tcBorders>
              <w:top w:val="nil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373 (58)</w:t>
            </w:r>
            <w:r w:rsidR="00D17578" w:rsidRPr="00DC35C7">
              <w:rPr>
                <w:rFonts w:ascii="Palatino Linotype" w:eastAsia="Calibri" w:hAnsi="Palatino Linotype"/>
                <w:color w:val="auto"/>
                <w:sz w:val="20"/>
                <w:vertAlign w:val="superscript"/>
                <w:lang w:val="en-GB" w:eastAsia="en-US"/>
              </w:rPr>
              <w:t xml:space="preserve"> §</w:t>
            </w:r>
          </w:p>
        </w:tc>
        <w:tc>
          <w:tcPr>
            <w:tcW w:w="236" w:type="dxa"/>
            <w:tcBorders>
              <w:top w:val="nil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1865" w:type="dxa"/>
            <w:tcBorders>
              <w:top w:val="nil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28 (49)</w:t>
            </w:r>
          </w:p>
        </w:tc>
        <w:tc>
          <w:tcPr>
            <w:tcW w:w="236" w:type="dxa"/>
            <w:gridSpan w:val="2"/>
            <w:tcBorders>
              <w:top w:val="nil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891" w:type="dxa"/>
            <w:tcBorders>
              <w:top w:val="nil"/>
            </w:tcBorders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0.22</w:t>
            </w:r>
          </w:p>
        </w:tc>
      </w:tr>
      <w:tr w:rsidR="00D17578" w:rsidRPr="00DC35C7" w:rsidTr="00710BDC">
        <w:trPr>
          <w:trHeight w:val="397"/>
        </w:trPr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b/>
                <w:color w:val="auto"/>
                <w:sz w:val="20"/>
                <w:lang w:eastAsia="en-US"/>
              </w:rPr>
            </w:pPr>
          </w:p>
        </w:tc>
        <w:tc>
          <w:tcPr>
            <w:tcW w:w="3348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710BDC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eGFR, mL/min/1.73 m</w:t>
            </w:r>
            <w:r w:rsidRPr="00DC35C7">
              <w:rPr>
                <w:rFonts w:ascii="Palatino Linotype" w:eastAsia="Calibri" w:hAnsi="Palatino Linotype"/>
                <w:color w:val="auto"/>
                <w:sz w:val="20"/>
                <w:vertAlign w:val="superscript"/>
                <w:lang w:val="en-GB" w:eastAsia="en-US"/>
              </w:rPr>
              <w:t>2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de-DE" w:eastAsia="en-US"/>
              </w:rPr>
            </w:pPr>
          </w:p>
        </w:tc>
        <w:tc>
          <w:tcPr>
            <w:tcW w:w="1982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de-DE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de-DE" w:eastAsia="en-US"/>
              </w:rPr>
              <w:t xml:space="preserve">52 </w:t>
            </w: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± 20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de-DE" w:eastAsia="en-US"/>
              </w:rPr>
            </w:pPr>
          </w:p>
        </w:tc>
        <w:tc>
          <w:tcPr>
            <w:tcW w:w="1865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de-DE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de-DE" w:eastAsia="en-US"/>
              </w:rPr>
              <w:t xml:space="preserve">50 </w:t>
            </w: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± 21</w:t>
            </w:r>
          </w:p>
        </w:tc>
        <w:tc>
          <w:tcPr>
            <w:tcW w:w="236" w:type="dxa"/>
            <w:gridSpan w:val="2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de-DE" w:eastAsia="en-US"/>
              </w:rPr>
            </w:pPr>
          </w:p>
        </w:tc>
        <w:tc>
          <w:tcPr>
            <w:tcW w:w="891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de-DE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de-DE" w:eastAsia="en-US"/>
              </w:rPr>
              <w:t>0.40</w:t>
            </w:r>
          </w:p>
        </w:tc>
      </w:tr>
      <w:tr w:rsidR="00D17578" w:rsidRPr="00DC35C7" w:rsidTr="00710BDC">
        <w:trPr>
          <w:trHeight w:val="397"/>
        </w:trPr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b/>
                <w:color w:val="auto"/>
                <w:sz w:val="20"/>
                <w:lang w:eastAsia="en-US"/>
              </w:rPr>
            </w:pPr>
          </w:p>
        </w:tc>
        <w:tc>
          <w:tcPr>
            <w:tcW w:w="3348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710BDC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Urinary protein excretion, g/24 h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1982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0.20 [0.02−0.34]</w:t>
            </w:r>
            <w:r w:rsidRPr="00DC35C7">
              <w:rPr>
                <w:rFonts w:ascii="Palatino Linotype" w:eastAsia="Calibri" w:hAnsi="Palatino Linotype"/>
                <w:color w:val="auto"/>
                <w:sz w:val="20"/>
                <w:vertAlign w:val="superscript"/>
                <w:lang w:val="en-GB" w:eastAsia="en-US"/>
              </w:rPr>
              <w:t xml:space="preserve"> ‡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1865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0.20 [0.02−0.55]</w:t>
            </w:r>
          </w:p>
        </w:tc>
        <w:tc>
          <w:tcPr>
            <w:tcW w:w="236" w:type="dxa"/>
            <w:gridSpan w:val="2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891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0.27</w:t>
            </w:r>
          </w:p>
        </w:tc>
      </w:tr>
      <w:tr w:rsidR="00D17578" w:rsidRPr="00DC35C7" w:rsidTr="00710BDC">
        <w:trPr>
          <w:trHeight w:val="397"/>
        </w:trPr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b/>
                <w:color w:val="auto"/>
                <w:sz w:val="20"/>
                <w:lang w:val="en-GB" w:eastAsia="en-US"/>
              </w:rPr>
            </w:pPr>
          </w:p>
        </w:tc>
        <w:tc>
          <w:tcPr>
            <w:tcW w:w="3348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710BDC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 xml:space="preserve">Pre−emptive transplant, </w:t>
            </w:r>
            <w:r w:rsidRPr="00DC35C7">
              <w:rPr>
                <w:rFonts w:ascii="Palatino Linotype" w:eastAsia="Calibri" w:hAnsi="Palatino Linotype"/>
                <w:i/>
                <w:color w:val="auto"/>
                <w:sz w:val="20"/>
                <w:lang w:val="en-GB" w:eastAsia="en-US"/>
              </w:rPr>
              <w:t>n</w:t>
            </w: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 xml:space="preserve"> (%)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1982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105 (16)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1865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8 (14)</w:t>
            </w:r>
          </w:p>
        </w:tc>
        <w:tc>
          <w:tcPr>
            <w:tcW w:w="236" w:type="dxa"/>
            <w:gridSpan w:val="2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891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0.67</w:t>
            </w:r>
          </w:p>
        </w:tc>
      </w:tr>
      <w:tr w:rsidR="00D17578" w:rsidRPr="00DC35C7" w:rsidTr="00710BDC">
        <w:trPr>
          <w:trHeight w:val="397"/>
        </w:trPr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b/>
                <w:color w:val="auto"/>
                <w:sz w:val="20"/>
                <w:lang w:eastAsia="en-US"/>
              </w:rPr>
            </w:pPr>
          </w:p>
        </w:tc>
        <w:tc>
          <w:tcPr>
            <w:tcW w:w="3348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710BDC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Age of donor, years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</w:p>
        </w:tc>
        <w:tc>
          <w:tcPr>
            <w:tcW w:w="1982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43 ± 15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</w:p>
        </w:tc>
        <w:tc>
          <w:tcPr>
            <w:tcW w:w="1865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41 ± 17</w:t>
            </w:r>
          </w:p>
        </w:tc>
        <w:tc>
          <w:tcPr>
            <w:tcW w:w="236" w:type="dxa"/>
            <w:gridSpan w:val="2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</w:p>
        </w:tc>
        <w:tc>
          <w:tcPr>
            <w:tcW w:w="891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0.27</w:t>
            </w:r>
          </w:p>
        </w:tc>
      </w:tr>
      <w:tr w:rsidR="00D17578" w:rsidRPr="00DC35C7" w:rsidTr="00710BDC">
        <w:trPr>
          <w:trHeight w:val="397"/>
        </w:trPr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b/>
                <w:color w:val="auto"/>
                <w:sz w:val="20"/>
                <w:lang w:eastAsia="en-US"/>
              </w:rPr>
            </w:pPr>
          </w:p>
        </w:tc>
        <w:tc>
          <w:tcPr>
            <w:tcW w:w="3348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710BDC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Sex of donor (male</w:t>
            </w:r>
            <w:proofErr w:type="gramStart"/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) ,</w:t>
            </w:r>
            <w:proofErr w:type="gramEnd"/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 xml:space="preserve"> </w:t>
            </w:r>
            <w:r w:rsidRPr="00DC35C7">
              <w:rPr>
                <w:rFonts w:ascii="Palatino Linotype" w:eastAsia="Calibri" w:hAnsi="Palatino Linotype"/>
                <w:i/>
                <w:color w:val="auto"/>
                <w:sz w:val="20"/>
                <w:lang w:val="en-GB" w:eastAsia="en-US"/>
              </w:rPr>
              <w:t>n</w:t>
            </w: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 xml:space="preserve"> (%)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1982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331 (51)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</w:p>
        </w:tc>
        <w:tc>
          <w:tcPr>
            <w:tcW w:w="1865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26 (46)</w:t>
            </w:r>
          </w:p>
        </w:tc>
        <w:tc>
          <w:tcPr>
            <w:tcW w:w="236" w:type="dxa"/>
            <w:gridSpan w:val="2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</w:p>
        </w:tc>
        <w:tc>
          <w:tcPr>
            <w:tcW w:w="891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0.50</w:t>
            </w:r>
          </w:p>
        </w:tc>
      </w:tr>
      <w:tr w:rsidR="00D17578" w:rsidRPr="00DC35C7" w:rsidTr="00710BDC">
        <w:trPr>
          <w:trHeight w:val="397"/>
        </w:trPr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b/>
                <w:color w:val="auto"/>
                <w:sz w:val="20"/>
                <w:lang w:eastAsia="en-US"/>
              </w:rPr>
            </w:pPr>
          </w:p>
        </w:tc>
        <w:tc>
          <w:tcPr>
            <w:tcW w:w="3348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710BDC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Time since transplantation, years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</w:p>
        </w:tc>
        <w:tc>
          <w:tcPr>
            <w:tcW w:w="1982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5.28 [1.74−12.00]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</w:p>
        </w:tc>
        <w:tc>
          <w:tcPr>
            <w:tcW w:w="1865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7.00 [3.14−12.15]</w:t>
            </w:r>
          </w:p>
        </w:tc>
        <w:tc>
          <w:tcPr>
            <w:tcW w:w="236" w:type="dxa"/>
            <w:gridSpan w:val="2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</w:p>
        </w:tc>
        <w:tc>
          <w:tcPr>
            <w:tcW w:w="891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0.20</w:t>
            </w:r>
          </w:p>
        </w:tc>
      </w:tr>
      <w:tr w:rsidR="00D17578" w:rsidRPr="00DC35C7" w:rsidTr="00710BDC">
        <w:trPr>
          <w:trHeight w:val="397"/>
        </w:trPr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b/>
                <w:color w:val="auto"/>
                <w:sz w:val="20"/>
                <w:lang w:eastAsia="en-US"/>
              </w:rPr>
            </w:pPr>
          </w:p>
        </w:tc>
        <w:tc>
          <w:tcPr>
            <w:tcW w:w="3348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710BDC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Cumulative prednisolone dose, g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1982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17.4 [5.2−36.2]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1865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19.3 [7.7−35.1]</w:t>
            </w:r>
          </w:p>
        </w:tc>
        <w:tc>
          <w:tcPr>
            <w:tcW w:w="236" w:type="dxa"/>
            <w:gridSpan w:val="2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891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0.22</w:t>
            </w:r>
          </w:p>
        </w:tc>
      </w:tr>
      <w:tr w:rsidR="00D17578" w:rsidRPr="00DC35C7" w:rsidTr="00710BDC">
        <w:trPr>
          <w:trHeight w:val="397"/>
        </w:trPr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b/>
                <w:color w:val="auto"/>
                <w:sz w:val="20"/>
                <w:lang w:val="en-GB" w:eastAsia="en-US"/>
              </w:rPr>
            </w:pPr>
          </w:p>
        </w:tc>
        <w:tc>
          <w:tcPr>
            <w:tcW w:w="3348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710BDC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 xml:space="preserve">Sirolimus or </w:t>
            </w:r>
            <w:proofErr w:type="spellStart"/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rapamune</w:t>
            </w:r>
            <w:proofErr w:type="spellEnd"/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 xml:space="preserve"> use, </w:t>
            </w:r>
            <w:r w:rsidRPr="00DC35C7">
              <w:rPr>
                <w:rFonts w:ascii="Palatino Linotype" w:eastAsia="Calibri" w:hAnsi="Palatino Linotype"/>
                <w:i/>
                <w:color w:val="auto"/>
                <w:sz w:val="20"/>
                <w:lang w:val="en-GB" w:eastAsia="en-US"/>
              </w:rPr>
              <w:t>n</w:t>
            </w: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 xml:space="preserve"> (%)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1982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13 (2)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1865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1 (2)</w:t>
            </w:r>
          </w:p>
        </w:tc>
        <w:tc>
          <w:tcPr>
            <w:tcW w:w="236" w:type="dxa"/>
            <w:gridSpan w:val="2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891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0.27</w:t>
            </w:r>
          </w:p>
        </w:tc>
      </w:tr>
      <w:tr w:rsidR="00D17578" w:rsidRPr="00DC35C7" w:rsidTr="00710BDC">
        <w:trPr>
          <w:gridAfter w:val="2"/>
          <w:wAfter w:w="1086" w:type="dxa"/>
          <w:trHeight w:val="397"/>
        </w:trPr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D17578" w:rsidRPr="00DC35C7" w:rsidRDefault="00D17578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b/>
                <w:color w:val="auto"/>
                <w:sz w:val="20"/>
                <w:lang w:val="en-GB" w:eastAsia="en-US"/>
              </w:rPr>
            </w:pPr>
          </w:p>
        </w:tc>
        <w:tc>
          <w:tcPr>
            <w:tcW w:w="0" w:type="auto"/>
            <w:gridSpan w:val="7"/>
            <w:shd w:val="clear" w:color="auto" w:fill="auto"/>
            <w:vAlign w:val="center"/>
          </w:tcPr>
          <w:p w:rsidR="00D17578" w:rsidRPr="00DC35C7" w:rsidRDefault="00D17578" w:rsidP="00D17578">
            <w:pPr>
              <w:spacing w:line="240" w:lineRule="auto"/>
              <w:jc w:val="left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Type of calcineurin inhibitor</w:t>
            </w:r>
          </w:p>
        </w:tc>
      </w:tr>
      <w:tr w:rsidR="00D17578" w:rsidRPr="00DC35C7" w:rsidTr="00710BDC">
        <w:trPr>
          <w:trHeight w:val="397"/>
        </w:trPr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b/>
                <w:color w:val="auto"/>
                <w:sz w:val="20"/>
                <w:lang w:val="en-GB" w:eastAsia="en-US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b/>
                <w:color w:val="auto"/>
                <w:sz w:val="20"/>
                <w:lang w:val="en-GB" w:eastAsia="en-US"/>
              </w:rPr>
            </w:pPr>
          </w:p>
        </w:tc>
        <w:tc>
          <w:tcPr>
            <w:tcW w:w="3126" w:type="dxa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710BDC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 xml:space="preserve">Cyclosporine, </w:t>
            </w:r>
            <w:r w:rsidRPr="00DC35C7">
              <w:rPr>
                <w:rFonts w:ascii="Palatino Linotype" w:eastAsia="Calibri" w:hAnsi="Palatino Linotype"/>
                <w:i/>
                <w:color w:val="auto"/>
                <w:sz w:val="20"/>
                <w:lang w:val="en-GB" w:eastAsia="en-US"/>
              </w:rPr>
              <w:t>n</w:t>
            </w: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 xml:space="preserve"> (%)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1982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258 (40)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1865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19 (33)</w:t>
            </w:r>
          </w:p>
        </w:tc>
        <w:tc>
          <w:tcPr>
            <w:tcW w:w="236" w:type="dxa"/>
            <w:gridSpan w:val="2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</w:p>
        </w:tc>
        <w:tc>
          <w:tcPr>
            <w:tcW w:w="891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>0.34</w:t>
            </w:r>
          </w:p>
        </w:tc>
      </w:tr>
      <w:tr w:rsidR="00D17578" w:rsidRPr="00DC35C7" w:rsidTr="00710BDC">
        <w:trPr>
          <w:trHeight w:val="397"/>
        </w:trPr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b/>
                <w:color w:val="auto"/>
                <w:sz w:val="20"/>
                <w:lang w:val="en-GB" w:eastAsia="en-US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b/>
                <w:color w:val="auto"/>
                <w:sz w:val="20"/>
                <w:lang w:val="en-GB" w:eastAsia="en-US"/>
              </w:rPr>
            </w:pPr>
          </w:p>
        </w:tc>
        <w:tc>
          <w:tcPr>
            <w:tcW w:w="3126" w:type="dxa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710BDC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 xml:space="preserve">Tacrolimus, </w:t>
            </w:r>
            <w:r w:rsidRPr="00DC35C7">
              <w:rPr>
                <w:rFonts w:ascii="Palatino Linotype" w:eastAsia="Calibri" w:hAnsi="Palatino Linotype"/>
                <w:i/>
                <w:color w:val="auto"/>
                <w:sz w:val="20"/>
                <w:lang w:eastAsia="en-US"/>
              </w:rPr>
              <w:t>n</w:t>
            </w: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 xml:space="preserve"> (%)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</w:p>
        </w:tc>
        <w:tc>
          <w:tcPr>
            <w:tcW w:w="1982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120 (19)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</w:p>
        </w:tc>
        <w:tc>
          <w:tcPr>
            <w:tcW w:w="1865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10 (18)</w:t>
            </w:r>
          </w:p>
        </w:tc>
        <w:tc>
          <w:tcPr>
            <w:tcW w:w="236" w:type="dxa"/>
            <w:gridSpan w:val="2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</w:p>
        </w:tc>
        <w:tc>
          <w:tcPr>
            <w:tcW w:w="891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0.86</w:t>
            </w:r>
          </w:p>
        </w:tc>
      </w:tr>
      <w:tr w:rsidR="00D17578" w:rsidRPr="00DC35C7" w:rsidTr="00710BDC">
        <w:trPr>
          <w:gridAfter w:val="2"/>
          <w:wAfter w:w="1086" w:type="dxa"/>
          <w:trHeight w:val="397"/>
        </w:trPr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D17578" w:rsidRPr="00DC35C7" w:rsidRDefault="00D17578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b/>
                <w:color w:val="auto"/>
                <w:sz w:val="20"/>
                <w:lang w:eastAsia="en-US"/>
              </w:rPr>
            </w:pPr>
          </w:p>
        </w:tc>
        <w:tc>
          <w:tcPr>
            <w:tcW w:w="0" w:type="auto"/>
            <w:gridSpan w:val="7"/>
            <w:shd w:val="clear" w:color="auto" w:fill="auto"/>
            <w:vAlign w:val="center"/>
          </w:tcPr>
          <w:p w:rsidR="00D17578" w:rsidRPr="00DC35C7" w:rsidRDefault="00D17578" w:rsidP="00D17578">
            <w:pPr>
              <w:spacing w:line="240" w:lineRule="auto"/>
              <w:jc w:val="left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Type of proliferation inhibitor</w:t>
            </w:r>
          </w:p>
        </w:tc>
      </w:tr>
      <w:tr w:rsidR="00D17578" w:rsidRPr="00DC35C7" w:rsidTr="00710BDC">
        <w:trPr>
          <w:trHeight w:val="397"/>
        </w:trPr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b/>
                <w:color w:val="auto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b/>
                <w:color w:val="auto"/>
                <w:sz w:val="20"/>
                <w:lang w:eastAsia="en-US"/>
              </w:rPr>
            </w:pPr>
          </w:p>
        </w:tc>
        <w:tc>
          <w:tcPr>
            <w:tcW w:w="3126" w:type="dxa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710BDC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 xml:space="preserve">Mycophenolic acid, </w:t>
            </w:r>
            <w:r w:rsidRPr="00DC35C7">
              <w:rPr>
                <w:rFonts w:ascii="Palatino Linotype" w:eastAsia="Calibri" w:hAnsi="Palatino Linotype"/>
                <w:i/>
                <w:color w:val="auto"/>
                <w:sz w:val="20"/>
                <w:lang w:eastAsia="en-US"/>
              </w:rPr>
              <w:t>n</w:t>
            </w: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 xml:space="preserve"> (%)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</w:p>
        </w:tc>
        <w:tc>
          <w:tcPr>
            <w:tcW w:w="1982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424 (65)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</w:p>
        </w:tc>
        <w:tc>
          <w:tcPr>
            <w:tcW w:w="1865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39 (68)</w:t>
            </w:r>
          </w:p>
        </w:tc>
        <w:tc>
          <w:tcPr>
            <w:tcW w:w="236" w:type="dxa"/>
            <w:gridSpan w:val="2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</w:p>
        </w:tc>
        <w:tc>
          <w:tcPr>
            <w:tcW w:w="891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0.64</w:t>
            </w:r>
          </w:p>
        </w:tc>
      </w:tr>
      <w:tr w:rsidR="00D17578" w:rsidRPr="00DC35C7" w:rsidTr="00710BDC">
        <w:trPr>
          <w:trHeight w:val="397"/>
        </w:trPr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b/>
                <w:color w:val="auto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b/>
                <w:color w:val="auto"/>
                <w:sz w:val="20"/>
                <w:lang w:eastAsia="en-US"/>
              </w:rPr>
            </w:pPr>
          </w:p>
        </w:tc>
        <w:tc>
          <w:tcPr>
            <w:tcW w:w="3126" w:type="dxa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710BDC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 xml:space="preserve">Azathioprine, </w:t>
            </w:r>
            <w:r w:rsidRPr="00DC35C7">
              <w:rPr>
                <w:rFonts w:ascii="Palatino Linotype" w:eastAsia="Calibri" w:hAnsi="Palatino Linotype"/>
                <w:i/>
                <w:color w:val="auto"/>
                <w:sz w:val="20"/>
                <w:lang w:eastAsia="en-US"/>
              </w:rPr>
              <w:t>n</w:t>
            </w: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 xml:space="preserve"> (%)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</w:p>
        </w:tc>
        <w:tc>
          <w:tcPr>
            <w:tcW w:w="1982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112 (17)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</w:p>
        </w:tc>
        <w:tc>
          <w:tcPr>
            <w:tcW w:w="1865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11 (19)</w:t>
            </w:r>
          </w:p>
        </w:tc>
        <w:tc>
          <w:tcPr>
            <w:tcW w:w="236" w:type="dxa"/>
            <w:gridSpan w:val="2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</w:p>
        </w:tc>
        <w:tc>
          <w:tcPr>
            <w:tcW w:w="891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0.70</w:t>
            </w:r>
          </w:p>
        </w:tc>
      </w:tr>
      <w:tr w:rsidR="00D17578" w:rsidRPr="00DC35C7" w:rsidTr="00710BDC">
        <w:trPr>
          <w:trHeight w:val="397"/>
        </w:trPr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b/>
                <w:color w:val="auto"/>
                <w:sz w:val="20"/>
                <w:lang w:eastAsia="en-US"/>
              </w:rPr>
            </w:pPr>
          </w:p>
        </w:tc>
        <w:tc>
          <w:tcPr>
            <w:tcW w:w="3348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DC35C7" w:rsidRPr="00DC35C7" w:rsidRDefault="00DC35C7" w:rsidP="00710BDC">
            <w:pPr>
              <w:spacing w:line="240" w:lineRule="auto"/>
              <w:rPr>
                <w:rFonts w:ascii="Palatino Linotype" w:eastAsia="Calibri" w:hAnsi="Palatino Linotype"/>
                <w:b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 xml:space="preserve">Acute rejection treatment, </w:t>
            </w:r>
            <w:r w:rsidRPr="00DC35C7">
              <w:rPr>
                <w:rFonts w:ascii="Palatino Linotype" w:eastAsia="Calibri" w:hAnsi="Palatino Linotype"/>
                <w:i/>
                <w:color w:val="auto"/>
                <w:sz w:val="20"/>
                <w:lang w:eastAsia="en-US"/>
              </w:rPr>
              <w:t>n</w:t>
            </w: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 xml:space="preserve"> (%)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</w:p>
        </w:tc>
        <w:tc>
          <w:tcPr>
            <w:tcW w:w="1982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172 (27)</w:t>
            </w:r>
          </w:p>
        </w:tc>
        <w:tc>
          <w:tcPr>
            <w:tcW w:w="236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</w:p>
        </w:tc>
        <w:tc>
          <w:tcPr>
            <w:tcW w:w="1865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17 (30)</w:t>
            </w:r>
          </w:p>
        </w:tc>
        <w:tc>
          <w:tcPr>
            <w:tcW w:w="236" w:type="dxa"/>
            <w:gridSpan w:val="2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</w:p>
        </w:tc>
        <w:tc>
          <w:tcPr>
            <w:tcW w:w="891" w:type="dxa"/>
            <w:vAlign w:val="center"/>
          </w:tcPr>
          <w:p w:rsidR="00DC35C7" w:rsidRPr="00DC35C7" w:rsidRDefault="00DC35C7" w:rsidP="00D17578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lang w:eastAsia="en-US"/>
              </w:rPr>
              <w:t>0.59</w:t>
            </w:r>
          </w:p>
        </w:tc>
      </w:tr>
    </w:tbl>
    <w:p w:rsidR="00DC35C7" w:rsidRPr="00DC35C7" w:rsidRDefault="00DC35C7" w:rsidP="00DC35C7">
      <w:pPr>
        <w:adjustRightInd w:val="0"/>
        <w:snapToGrid w:val="0"/>
        <w:spacing w:before="120" w:line="260" w:lineRule="atLeast"/>
        <w:ind w:left="425" w:right="425"/>
        <w:rPr>
          <w:rFonts w:ascii="Palatino Linotype" w:hAnsi="Palatino Linotype"/>
          <w:sz w:val="18"/>
          <w:lang w:bidi="en-US"/>
        </w:rPr>
      </w:pPr>
      <w:r w:rsidRPr="00DC35C7">
        <w:rPr>
          <w:rFonts w:ascii="Palatino Linotype" w:hAnsi="Palatino Linotype"/>
          <w:sz w:val="18"/>
          <w:lang w:bidi="en-US"/>
        </w:rPr>
        <w:t>Abbreviations: eGFR, estimated glomerular filtration rate. Differences were tested by ANOVA or Kruskal-Wallis test for continuous variables and by χ2 test for categorical variables. †Mean ± (standard deviation); §n (percentage); ‡Median [interquartile range], all such values.</w:t>
      </w:r>
    </w:p>
    <w:p w:rsidR="00DC35C7" w:rsidRPr="00A27720" w:rsidRDefault="00DC35C7" w:rsidP="00DC35C7">
      <w:pPr>
        <w:pStyle w:val="MDPI21heading1"/>
        <w:spacing w:before="480"/>
        <w:rPr>
          <w:lang w:eastAsia="zh-CN"/>
        </w:rPr>
      </w:pPr>
      <w:r>
        <w:br w:type="page"/>
      </w:r>
      <w:r>
        <w:rPr>
          <w:lang w:eastAsia="zh-CN"/>
        </w:rPr>
        <w:lastRenderedPageBreak/>
        <w:t>2</w:t>
      </w:r>
      <w:r w:rsidRPr="00A27720">
        <w:rPr>
          <w:lang w:eastAsia="zh-CN"/>
        </w:rPr>
        <w:t xml:space="preserve">. </w:t>
      </w:r>
      <w:r>
        <w:rPr>
          <w:lang w:eastAsia="zh-CN"/>
        </w:rPr>
        <w:t>Table S2</w:t>
      </w:r>
    </w:p>
    <w:p w:rsidR="00DC35C7" w:rsidRPr="00DC35C7" w:rsidRDefault="00DC35C7" w:rsidP="00DC35C7">
      <w:pPr>
        <w:adjustRightInd w:val="0"/>
        <w:snapToGrid w:val="0"/>
        <w:spacing w:before="120" w:after="120" w:line="260" w:lineRule="atLeast"/>
        <w:ind w:left="425" w:right="425"/>
        <w:jc w:val="center"/>
        <w:rPr>
          <w:rFonts w:ascii="Palatino Linotype" w:hAnsi="Palatino Linotype"/>
          <w:sz w:val="18"/>
          <w:lang w:bidi="en-US"/>
        </w:rPr>
      </w:pPr>
      <w:r w:rsidRPr="00DC35C7">
        <w:rPr>
          <w:rFonts w:ascii="Palatino Linotype" w:hAnsi="Palatino Linotype"/>
          <w:b/>
          <w:sz w:val="18"/>
          <w:lang w:bidi="en-US"/>
        </w:rPr>
        <w:t>Table S2.</w:t>
      </w:r>
      <w:r w:rsidRPr="00DC35C7">
        <w:rPr>
          <w:rFonts w:ascii="Palatino Linotype" w:hAnsi="Palatino Linotype"/>
          <w:sz w:val="18"/>
          <w:lang w:bidi="en-US"/>
        </w:rPr>
        <w:t xml:space="preserve"> Effect-modification of pre-specified baseline characteristics on the associations of uEGF/Cr with graft failure.</w:t>
      </w:r>
    </w:p>
    <w:tbl>
      <w:tblPr>
        <w:tblStyle w:val="TableGrid1"/>
        <w:tblW w:w="847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0"/>
        <w:gridCol w:w="652"/>
        <w:gridCol w:w="2173"/>
        <w:gridCol w:w="1739"/>
      </w:tblGrid>
      <w:tr w:rsidR="00DC35C7" w:rsidRPr="00DC35C7" w:rsidTr="00E8643D">
        <w:trPr>
          <w:jc w:val="center"/>
        </w:trPr>
        <w:tc>
          <w:tcPr>
            <w:tcW w:w="3910" w:type="dxa"/>
            <w:tcBorders>
              <w:top w:val="single" w:sz="4" w:space="0" w:color="auto"/>
            </w:tcBorders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</w:tcBorders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</w:tc>
        <w:tc>
          <w:tcPr>
            <w:tcW w:w="3912" w:type="dxa"/>
            <w:gridSpan w:val="2"/>
            <w:tcBorders>
              <w:top w:val="single" w:sz="4" w:space="0" w:color="auto"/>
            </w:tcBorders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Graft failure</w:t>
            </w:r>
          </w:p>
        </w:tc>
      </w:tr>
      <w:tr w:rsidR="00DC35C7" w:rsidRPr="00DC35C7" w:rsidTr="00E8643D">
        <w:trPr>
          <w:jc w:val="center"/>
        </w:trPr>
        <w:tc>
          <w:tcPr>
            <w:tcW w:w="3910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</w:tc>
        <w:tc>
          <w:tcPr>
            <w:tcW w:w="652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</w:tc>
        <w:tc>
          <w:tcPr>
            <w:tcW w:w="2173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B</w:t>
            </w:r>
          </w:p>
        </w:tc>
        <w:tc>
          <w:tcPr>
            <w:tcW w:w="1739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i/>
                <w:color w:val="auto"/>
                <w:sz w:val="20"/>
                <w:szCs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i/>
                <w:color w:val="auto"/>
                <w:sz w:val="20"/>
                <w:szCs w:val="20"/>
                <w:lang w:val="en-GB" w:eastAsia="en-US"/>
              </w:rPr>
              <w:t>P</w:t>
            </w:r>
          </w:p>
        </w:tc>
      </w:tr>
      <w:tr w:rsidR="00DC35C7" w:rsidRPr="00DC35C7" w:rsidTr="00E8643D">
        <w:trPr>
          <w:jc w:val="center"/>
        </w:trPr>
        <w:tc>
          <w:tcPr>
            <w:tcW w:w="3910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left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Age, years</w:t>
            </w:r>
          </w:p>
        </w:tc>
        <w:tc>
          <w:tcPr>
            <w:tcW w:w="652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</w:tc>
        <w:tc>
          <w:tcPr>
            <w:tcW w:w="2173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0.004</w:t>
            </w:r>
          </w:p>
        </w:tc>
        <w:tc>
          <w:tcPr>
            <w:tcW w:w="1739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0.53</w:t>
            </w:r>
          </w:p>
        </w:tc>
      </w:tr>
      <w:tr w:rsidR="00DC35C7" w:rsidRPr="00DC35C7" w:rsidTr="00E8643D">
        <w:trPr>
          <w:jc w:val="center"/>
        </w:trPr>
        <w:tc>
          <w:tcPr>
            <w:tcW w:w="3910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left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Sex</w:t>
            </w:r>
          </w:p>
        </w:tc>
        <w:tc>
          <w:tcPr>
            <w:tcW w:w="652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</w:tc>
        <w:tc>
          <w:tcPr>
            <w:tcW w:w="2173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-0.09</w:t>
            </w:r>
          </w:p>
        </w:tc>
        <w:tc>
          <w:tcPr>
            <w:tcW w:w="1739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0.50</w:t>
            </w:r>
          </w:p>
        </w:tc>
      </w:tr>
      <w:tr w:rsidR="00DC35C7" w:rsidRPr="00DC35C7" w:rsidTr="00E8643D">
        <w:trPr>
          <w:jc w:val="center"/>
        </w:trPr>
        <w:tc>
          <w:tcPr>
            <w:tcW w:w="3910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left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eGFR, ml/min/m</w:t>
            </w: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vertAlign w:val="superscript"/>
                <w:lang w:val="en-GB" w:eastAsia="en-US"/>
              </w:rPr>
              <w:t>2</w:t>
            </w:r>
          </w:p>
        </w:tc>
        <w:tc>
          <w:tcPr>
            <w:tcW w:w="652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2173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0.003</w:t>
            </w:r>
          </w:p>
        </w:tc>
        <w:tc>
          <w:tcPr>
            <w:tcW w:w="1739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0.16</w:t>
            </w:r>
          </w:p>
        </w:tc>
      </w:tr>
      <w:tr w:rsidR="00DC35C7" w:rsidRPr="00DC35C7" w:rsidTr="00E8643D">
        <w:trPr>
          <w:jc w:val="center"/>
        </w:trPr>
        <w:tc>
          <w:tcPr>
            <w:tcW w:w="3910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left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Creatinine</w:t>
            </w:r>
          </w:p>
        </w:tc>
        <w:tc>
          <w:tcPr>
            <w:tcW w:w="652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2173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0.00</w:t>
            </w:r>
          </w:p>
        </w:tc>
        <w:tc>
          <w:tcPr>
            <w:tcW w:w="1739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0.87</w:t>
            </w:r>
          </w:p>
        </w:tc>
      </w:tr>
      <w:tr w:rsidR="00DC35C7" w:rsidRPr="00DC35C7" w:rsidTr="00E8643D">
        <w:trPr>
          <w:jc w:val="center"/>
        </w:trPr>
        <w:tc>
          <w:tcPr>
            <w:tcW w:w="3910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left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Urinary protein excretion, g/24h</w:t>
            </w:r>
          </w:p>
        </w:tc>
        <w:tc>
          <w:tcPr>
            <w:tcW w:w="652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</w:tc>
        <w:tc>
          <w:tcPr>
            <w:tcW w:w="2173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-0.06</w:t>
            </w:r>
          </w:p>
        </w:tc>
        <w:tc>
          <w:tcPr>
            <w:tcW w:w="1739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0.58</w:t>
            </w:r>
          </w:p>
        </w:tc>
      </w:tr>
      <w:tr w:rsidR="00DC35C7" w:rsidRPr="00DC35C7" w:rsidTr="00E8643D">
        <w:trPr>
          <w:jc w:val="center"/>
        </w:trPr>
        <w:tc>
          <w:tcPr>
            <w:tcW w:w="3910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left"/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</w:pPr>
            <w:proofErr w:type="spellStart"/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  <w:t>hsCRP</w:t>
            </w:r>
            <w:proofErr w:type="spellEnd"/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  <w:t>,</w:t>
            </w: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 xml:space="preserve"> mg/L</w:t>
            </w:r>
          </w:p>
        </w:tc>
        <w:tc>
          <w:tcPr>
            <w:tcW w:w="652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</w:pPr>
          </w:p>
        </w:tc>
        <w:tc>
          <w:tcPr>
            <w:tcW w:w="2173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  <w:t>0.00</w:t>
            </w:r>
          </w:p>
        </w:tc>
        <w:tc>
          <w:tcPr>
            <w:tcW w:w="1739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  <w:t>0.96</w:t>
            </w:r>
          </w:p>
        </w:tc>
      </w:tr>
      <w:tr w:rsidR="00DC35C7" w:rsidRPr="00DC35C7" w:rsidTr="00E8643D">
        <w:trPr>
          <w:jc w:val="center"/>
        </w:trPr>
        <w:tc>
          <w:tcPr>
            <w:tcW w:w="3910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left"/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</w:pPr>
            <w:proofErr w:type="spellStart"/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  <w:t>Acute</w:t>
            </w:r>
            <w:proofErr w:type="spellEnd"/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  <w:t xml:space="preserve"> </w:t>
            </w:r>
            <w:proofErr w:type="spellStart"/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  <w:t>rejection</w:t>
            </w:r>
            <w:proofErr w:type="spellEnd"/>
          </w:p>
        </w:tc>
        <w:tc>
          <w:tcPr>
            <w:tcW w:w="652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</w:pPr>
          </w:p>
        </w:tc>
        <w:tc>
          <w:tcPr>
            <w:tcW w:w="2173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  <w:t>-0.23</w:t>
            </w:r>
          </w:p>
        </w:tc>
        <w:tc>
          <w:tcPr>
            <w:tcW w:w="1739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  <w:t>0.19</w:t>
            </w:r>
          </w:p>
        </w:tc>
      </w:tr>
      <w:tr w:rsidR="00DC35C7" w:rsidRPr="00DC35C7" w:rsidTr="00E8643D">
        <w:trPr>
          <w:jc w:val="center"/>
        </w:trPr>
        <w:tc>
          <w:tcPr>
            <w:tcW w:w="3910" w:type="dxa"/>
            <w:tcBorders>
              <w:bottom w:val="single" w:sz="4" w:space="0" w:color="auto"/>
            </w:tcBorders>
            <w:vAlign w:val="center"/>
          </w:tcPr>
          <w:p w:rsidR="00DC35C7" w:rsidRPr="00DC35C7" w:rsidRDefault="00DC35C7" w:rsidP="00DC35C7">
            <w:pPr>
              <w:spacing w:line="240" w:lineRule="auto"/>
              <w:jc w:val="left"/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</w:pPr>
            <w:proofErr w:type="spellStart"/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  <w:t>Pre-emptive</w:t>
            </w:r>
            <w:proofErr w:type="spellEnd"/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  <w:t xml:space="preserve"> </w:t>
            </w:r>
            <w:proofErr w:type="spellStart"/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  <w:t>transplantation</w:t>
            </w:r>
            <w:proofErr w:type="spellEnd"/>
          </w:p>
        </w:tc>
        <w:tc>
          <w:tcPr>
            <w:tcW w:w="652" w:type="dxa"/>
            <w:tcBorders>
              <w:bottom w:val="single" w:sz="4" w:space="0" w:color="auto"/>
            </w:tcBorders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</w:pPr>
          </w:p>
        </w:tc>
        <w:tc>
          <w:tcPr>
            <w:tcW w:w="2173" w:type="dxa"/>
            <w:tcBorders>
              <w:bottom w:val="single" w:sz="4" w:space="0" w:color="auto"/>
            </w:tcBorders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  <w:t>-0.30</w:t>
            </w:r>
          </w:p>
        </w:tc>
        <w:tc>
          <w:tcPr>
            <w:tcW w:w="1739" w:type="dxa"/>
            <w:tcBorders>
              <w:bottom w:val="single" w:sz="4" w:space="0" w:color="auto"/>
            </w:tcBorders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es-ES" w:eastAsia="en-US"/>
              </w:rPr>
              <w:t>0.51</w:t>
            </w:r>
          </w:p>
        </w:tc>
      </w:tr>
    </w:tbl>
    <w:p w:rsidR="00404ED8" w:rsidRDefault="00DC35C7" w:rsidP="00710BDC">
      <w:pPr>
        <w:pStyle w:val="MDPI31text"/>
        <w:spacing w:before="120"/>
        <w:ind w:left="420" w:firstLine="5"/>
        <w:rPr>
          <w:rFonts w:eastAsia="Calibri"/>
          <w:color w:val="auto"/>
          <w:szCs w:val="24"/>
          <w:lang w:val="en-GB" w:eastAsia="en-US"/>
        </w:rPr>
      </w:pPr>
      <w:r w:rsidRPr="00404ED8">
        <w:rPr>
          <w:snapToGrid/>
          <w:sz w:val="18"/>
          <w:szCs w:val="20"/>
        </w:rPr>
        <w:t>Cox-proportional hazards regression analysis was performed to assess multiplicative interaction terms. B, standardized beta coefficient.</w:t>
      </w:r>
    </w:p>
    <w:p w:rsidR="00404ED8" w:rsidRDefault="00404ED8">
      <w:pPr>
        <w:spacing w:line="240" w:lineRule="auto"/>
        <w:jc w:val="left"/>
        <w:rPr>
          <w:rFonts w:ascii="Palatino Linotype" w:eastAsia="Calibri" w:hAnsi="Palatino Linotype"/>
          <w:snapToGrid w:val="0"/>
          <w:color w:val="auto"/>
          <w:sz w:val="20"/>
          <w:szCs w:val="24"/>
          <w:lang w:val="en-GB" w:eastAsia="en-US" w:bidi="en-US"/>
        </w:rPr>
      </w:pPr>
      <w:r>
        <w:rPr>
          <w:rFonts w:eastAsia="Calibri"/>
          <w:color w:val="auto"/>
          <w:szCs w:val="24"/>
          <w:lang w:val="en-GB" w:eastAsia="en-US"/>
        </w:rPr>
        <w:br w:type="page"/>
      </w:r>
    </w:p>
    <w:p w:rsidR="00DC35C7" w:rsidRPr="00DC35C7" w:rsidRDefault="00DC35C7" w:rsidP="00404ED8">
      <w:pPr>
        <w:pStyle w:val="MDPI21heading1"/>
        <w:rPr>
          <w:rFonts w:eastAsia="Calibri"/>
          <w:color w:val="auto"/>
          <w:szCs w:val="24"/>
          <w:lang w:val="en-GB" w:eastAsia="en-US"/>
        </w:rPr>
      </w:pPr>
      <w:r w:rsidRPr="00DC35C7">
        <w:lastRenderedPageBreak/>
        <w:t>3. Table S3</w:t>
      </w:r>
    </w:p>
    <w:p w:rsidR="00DC35C7" w:rsidRPr="00DC35C7" w:rsidRDefault="00DC35C7" w:rsidP="00DC35C7">
      <w:pPr>
        <w:adjustRightInd w:val="0"/>
        <w:snapToGrid w:val="0"/>
        <w:spacing w:before="120" w:after="120" w:line="260" w:lineRule="atLeast"/>
        <w:ind w:left="425" w:right="425"/>
        <w:jc w:val="center"/>
        <w:rPr>
          <w:rFonts w:ascii="Palatino Linotype" w:hAnsi="Palatino Linotype"/>
          <w:sz w:val="18"/>
          <w:lang w:bidi="en-US"/>
        </w:rPr>
      </w:pPr>
      <w:r w:rsidRPr="00DC35C7">
        <w:rPr>
          <w:rFonts w:ascii="Palatino Linotype" w:hAnsi="Palatino Linotype"/>
          <w:b/>
          <w:sz w:val="18"/>
          <w:lang w:bidi="en-US"/>
        </w:rPr>
        <w:t>Table S3.</w:t>
      </w:r>
      <w:r w:rsidRPr="00DC35C7">
        <w:rPr>
          <w:rFonts w:ascii="Palatino Linotype" w:hAnsi="Palatino Linotype"/>
          <w:sz w:val="18"/>
          <w:lang w:bidi="en-US"/>
        </w:rPr>
        <w:t xml:space="preserve"> Multivariable-adjusted associations between uEGF/Cr ratio and graft failure in RTR among the -2 and </w:t>
      </w:r>
      <w:r w:rsidR="00710BDC">
        <w:rPr>
          <w:rFonts w:ascii="Palatino Linotype" w:hAnsi="Palatino Linotype"/>
          <w:sz w:val="18"/>
          <w:lang w:bidi="en-US"/>
        </w:rPr>
        <w:t>+</w:t>
      </w:r>
      <w:r w:rsidRPr="00DC35C7">
        <w:rPr>
          <w:rFonts w:ascii="Palatino Linotype" w:hAnsi="Palatino Linotype"/>
          <w:sz w:val="18"/>
          <w:lang w:bidi="en-US"/>
        </w:rPr>
        <w:t>2 standard deviations of uEGF/Cr.</w:t>
      </w:r>
    </w:p>
    <w:tbl>
      <w:tblPr>
        <w:tblStyle w:val="TableGrid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222"/>
        <w:gridCol w:w="1491"/>
        <w:gridCol w:w="1358"/>
        <w:gridCol w:w="222"/>
        <w:gridCol w:w="876"/>
      </w:tblGrid>
      <w:tr w:rsidR="00DC35C7" w:rsidRPr="00DC35C7" w:rsidTr="00E8643D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  <w:t xml:space="preserve">HR per </w:t>
            </w:r>
            <w:proofErr w:type="spellStart"/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  <w:t>ng</w:t>
            </w:r>
            <w:proofErr w:type="spellEnd"/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  <w:t>/mg</w:t>
            </w:r>
          </w:p>
        </w:tc>
        <w:tc>
          <w:tcPr>
            <w:tcW w:w="1358" w:type="dxa"/>
            <w:tcBorders>
              <w:top w:val="single" w:sz="4" w:space="0" w:color="auto"/>
            </w:tcBorders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  <w:t>95% CI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  <w:r w:rsidRPr="00DC35C7">
              <w:rPr>
                <w:rFonts w:ascii="Palatino Linotype" w:eastAsia="Calibri" w:hAnsi="Palatino Linotype"/>
                <w:i/>
                <w:color w:val="auto"/>
                <w:sz w:val="20"/>
                <w:szCs w:val="20"/>
                <w:lang w:val="fr-FR" w:eastAsia="en-US"/>
              </w:rPr>
              <w:t>P</w:t>
            </w: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  <w:t xml:space="preserve"> value</w:t>
            </w:r>
          </w:p>
        </w:tc>
      </w:tr>
      <w:tr w:rsidR="00DC35C7" w:rsidRPr="00DC35C7" w:rsidTr="00E8643D">
        <w:trPr>
          <w:trHeight w:val="454"/>
          <w:jc w:val="center"/>
        </w:trPr>
        <w:tc>
          <w:tcPr>
            <w:tcW w:w="0" w:type="auto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  <w:t>Model 1</w:t>
            </w:r>
          </w:p>
        </w:tc>
        <w:tc>
          <w:tcPr>
            <w:tcW w:w="0" w:type="auto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</w:p>
        </w:tc>
        <w:tc>
          <w:tcPr>
            <w:tcW w:w="0" w:type="auto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  <w:t>0.68</w:t>
            </w:r>
          </w:p>
        </w:tc>
        <w:tc>
          <w:tcPr>
            <w:tcW w:w="1358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  <w:t>0.59-0.78</w:t>
            </w:r>
          </w:p>
        </w:tc>
        <w:tc>
          <w:tcPr>
            <w:tcW w:w="0" w:type="auto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</w:p>
        </w:tc>
        <w:tc>
          <w:tcPr>
            <w:tcW w:w="0" w:type="auto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  <w:t>&lt;0.001</w:t>
            </w:r>
          </w:p>
        </w:tc>
      </w:tr>
      <w:tr w:rsidR="00DC35C7" w:rsidRPr="00DC35C7" w:rsidTr="00E8643D">
        <w:trPr>
          <w:trHeight w:val="454"/>
          <w:jc w:val="center"/>
        </w:trPr>
        <w:tc>
          <w:tcPr>
            <w:tcW w:w="0" w:type="auto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  <w:t>Model 2</w:t>
            </w:r>
          </w:p>
        </w:tc>
        <w:tc>
          <w:tcPr>
            <w:tcW w:w="0" w:type="auto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</w:p>
        </w:tc>
        <w:tc>
          <w:tcPr>
            <w:tcW w:w="0" w:type="auto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  <w:t>0.67</w:t>
            </w:r>
          </w:p>
        </w:tc>
        <w:tc>
          <w:tcPr>
            <w:tcW w:w="1358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  <w:t>0.57-0.77</w:t>
            </w:r>
          </w:p>
        </w:tc>
        <w:tc>
          <w:tcPr>
            <w:tcW w:w="0" w:type="auto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</w:p>
        </w:tc>
        <w:tc>
          <w:tcPr>
            <w:tcW w:w="0" w:type="auto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  <w:t>&lt;0.001</w:t>
            </w:r>
          </w:p>
        </w:tc>
      </w:tr>
      <w:tr w:rsidR="00DC35C7" w:rsidRPr="00DC35C7" w:rsidTr="00E8643D">
        <w:trPr>
          <w:trHeight w:val="454"/>
          <w:jc w:val="center"/>
        </w:trPr>
        <w:tc>
          <w:tcPr>
            <w:tcW w:w="0" w:type="auto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  <w:t>Model 3</w:t>
            </w:r>
          </w:p>
        </w:tc>
        <w:tc>
          <w:tcPr>
            <w:tcW w:w="0" w:type="auto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</w:p>
        </w:tc>
        <w:tc>
          <w:tcPr>
            <w:tcW w:w="0" w:type="auto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  <w:t>0.67</w:t>
            </w:r>
          </w:p>
        </w:tc>
        <w:tc>
          <w:tcPr>
            <w:tcW w:w="1358" w:type="dxa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  <w:t>0.57-0.78</w:t>
            </w:r>
          </w:p>
        </w:tc>
        <w:tc>
          <w:tcPr>
            <w:tcW w:w="0" w:type="auto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</w:p>
        </w:tc>
        <w:tc>
          <w:tcPr>
            <w:tcW w:w="0" w:type="auto"/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  <w:t>&lt;0.001</w:t>
            </w:r>
          </w:p>
        </w:tc>
      </w:tr>
      <w:tr w:rsidR="00DC35C7" w:rsidRPr="00DC35C7" w:rsidTr="00E8643D">
        <w:trPr>
          <w:trHeight w:val="454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  <w:t>Model 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  <w:t>0.78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  <w:t>0.66-0.93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C35C7" w:rsidRPr="00DC35C7" w:rsidRDefault="00DC35C7" w:rsidP="00DC35C7">
            <w:pPr>
              <w:spacing w:line="240" w:lineRule="auto"/>
              <w:jc w:val="center"/>
              <w:rPr>
                <w:rFonts w:ascii="Palatino Linotype" w:eastAsia="Calibri" w:hAnsi="Palatino Linotype"/>
                <w:color w:val="auto"/>
                <w:sz w:val="20"/>
                <w:szCs w:val="20"/>
                <w:highlight w:val="cyan"/>
                <w:lang w:val="fr-FR" w:eastAsia="en-US"/>
              </w:rPr>
            </w:pPr>
            <w:r w:rsidRPr="00DC35C7">
              <w:rPr>
                <w:rFonts w:ascii="Palatino Linotype" w:eastAsia="Calibri" w:hAnsi="Palatino Linotype"/>
                <w:color w:val="auto"/>
                <w:sz w:val="20"/>
                <w:szCs w:val="20"/>
                <w:lang w:val="fr-FR" w:eastAsia="en-US"/>
              </w:rPr>
              <w:t>0.005</w:t>
            </w:r>
          </w:p>
        </w:tc>
      </w:tr>
    </w:tbl>
    <w:p w:rsidR="00DC35C7" w:rsidRPr="00DC35C7" w:rsidRDefault="00DC35C7" w:rsidP="00DC35C7">
      <w:pPr>
        <w:adjustRightInd w:val="0"/>
        <w:snapToGrid w:val="0"/>
        <w:spacing w:before="120" w:line="260" w:lineRule="atLeast"/>
        <w:ind w:left="425" w:right="425"/>
        <w:rPr>
          <w:rFonts w:ascii="Palatino Linotype" w:hAnsi="Palatino Linotype"/>
          <w:sz w:val="18"/>
          <w:lang w:bidi="en-US"/>
        </w:rPr>
      </w:pPr>
      <w:r w:rsidRPr="00DC35C7">
        <w:rPr>
          <w:rFonts w:ascii="Palatino Linotype" w:hAnsi="Palatino Linotype"/>
          <w:sz w:val="18"/>
          <w:lang w:bidi="en-US"/>
        </w:rPr>
        <w:t>In total 630 patients had uEGF/</w:t>
      </w:r>
      <w:r w:rsidR="00710BDC" w:rsidRPr="00DC35C7">
        <w:rPr>
          <w:rFonts w:ascii="Palatino Linotype" w:hAnsi="Palatino Linotype"/>
          <w:sz w:val="18"/>
          <w:lang w:bidi="en-US"/>
        </w:rPr>
        <w:t>Cr between</w:t>
      </w:r>
      <w:r w:rsidRPr="00DC35C7">
        <w:rPr>
          <w:rFonts w:ascii="Palatino Linotype" w:hAnsi="Palatino Linotype"/>
          <w:sz w:val="18"/>
          <w:lang w:bidi="en-US"/>
        </w:rPr>
        <w:t xml:space="preserve"> -2 and </w:t>
      </w:r>
      <w:r w:rsidR="00710BDC">
        <w:rPr>
          <w:rFonts w:ascii="Palatino Linotype" w:hAnsi="Palatino Linotype"/>
          <w:sz w:val="18"/>
          <w:lang w:bidi="en-US"/>
        </w:rPr>
        <w:t>+</w:t>
      </w:r>
      <w:r w:rsidRPr="00DC35C7">
        <w:rPr>
          <w:rFonts w:ascii="Palatino Linotype" w:hAnsi="Palatino Linotype"/>
          <w:sz w:val="18"/>
          <w:lang w:bidi="en-US"/>
        </w:rPr>
        <w:t xml:space="preserve">2 standard deviations. 40 (6%) patients developed graft failure. Model 1: crude. Model 2: model 1 + age and sex, and transplant related data. Model 3: model 1 +age and sex, and immunosuppressive therapy.  Model 4: model 1 +age and sex, and graft function </w:t>
      </w:r>
    </w:p>
    <w:p w:rsidR="00DC35C7" w:rsidRDefault="00DC35C7" w:rsidP="00DC35C7">
      <w:pPr>
        <w:pStyle w:val="MDPI71References"/>
        <w:numPr>
          <w:ilvl w:val="0"/>
          <w:numId w:val="0"/>
        </w:numPr>
        <w:spacing w:after="240"/>
        <w:ind w:left="360"/>
      </w:pPr>
      <w:bookmarkStart w:id="0" w:name="_GoBack"/>
      <w:bookmarkEnd w:id="0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21"/>
        <w:gridCol w:w="7123"/>
      </w:tblGrid>
      <w:tr w:rsidR="00853B85" w:rsidRPr="00C17D2C" w:rsidTr="007018D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53B85" w:rsidRPr="00C17D2C" w:rsidRDefault="00DC35C7" w:rsidP="008D0B41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SimSun"/>
                <w:bCs/>
              </w:rPr>
            </w:pPr>
            <w:r>
              <w:rPr>
                <w:rFonts w:eastAsia="SimSun"/>
                <w:bCs/>
                <w:noProof/>
                <w:snapToGrid/>
                <w:lang w:val="es-CO" w:eastAsia="es-CO" w:bidi="ar-SA"/>
              </w:rPr>
              <w:drawing>
                <wp:inline distT="0" distB="0" distL="0" distR="0">
                  <wp:extent cx="1003300" cy="361950"/>
                  <wp:effectExtent l="0" t="0" r="6350" b="0"/>
                  <wp:docPr id="3" name="Picture 3" descr="copy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pyR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shd w:val="clear" w:color="auto" w:fill="auto"/>
            <w:vAlign w:val="center"/>
          </w:tcPr>
          <w:p w:rsidR="00853B85" w:rsidRPr="00C17D2C" w:rsidRDefault="00705D61" w:rsidP="008D0B41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© 2019</w:t>
            </w:r>
            <w:r w:rsidR="00853B85" w:rsidRPr="00C17D2C">
              <w:rPr>
                <w:rFonts w:eastAsia="SimSun"/>
                <w:bCs/>
              </w:rPr>
              <w:t xml:space="preserve"> by the authors. Submitted for possible open access publication under the terms and conditions of the Creative Commons Attribution (CC BY) license (http://creativecommons.org/licenses/by/4.0/).</w:t>
            </w:r>
          </w:p>
        </w:tc>
      </w:tr>
    </w:tbl>
    <w:p w:rsidR="00996419" w:rsidRPr="00A27720" w:rsidRDefault="00996419" w:rsidP="00853B85">
      <w:pPr>
        <w:pStyle w:val="MDPI71References"/>
        <w:numPr>
          <w:ilvl w:val="0"/>
          <w:numId w:val="0"/>
        </w:numPr>
        <w:spacing w:after="240"/>
        <w:rPr>
          <w:rFonts w:eastAsia="SimSun"/>
        </w:rPr>
      </w:pPr>
    </w:p>
    <w:sectPr w:rsidR="00996419" w:rsidRPr="00A27720" w:rsidSect="009964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B0D" w:rsidRDefault="00274B0D">
      <w:pPr>
        <w:spacing w:line="240" w:lineRule="auto"/>
      </w:pPr>
      <w:r>
        <w:separator/>
      </w:r>
    </w:p>
  </w:endnote>
  <w:endnote w:type="continuationSeparator" w:id="0">
    <w:p w:rsidR="00274B0D" w:rsidRDefault="00274B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5AB" w:rsidRDefault="003D55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C8D" w:rsidRPr="00032917" w:rsidRDefault="00357C8D" w:rsidP="00357C8D">
    <w:pPr>
      <w:pStyle w:val="Piedepgina"/>
      <w:spacing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C8D" w:rsidRPr="00DC35C7" w:rsidRDefault="00357C8D" w:rsidP="00357C8D">
    <w:pPr>
      <w:pStyle w:val="MDPIfooterfirstpage"/>
      <w:spacing w:line="240" w:lineRule="auto"/>
      <w:jc w:val="both"/>
      <w:rPr>
        <w:lang w:val="en-GB"/>
      </w:rPr>
    </w:pPr>
    <w:r w:rsidRPr="00BB0268">
      <w:rPr>
        <w:i/>
        <w:szCs w:val="16"/>
      </w:rPr>
      <w:t>J. Clin. Med.</w:t>
    </w:r>
    <w:r w:rsidRPr="00BB0268">
      <w:rPr>
        <w:szCs w:val="16"/>
      </w:rPr>
      <w:t xml:space="preserve"> </w:t>
    </w:r>
    <w:r w:rsidR="00853B85" w:rsidRPr="00853B85">
      <w:rPr>
        <w:b/>
        <w:szCs w:val="16"/>
      </w:rPr>
      <w:t>2019</w:t>
    </w:r>
    <w:r w:rsidR="00853B85" w:rsidRPr="00853B85">
      <w:rPr>
        <w:szCs w:val="16"/>
      </w:rPr>
      <w:t xml:space="preserve">, </w:t>
    </w:r>
    <w:r w:rsidR="00853B85" w:rsidRPr="00853B85">
      <w:rPr>
        <w:i/>
        <w:szCs w:val="16"/>
      </w:rPr>
      <w:t>8</w:t>
    </w:r>
    <w:r w:rsidR="00853B85" w:rsidRPr="00853B85">
      <w:rPr>
        <w:szCs w:val="16"/>
      </w:rPr>
      <w:t xml:space="preserve">, </w:t>
    </w:r>
    <w:r w:rsidR="003D55AB">
      <w:rPr>
        <w:szCs w:val="16"/>
      </w:rPr>
      <w:t xml:space="preserve">x; </w:t>
    </w:r>
    <w:proofErr w:type="spellStart"/>
    <w:r w:rsidR="003D55AB">
      <w:rPr>
        <w:szCs w:val="16"/>
      </w:rPr>
      <w:t>doi</w:t>
    </w:r>
    <w:proofErr w:type="spellEnd"/>
    <w:r w:rsidR="003D55AB">
      <w:rPr>
        <w:szCs w:val="16"/>
      </w:rPr>
      <w:t>: FOR PEER REVIEW</w:t>
    </w:r>
    <w:r w:rsidR="00FD4789" w:rsidRPr="00DC35C7">
      <w:rPr>
        <w:lang w:val="en-GB"/>
      </w:rPr>
      <w:tab/>
    </w:r>
    <w:r w:rsidRPr="00DC35C7">
      <w:rPr>
        <w:lang w:val="en-GB"/>
      </w:rPr>
      <w:t>www.mdpi.com/journal/</w:t>
    </w:r>
    <w:proofErr w:type="spellStart"/>
    <w:r>
      <w:t>jcm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B0D" w:rsidRDefault="00274B0D">
      <w:pPr>
        <w:spacing w:line="240" w:lineRule="auto"/>
      </w:pPr>
      <w:r>
        <w:separator/>
      </w:r>
    </w:p>
  </w:footnote>
  <w:footnote w:type="continuationSeparator" w:id="0">
    <w:p w:rsidR="00274B0D" w:rsidRDefault="00274B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C8D" w:rsidRDefault="00357C8D" w:rsidP="00357C8D">
    <w:pPr>
      <w:pStyle w:val="Encabezado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C8D" w:rsidRPr="007A5CE1" w:rsidRDefault="00357C8D" w:rsidP="007018DC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J. Clin. Med. </w:t>
    </w:r>
    <w:r w:rsidR="00853B85" w:rsidRPr="00853B85">
      <w:rPr>
        <w:rFonts w:ascii="Palatino Linotype" w:hAnsi="Palatino Linotype"/>
        <w:b/>
        <w:sz w:val="16"/>
      </w:rPr>
      <w:t>2019</w:t>
    </w:r>
    <w:r w:rsidR="00853B85" w:rsidRPr="00853B85">
      <w:rPr>
        <w:rFonts w:ascii="Palatino Linotype" w:hAnsi="Palatino Linotype"/>
        <w:sz w:val="16"/>
      </w:rPr>
      <w:t xml:space="preserve">, </w:t>
    </w:r>
    <w:r w:rsidR="00853B85" w:rsidRPr="00853B85">
      <w:rPr>
        <w:rFonts w:ascii="Palatino Linotype" w:hAnsi="Palatino Linotype"/>
        <w:i/>
        <w:sz w:val="16"/>
      </w:rPr>
      <w:t>8</w:t>
    </w:r>
    <w:r w:rsidR="003D55AB">
      <w:rPr>
        <w:rFonts w:ascii="Palatino Linotype" w:hAnsi="Palatino Linotype"/>
        <w:sz w:val="16"/>
      </w:rPr>
      <w:t>, x FOR PEER REVIEW</w:t>
    </w:r>
    <w:r w:rsidR="00FD4789">
      <w:rPr>
        <w:rFonts w:ascii="Palatino Linotype" w:hAnsi="Palatino Linotype"/>
        <w:sz w:val="16"/>
      </w:rPr>
      <w:tab/>
    </w:r>
    <w:r w:rsidR="003D55AB">
      <w:rPr>
        <w:rFonts w:ascii="Palatino Linotype" w:hAnsi="Palatino Linotype"/>
        <w:sz w:val="16"/>
      </w:rPr>
      <w:fldChar w:fldCharType="begin"/>
    </w:r>
    <w:r w:rsidR="003D55AB">
      <w:rPr>
        <w:rFonts w:ascii="Palatino Linotype" w:hAnsi="Palatino Linotype"/>
        <w:sz w:val="16"/>
      </w:rPr>
      <w:instrText xml:space="preserve"> PAGE   \* MERGEFORMAT </w:instrText>
    </w:r>
    <w:r w:rsidR="003D55AB">
      <w:rPr>
        <w:rFonts w:ascii="Palatino Linotype" w:hAnsi="Palatino Linotype"/>
        <w:sz w:val="16"/>
      </w:rPr>
      <w:fldChar w:fldCharType="separate"/>
    </w:r>
    <w:r w:rsidR="00C1727F">
      <w:rPr>
        <w:rFonts w:ascii="Palatino Linotype" w:hAnsi="Palatino Linotype"/>
        <w:noProof/>
        <w:sz w:val="16"/>
      </w:rPr>
      <w:t>4</w:t>
    </w:r>
    <w:r w:rsidR="003D55AB">
      <w:rPr>
        <w:rFonts w:ascii="Palatino Linotype" w:hAnsi="Palatino Linotype"/>
        <w:sz w:val="16"/>
      </w:rPr>
      <w:fldChar w:fldCharType="end"/>
    </w:r>
    <w:r w:rsidR="003D55AB">
      <w:rPr>
        <w:rFonts w:ascii="Palatino Linotype" w:hAnsi="Palatino Linotype"/>
        <w:sz w:val="16"/>
      </w:rPr>
      <w:t xml:space="preserve"> of </w:t>
    </w:r>
    <w:r w:rsidR="003D55AB">
      <w:rPr>
        <w:rFonts w:ascii="Palatino Linotype" w:hAnsi="Palatino Linotype"/>
        <w:sz w:val="16"/>
      </w:rPr>
      <w:fldChar w:fldCharType="begin"/>
    </w:r>
    <w:r w:rsidR="003D55AB">
      <w:rPr>
        <w:rFonts w:ascii="Palatino Linotype" w:hAnsi="Palatino Linotype"/>
        <w:sz w:val="16"/>
      </w:rPr>
      <w:instrText xml:space="preserve"> NUMPAGES   \* MERGEFORMAT </w:instrText>
    </w:r>
    <w:r w:rsidR="003D55AB">
      <w:rPr>
        <w:rFonts w:ascii="Palatino Linotype" w:hAnsi="Palatino Linotype"/>
        <w:sz w:val="16"/>
      </w:rPr>
      <w:fldChar w:fldCharType="separate"/>
    </w:r>
    <w:r w:rsidR="00C1727F">
      <w:rPr>
        <w:rFonts w:ascii="Palatino Linotype" w:hAnsi="Palatino Linotype"/>
        <w:noProof/>
        <w:sz w:val="16"/>
      </w:rPr>
      <w:t>4</w:t>
    </w:r>
    <w:r w:rsidR="003D55AB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C8D" w:rsidRDefault="00DC35C7" w:rsidP="00357C8D">
    <w:pPr>
      <w:pStyle w:val="MDPIheaderjournallogo"/>
    </w:pPr>
    <w:r>
      <w:rPr>
        <w:noProof/>
        <w:lang w:val="es-CO" w:eastAsia="es-CO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8660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8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57C8D" w:rsidRDefault="00DC35C7" w:rsidP="00357C8D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val="es-CO" w:eastAsia="es-CO"/>
                            </w:rPr>
                            <w:drawing>
                              <wp:inline distT="0" distB="0" distL="0" distR="0">
                                <wp:extent cx="539115" cy="354965"/>
                                <wp:effectExtent l="0" t="0" r="0" b="6985"/>
                                <wp:docPr id="5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115" cy="3549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" stroked="f">
              <v:textbox inset="0,0,0,0">
                <w:txbxContent>
                  <w:p w:rsidR="00357C8D" w:rsidRDefault="00DC35C7" w:rsidP="00357C8D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val="es-CO" w:eastAsia="es-CO"/>
                      </w:rPr>
                      <w:drawing>
                        <wp:inline distT="0" distB="0" distL="0" distR="0">
                          <wp:extent cx="539115" cy="354965"/>
                          <wp:effectExtent l="0" t="0" r="0" b="6985"/>
                          <wp:docPr id="5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115" cy="3549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CO" w:eastAsia="es-CO"/>
      </w:rPr>
      <w:drawing>
        <wp:inline distT="0" distB="0" distL="0" distR="0">
          <wp:extent cx="1678940" cy="429895"/>
          <wp:effectExtent l="0" t="0" r="0" b="8255"/>
          <wp:docPr id="4" name="Picture 5" descr="C:\Users\home\Desktop\logos\png\jcm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png\jcm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8940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5C7"/>
    <w:rsid w:val="000019D8"/>
    <w:rsid w:val="00006F9A"/>
    <w:rsid w:val="00041D95"/>
    <w:rsid w:val="001C4EF2"/>
    <w:rsid w:val="001D1C27"/>
    <w:rsid w:val="001D25D3"/>
    <w:rsid w:val="001E2AEB"/>
    <w:rsid w:val="001F462D"/>
    <w:rsid w:val="00274B0D"/>
    <w:rsid w:val="00274D95"/>
    <w:rsid w:val="00280F25"/>
    <w:rsid w:val="0029303F"/>
    <w:rsid w:val="002C5B08"/>
    <w:rsid w:val="00325CF8"/>
    <w:rsid w:val="00326141"/>
    <w:rsid w:val="0034278A"/>
    <w:rsid w:val="0034365E"/>
    <w:rsid w:val="00357C8D"/>
    <w:rsid w:val="003977A3"/>
    <w:rsid w:val="003D4857"/>
    <w:rsid w:val="003D55AB"/>
    <w:rsid w:val="003E4166"/>
    <w:rsid w:val="003F2DA1"/>
    <w:rsid w:val="00401D30"/>
    <w:rsid w:val="00404ED8"/>
    <w:rsid w:val="004142C7"/>
    <w:rsid w:val="004B7429"/>
    <w:rsid w:val="00547A54"/>
    <w:rsid w:val="005577F2"/>
    <w:rsid w:val="005963C5"/>
    <w:rsid w:val="00622838"/>
    <w:rsid w:val="00637CD2"/>
    <w:rsid w:val="00667913"/>
    <w:rsid w:val="00685F96"/>
    <w:rsid w:val="0069087E"/>
    <w:rsid w:val="00692393"/>
    <w:rsid w:val="006A5D76"/>
    <w:rsid w:val="006C3990"/>
    <w:rsid w:val="007018DC"/>
    <w:rsid w:val="00705D61"/>
    <w:rsid w:val="00706D77"/>
    <w:rsid w:val="00710BDC"/>
    <w:rsid w:val="00816BBE"/>
    <w:rsid w:val="00851192"/>
    <w:rsid w:val="00853B85"/>
    <w:rsid w:val="008D0B41"/>
    <w:rsid w:val="009035B8"/>
    <w:rsid w:val="00914275"/>
    <w:rsid w:val="00970559"/>
    <w:rsid w:val="00970888"/>
    <w:rsid w:val="00995F53"/>
    <w:rsid w:val="00996419"/>
    <w:rsid w:val="009C5893"/>
    <w:rsid w:val="009F70E6"/>
    <w:rsid w:val="00A73B50"/>
    <w:rsid w:val="00AD3640"/>
    <w:rsid w:val="00AD4E9B"/>
    <w:rsid w:val="00AF63F6"/>
    <w:rsid w:val="00B27BDC"/>
    <w:rsid w:val="00B84BC1"/>
    <w:rsid w:val="00BC2D10"/>
    <w:rsid w:val="00BF5D96"/>
    <w:rsid w:val="00C1439D"/>
    <w:rsid w:val="00C1727F"/>
    <w:rsid w:val="00C17D2C"/>
    <w:rsid w:val="00C76749"/>
    <w:rsid w:val="00CA6FBF"/>
    <w:rsid w:val="00CB5986"/>
    <w:rsid w:val="00D0452F"/>
    <w:rsid w:val="00D06DB4"/>
    <w:rsid w:val="00D15FBD"/>
    <w:rsid w:val="00D17578"/>
    <w:rsid w:val="00D72E82"/>
    <w:rsid w:val="00D76EFE"/>
    <w:rsid w:val="00DB65CB"/>
    <w:rsid w:val="00DC35C7"/>
    <w:rsid w:val="00E548E8"/>
    <w:rsid w:val="00EB730D"/>
    <w:rsid w:val="00EC2CB7"/>
    <w:rsid w:val="00F159D6"/>
    <w:rsid w:val="00F41D77"/>
    <w:rsid w:val="00F61547"/>
    <w:rsid w:val="00FA2DB6"/>
    <w:rsid w:val="00FA4695"/>
    <w:rsid w:val="00FD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1E14C112"/>
  <w15:docId w15:val="{362248C7-7DFD-469F-89E3-EAEE72B70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6419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996419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996419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996419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996419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996419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996419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996419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996419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Piedepgina">
    <w:name w:val="footer"/>
    <w:basedOn w:val="Normal"/>
    <w:link w:val="PiedepginaCar"/>
    <w:uiPriority w:val="99"/>
    <w:rsid w:val="0099641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996419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Encabezado">
    <w:name w:val="header"/>
    <w:basedOn w:val="Normal"/>
    <w:link w:val="EncabezadoCar"/>
    <w:uiPriority w:val="99"/>
    <w:rsid w:val="009964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EncabezadoCar">
    <w:name w:val="Encabezado Car"/>
    <w:link w:val="Encabezado"/>
    <w:uiPriority w:val="99"/>
    <w:rsid w:val="00996419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996419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996419"/>
    <w:pPr>
      <w:ind w:firstLine="0"/>
    </w:pPr>
  </w:style>
  <w:style w:type="paragraph" w:customStyle="1" w:styleId="MDPI33textspaceafter">
    <w:name w:val="MDPI_3.3_text_space_after"/>
    <w:basedOn w:val="MDPI31text"/>
    <w:qFormat/>
    <w:rsid w:val="00996419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996419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996419"/>
    <w:pPr>
      <w:spacing w:after="120"/>
    </w:pPr>
  </w:style>
  <w:style w:type="paragraph" w:customStyle="1" w:styleId="MDPI36textafterlist">
    <w:name w:val="MDPI_3.6_text_after_list"/>
    <w:basedOn w:val="MDPI31text"/>
    <w:qFormat/>
    <w:rsid w:val="00996419"/>
    <w:pPr>
      <w:spacing w:before="120"/>
    </w:pPr>
  </w:style>
  <w:style w:type="paragraph" w:customStyle="1" w:styleId="MDPI37itemize">
    <w:name w:val="MDPI_3.7_itemize"/>
    <w:basedOn w:val="MDPI31text"/>
    <w:qFormat/>
    <w:rsid w:val="00996419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996419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996419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996419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996419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996419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4B742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996419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996419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996419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996419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996419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996419"/>
  </w:style>
  <w:style w:type="paragraph" w:customStyle="1" w:styleId="MDPI81theorem">
    <w:name w:val="MDPI_8.1_theorem"/>
    <w:basedOn w:val="MDPI32textnoindent"/>
    <w:qFormat/>
    <w:rsid w:val="00996419"/>
    <w:rPr>
      <w:i/>
    </w:rPr>
  </w:style>
  <w:style w:type="paragraph" w:customStyle="1" w:styleId="MDPI82proof">
    <w:name w:val="MDPI_8.2_proof"/>
    <w:basedOn w:val="MDPI32textnoindent"/>
    <w:qFormat/>
    <w:rsid w:val="00996419"/>
  </w:style>
  <w:style w:type="paragraph" w:customStyle="1" w:styleId="MDPIfooterfirstpage">
    <w:name w:val="MDPI_footer_firstpage"/>
    <w:basedOn w:val="Normal"/>
    <w:qFormat/>
    <w:rsid w:val="00996419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996419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996419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996419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996419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996419"/>
    <w:pPr>
      <w:numPr>
        <w:numId w:val="3"/>
      </w:numPr>
      <w:spacing w:before="0" w:line="260" w:lineRule="atLeast"/>
      <w:ind w:left="425" w:hanging="425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96419"/>
    <w:pPr>
      <w:spacing w:line="240" w:lineRule="auto"/>
    </w:pPr>
    <w:rPr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996419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Nmerodelnea">
    <w:name w:val="line number"/>
    <w:basedOn w:val="Fuentedeprrafopredeter"/>
    <w:uiPriority w:val="99"/>
    <w:semiHidden/>
    <w:unhideWhenUsed/>
    <w:rsid w:val="00996419"/>
  </w:style>
  <w:style w:type="table" w:customStyle="1" w:styleId="MDPI41threelinetable">
    <w:name w:val="MDPI_4.1_three_line_table"/>
    <w:basedOn w:val="Tablanormal"/>
    <w:uiPriority w:val="99"/>
    <w:rsid w:val="004B742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Tahoma" w:hAnsi="Tahoma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ipervnculo">
    <w:name w:val="Hyperlink"/>
    <w:uiPriority w:val="99"/>
    <w:unhideWhenUsed/>
    <w:rsid w:val="00BF5D96"/>
    <w:rPr>
      <w:color w:val="0563C1"/>
      <w:u w:val="single"/>
    </w:rPr>
  </w:style>
  <w:style w:type="character" w:customStyle="1" w:styleId="Mencinsinresolver1">
    <w:name w:val="Mención sin resolver1"/>
    <w:uiPriority w:val="99"/>
    <w:semiHidden/>
    <w:unhideWhenUsed/>
    <w:rsid w:val="0034278A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853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1">
    <w:name w:val="Plain Table 41"/>
    <w:basedOn w:val="Tablanormal"/>
    <w:uiPriority w:val="44"/>
    <w:rsid w:val="00853B8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1">
    <w:name w:val="Table Grid1"/>
    <w:basedOn w:val="Tablanormal"/>
    <w:next w:val="Tablaconcuadrcula"/>
    <w:uiPriority w:val="59"/>
    <w:rsid w:val="00DC35C7"/>
    <w:rPr>
      <w:rFonts w:eastAsia="Calibri"/>
      <w:sz w:val="22"/>
      <w:szCs w:val="22"/>
      <w:lang w:val="es-C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anormal"/>
    <w:next w:val="Tablaconcuadrcula"/>
    <w:uiPriority w:val="59"/>
    <w:rsid w:val="00DC35C7"/>
    <w:rPr>
      <w:rFonts w:eastAsia="Calibri"/>
      <w:sz w:val="22"/>
      <w:szCs w:val="22"/>
      <w:lang w:val="es-C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3E416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E4166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E4166"/>
    <w:rPr>
      <w:rFonts w:ascii="Times New Roman" w:eastAsia="Times New Roman" w:hAnsi="Times New Roman"/>
      <w:color w:val="000000"/>
      <w:lang w:val="en-US" w:eastAsia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E416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E4166"/>
    <w:rPr>
      <w:rFonts w:ascii="Times New Roman" w:eastAsia="Times New Roman" w:hAnsi="Times New Roman"/>
      <w:b/>
      <w:bCs/>
      <w:color w:val="00000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563</Words>
  <Characters>3098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Universitair Medisch Centrum Groningen</Company>
  <LinksUpToDate>false</LinksUpToDate>
  <CharactersWithSpaces>3654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Sotomayor, C (int)</dc:creator>
  <cp:lastModifiedBy>MANUELA YEPES CALDERON</cp:lastModifiedBy>
  <cp:revision>4</cp:revision>
  <dcterms:created xsi:type="dcterms:W3CDTF">2019-07-15T18:58:00Z</dcterms:created>
  <dcterms:modified xsi:type="dcterms:W3CDTF">2019-08-13T13:49:00Z</dcterms:modified>
</cp:coreProperties>
</file>