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633" w:rsidRPr="007348D8" w:rsidRDefault="00D34633" w:rsidP="00D34633">
      <w:pPr>
        <w:pStyle w:val="Kop3"/>
        <w:spacing w:before="30" w:after="30"/>
        <w:rPr>
          <w:b/>
          <w:lang w:val="en-US"/>
        </w:rPr>
      </w:pPr>
      <w:bookmarkStart w:id="0" w:name="_GoBack"/>
      <w:bookmarkEnd w:id="0"/>
      <w:r>
        <w:rPr>
          <w:b/>
          <w:lang w:val="en-US"/>
        </w:rPr>
        <w:t xml:space="preserve">Supplement 5A: Direct Comparisons Figure </w:t>
      </w:r>
    </w:p>
    <w:p w:rsidR="00D34633" w:rsidRDefault="00D34633" w:rsidP="00D34633">
      <w:pPr>
        <w:rPr>
          <w:lang w:val="en-US"/>
        </w:rPr>
      </w:pPr>
    </w:p>
    <w:p w:rsidR="00D34633" w:rsidRDefault="00D34633" w:rsidP="00D34633">
      <w:pPr>
        <w:rPr>
          <w:lang w:val="en-US"/>
        </w:rPr>
      </w:pPr>
      <w:r>
        <w:rPr>
          <w:noProof/>
        </w:rPr>
        <mc:AlternateContent>
          <mc:Choice Requires="wps">
            <w:drawing>
              <wp:anchor distT="0" distB="0" distL="114300" distR="114300" simplePos="0" relativeHeight="251660288" behindDoc="0" locked="0" layoutInCell="1" allowOverlap="1" wp14:anchorId="315E04A1" wp14:editId="7EE46B07">
                <wp:simplePos x="0" y="0"/>
                <wp:positionH relativeFrom="column">
                  <wp:posOffset>836552</wp:posOffset>
                </wp:positionH>
                <wp:positionV relativeFrom="paragraph">
                  <wp:posOffset>175976</wp:posOffset>
                </wp:positionV>
                <wp:extent cx="1175658" cy="296545"/>
                <wp:effectExtent l="0" t="0" r="5715" b="0"/>
                <wp:wrapNone/>
                <wp:docPr id="31" name="Tekstvak 31"/>
                <wp:cNvGraphicFramePr/>
                <a:graphic xmlns:a="http://schemas.openxmlformats.org/drawingml/2006/main">
                  <a:graphicData uri="http://schemas.microsoft.com/office/word/2010/wordprocessingShape">
                    <wps:wsp>
                      <wps:cNvSpPr txBox="1"/>
                      <wps:spPr>
                        <a:xfrm>
                          <a:off x="0" y="0"/>
                          <a:ext cx="1175658" cy="296545"/>
                        </a:xfrm>
                        <a:prstGeom prst="rect">
                          <a:avLst/>
                        </a:prstGeom>
                        <a:solidFill>
                          <a:schemeClr val="lt1"/>
                        </a:solidFill>
                        <a:ln w="6350">
                          <a:noFill/>
                        </a:ln>
                      </wps:spPr>
                      <wps:txbx>
                        <w:txbxContent>
                          <w:p w:rsidR="00D34633" w:rsidRPr="00305037" w:rsidRDefault="00D34633" w:rsidP="00D34633">
                            <w:pPr>
                              <w:rPr>
                                <w:rFonts w:asciiTheme="minorHAnsi" w:hAnsiTheme="minorHAnsi" w:cstheme="minorHAnsi"/>
                              </w:rPr>
                            </w:pPr>
                            <w:r w:rsidRPr="00305037">
                              <w:rPr>
                                <w:rFonts w:asciiTheme="minorHAnsi" w:hAnsiTheme="minorHAnsi" w:cstheme="minorHAnsi"/>
                              </w:rPr>
                              <w:t>Cardiac Output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5E04A1" id="_x0000_t202" coordsize="21600,21600" o:spt="202" path="m,l,21600r21600,l21600,xe">
                <v:stroke joinstyle="miter"/>
                <v:path gradientshapeok="t" o:connecttype="rect"/>
              </v:shapetype>
              <v:shape id="Tekstvak 31" o:spid="_x0000_s1026" type="#_x0000_t202" style="position:absolute;margin-left:65.85pt;margin-top:13.85pt;width:92.55pt;height:23.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" fillcolor="white [3201]" stroked="f" strokeweight=".5pt">
                <v:textbox>
                  <w:txbxContent>
                    <w:p w:rsidR="00D34633" w:rsidRPr="00305037" w:rsidRDefault="00D34633" w:rsidP="00D34633">
                      <w:pPr>
                        <w:rPr>
                          <w:rFonts w:asciiTheme="minorHAnsi" w:hAnsiTheme="minorHAnsi" w:cstheme="minorHAnsi"/>
                        </w:rPr>
                      </w:pPr>
                      <w:r w:rsidRPr="00305037">
                        <w:rPr>
                          <w:rFonts w:asciiTheme="minorHAnsi" w:hAnsiTheme="minorHAnsi" w:cstheme="minorHAnsi"/>
                        </w:rPr>
                        <w:t>Cardiac Output</w:t>
                      </w:r>
                    </w:p>
                  </w:txbxContent>
                </v:textbox>
              </v:shape>
            </w:pict>
          </mc:Fallback>
        </mc:AlternateContent>
      </w:r>
    </w:p>
    <w:p w:rsidR="00D34633" w:rsidRDefault="00D34633" w:rsidP="00D34633">
      <w:pPr>
        <w:rPr>
          <w:lang w:val="en-US"/>
        </w:rPr>
      </w:pPr>
    </w:p>
    <w:p w:rsidR="00D34633" w:rsidRPr="00760DFB" w:rsidRDefault="00D34633" w:rsidP="00D34633">
      <w:pPr>
        <w:rPr>
          <w:lang w:val="en-US"/>
        </w:rPr>
      </w:pPr>
      <w:r>
        <w:rPr>
          <w:noProof/>
        </w:rPr>
        <mc:AlternateContent>
          <mc:Choice Requires="wps">
            <w:drawing>
              <wp:anchor distT="0" distB="0" distL="114300" distR="114300" simplePos="0" relativeHeight="251659264" behindDoc="0" locked="0" layoutInCell="1" allowOverlap="1" wp14:anchorId="1BEAE3E1" wp14:editId="1D34FDCA">
                <wp:simplePos x="0" y="0"/>
                <wp:positionH relativeFrom="column">
                  <wp:posOffset>399672</wp:posOffset>
                </wp:positionH>
                <wp:positionV relativeFrom="paragraph">
                  <wp:posOffset>119880</wp:posOffset>
                </wp:positionV>
                <wp:extent cx="2033081" cy="1536970"/>
                <wp:effectExtent l="12700" t="12700" r="24765" b="12700"/>
                <wp:wrapNone/>
                <wp:docPr id="32" name="Driehoek 62"/>
                <wp:cNvGraphicFramePr/>
                <a:graphic xmlns:a="http://schemas.openxmlformats.org/drawingml/2006/main">
                  <a:graphicData uri="http://schemas.microsoft.com/office/word/2010/wordprocessingShape">
                    <wps:wsp>
                      <wps:cNvSpPr/>
                      <wps:spPr>
                        <a:xfrm>
                          <a:off x="0" y="0"/>
                          <a:ext cx="2033081" cy="1536970"/>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CCB76B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Driehoek 62" o:spid="_x0000_s1026" type="#_x0000_t5" style="position:absolute;margin-left:31.45pt;margin-top:9.45pt;width:160.1pt;height:1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" fillcolor="#4472c4 [3204]" strokecolor="#1f3763 [1604]" strokeweight="1pt"/>
            </w:pict>
          </mc:Fallback>
        </mc:AlternateContent>
      </w:r>
    </w:p>
    <w:p w:rsidR="00D34633" w:rsidRDefault="00D34633" w:rsidP="00D34633">
      <w:pPr>
        <w:rPr>
          <w:lang w:val="en-US"/>
        </w:rPr>
      </w:pPr>
    </w:p>
    <w:p w:rsidR="00D34633" w:rsidRDefault="00D34633" w:rsidP="00D34633">
      <w:pPr>
        <w:rPr>
          <w:lang w:val="en-US"/>
        </w:rPr>
      </w:pPr>
      <w:r>
        <w:rPr>
          <w:lang w:val="en-US"/>
        </w:rPr>
        <w:tab/>
      </w:r>
      <w:r w:rsidRPr="003C32D6">
        <w:rPr>
          <w:sz w:val="16"/>
          <w:szCs w:val="16"/>
          <w:lang w:val="en-US"/>
        </w:rPr>
        <w:tab/>
      </w:r>
      <w:r>
        <w:rPr>
          <w:lang w:val="en-US"/>
        </w:rPr>
        <w:tab/>
      </w:r>
    </w:p>
    <w:p w:rsidR="00D34633" w:rsidRDefault="00D34633" w:rsidP="00D34633">
      <w:pPr>
        <w:rPr>
          <w:lang w:val="en-US"/>
        </w:rPr>
      </w:pPr>
    </w:p>
    <w:p w:rsidR="00D34633" w:rsidRPr="00A24E64" w:rsidRDefault="00D34633" w:rsidP="00D34633">
      <w:pPr>
        <w:rPr>
          <w:sz w:val="16"/>
          <w:szCs w:val="16"/>
          <w:lang w:val="en-US"/>
        </w:rPr>
      </w:pPr>
      <w:r>
        <w:rPr>
          <w:sz w:val="16"/>
          <w:szCs w:val="16"/>
          <w:lang w:val="en-US"/>
        </w:rPr>
        <w:fldChar w:fldCharType="begin" w:fldLock="1"/>
      </w:r>
      <w:r>
        <w:rPr>
          <w:sz w:val="16"/>
          <w:szCs w:val="16"/>
          <w:lang w:val="en-US"/>
        </w:rPr>
        <w:instrText>ADDIN CSL_CITATION {"citationItems":[{"id":"ITEM-1","itemData":{"DOI":"10.1016/S0002-9149(83)80141-6","ISSN":"00029149","abstract":"Congestive heart failure (CHF) is known to be highly fatal, but to better assess efficacy of therapeutic interventions a greater understanding of its course is required. Previous studies of survival are limited by heterogeneity of patient populations and diverse criteria for diagnosing CHF. We followed up 182 patients with chronic left ventricular failure who were symptomatic despite therapy. The length of the follow-up period averaged 12 ± 10 (mean ± standard deviation [SD]) months (range 1 to 41). The cause of CHF was coronary artery disease in 95 patients and idiopathic dilated cardiomyopathy in 87. A total of 88 deaths occurred, of which 40 (45%) were sudden; the incidence of sudden death was similar in patients with coronary artery disease and idiopathic dilated cardiomyopathy. The overall mortality rate was 34% at 1 year, 59% at 2 years, and 76% at 3 years. The mortality rate in patients with coronary artery disease was 46 and 69% at 1 and 2 years, compared with 23 and 48% at 1 and 2 years in those with idiopathic dilated cardiomyopathy (p &lt;0.01). Comparison of all survivors and nonsurvivors showed no difference in age or duration of symptoms at entry. Clinical class was significantly worse in nonsurvivors. Nonsurvivors had higher left ventricular filling pressure (29 ± 7 versus 24 ± 9 mm Hg) and systemic vascular resistance (25 ± 10 versus 21 ± 8 units) (both p &lt;0.01); they also had lower mean arterial pressure (87 ± 13 versus 94 ± 13 mm Hg), cardiac index (2.0 ± 0.7 versus 2.5 ± 0.8 liters/min/m2), and stroke work (35 ± 19 versus 56 ± 33 g-m) than did the survivors (all p &lt;0.001). However, only left ventricular filling pressure was correlated with length of survival (r = -0.31, p &lt;0.01). Thus, 3-year mortality is very high in patients with severe chronic left ventricular failure. The prognosis is poorer in patients with CHF due to coronary artery disease and, as expected, in those with worse symptoms and hemodynamic abnormalities. © 1983 a.","author":[{"dropping-particle":"","family":"Franciosa","given":"Joseph A.","non-dropping-particle":"","parse-names":false,"suffix":""},{"dropping-particle":"","family":"Wilen","given":"Mary","non-dropping-particle":"","parse-names":false,"suffix":""},{"dropping-particle":"","family":"Ziesche","given":"Susan","non-dropping-particle":"","parse-names":false,"suffix":""},{"dropping-particle":"","family":"Cohn","given":"Jay N.","non-dropping-particle":"","parse-names":false,"suffix":""}],"container-title":"The American Journal of Cardiology","id":"ITEM-1","issue":"5","issued":{"date-parts":[["1983"]]},"page":"831-836","title":"Survival in men with severe chronic left ventricular failure due to either coronary heart disease or idiopathic dilated cardiomyopathy","type":"article-journal","volume":"51"},"uris":["http://www.mendeley.com/documents/?uuid=9e6bc178-830d-49e7-93d6-069b240f4cb9"]},{"id":"ITEM-2","itemData":{"DOI":"10.1093/eurheartj/ehi067","ISBN":"0195-668X (Print)\\r0195-668X (Linking)","ISSN":"0195668X","PMID":"15618038","abstract":"AIMS: To assess whether analysis of heart rate variability (HRV) from 24 h Holter recordings provides information about the mode of death (pump failure vs. sudden death) in chronic heart failure (CHF).\\n\\nMETHODS AND RESULTS: We analysed 24 h HRV in 330 consecutive CHF patients in sinus rhythm. Indices derived from time domain, spectral domain, and fractal analyses of 24 h automatic HRV were evaluated. Data from clinical assessment, echocardiography, right heart catheterization, exercise test, blood biochemical examination, and arrhythmia pattern were analysed. Patients were followed up for 3 years. Two simple multivariable models, both including 24 h spectral indices, were able to identify patients at higher risk of progressive pump failure and sudden death, respectively. Depressed power of night-time HRV (&lt; or = 509 ms(2)) below 0.04 Hz [very low frequency (VLF)], high pulmonary wedge pressure (PWP &gt; or = 18 mm Hg) and low left ventricular ejection fraction (LVEF &lt; or = 24%) were independently related to death for progressive pump failure, while the reduction of power between 0.04 and 0.15 Hz at night (LF &lt; or = 20 ms(2)) and increased left ventricular end-systolic diameter (LVESD &gt; or = 61 mm) were linked to sudden mortality.\\n\\nCONCLUSION: Automatic spectral analysis of 24 h HRV provides independent risk indices related to mode of death in sinus rhythm CHF patients.","author":[{"dropping-particle":"","family":"Guzzetti","given":"Stefano","non-dropping-particle":"","parse-names":false,"suffix":""},{"dropping-particle":"","family":"Rovere","given":"Maria Teresa","non-dropping-particle":"La","parse-names":false,"suffix":""},{"dropping-particle":"","family":"Pinna","given":"Gian Domenico","non-dropping-particle":"","parse-names":false,"suffix":""},{"dropping-particle":"","family":"Maestri","given":"Roberto","non-dropping-particle":"","parse-names":false,"suffix":""},{"dropping-particle":"","family":"Borroni","given":"Ester","non-dropping-particle":"","parse-names":false,"suffix":""},{"dropping-particle":"","family":"Porta","given":"Alberto","non-dropping-particle":"","parse-names":false,"suffix":""},{"dropping-particle":"","family":"Mortara","given":"Andrea","non-dropping-particle":"","parse-names":false,"suffix":""},{"dropping-particle":"","family":"Malliani","given":"Alberto","non-dropping-particle":"","parse-names":false,"suffix":""}],"container-title":"European Heart Journal","id":"ITEM-2","issue":"4","issued":{"date-parts":[["2005"]]},"page":"357-362","title":"Different spectral components of 24 h heart rate variability are related to different modes of death in chronic heart failure","type":"article-journal","volume":"26"},"uris":["http://www.mendeley.com/documents/?uuid=3ada837a-7d77-4702-95f0-ff11f7159a89"]},{"id":"ITEM-3","itemData":{"DOI":"10.1016/j.healun.2006.06.015","ISSN":"10532498","abstract":"Background: It is unknown whether time-related changes of pulmonary hypertension (PH) have prognostic relevance in severe chronic heart failure (CHF). Methods: All CHF patients referred for follow-up from 1996 through 2003 were screened for this study. Eligibility depended on availability of a concomitant clinical, laboratory, electrocardiographic (ECG), echocardiographic and right-heart catheterization (RHC) assessment at index evaluation, as well as absence of pre-capillary PH. Results: One hundred ninety-six patients (age 54 ± 9 years; 27% women, 73% men; 50% in New York Heart Association [NYHA] Class III or IV) were included. PH at index evaluation was an independent predictor of acute heart failure or cardiovascular death (AHF/CD), with adjusted risk ratio (RR) = 2.30, 95% confidence interval (CI) 1.42 to 3.73 and p &lt; 0.001. A pre-study (≥6 months) RHC was available for 174 of the 196 patients. Worsening of mean pulmonary artery pressure (mPAP) of ≥30% (a pre-specified cut-off corresponding to the 75th percentile of ΔmPAP%) provided prognostic information independent of all index-evaluation parameters (adjusted RR = 2.60, 95% CI 1.45 to 4.67, p = 0.001), and from time-related changes in the other hemodynamic parameters (p ≤ 0.033). Conclusions: PH retains independent prognostic significance even after adjusting for a large set of clinical/laboratory/instrumental parameters. Furthermore, serial measurements of mPAP seem to provide additional prognostic information as compared with a single assessment. These findings indicate that serial evaluations of PAP may help identify a sub-set of high-risk CHF patients deserving a particularly close follow-up to facilitate timely indications for non-pharmacologic strategies, including (when appropriate) heart transplantation. © 2006 International Society for Heart and Lung Transplantation.","author":[{"dropping-particle":"","family":"Grigioni","given":"Francesco","non-dropping-particle":"","parse-names":false,"suffix":""},{"dropping-particle":"","family":"Potena","given":"Luciano","non-dropping-particle":"","parse-names":false,"suffix":""},{"dropping-particle":"","family":"Galiè","given":"Nazzareno","non-dropping-particle":"","parse-names":false,"suffix":""},{"dropping-particle":"","family":"Fallani","given":"Francesco","non-dropping-particle":"","parse-names":false,"suffix":""},{"dropping-particle":"","family":"Bigliardi","given":"Mauro","non-dropping-particle":"","parse-names":false,"suffix":""},{"dropping-particle":"","family":"Coccolo","given":"Fabio","non-dropping-particle":"","parse-names":false,"suffix":""},{"dropping-particle":"","family":"Magnani","given":"Gaia","non-dropping-particle":"","parse-names":false,"suffix":""},{"dropping-particle":"","family":"Manes","given":"Alessandra","non-dropping-particle":"","parse-names":false,"suffix":""},{"dropping-particle":"","family":"Barbieri","given":"Andrea","non-dropping-particle":"","parse-names":false,"suffix":""},{"dropping-particle":"","family":"Fucili","given":"Alessandro","non-dropping-particle":"","parse-names":false,"suffix":""},{"dropping-particle":"","family":"Magelli","given":"Carlo","non-dropping-particle":"","parse-names":false,"suffix":""},{"dropping-particle":"","family":"Branzi","given":"Angelo","non-dropping-particle":"","parse-names":false,"suffix":""}],"container-title":"Journal of Heart and Lung Transplantation","id":"ITEM-3","issue":"10","issued":{"date-parts":[["2006"]]},"page":"1241-1246","title":"Prognostic Implications of Serial Assessments of Pulmonary Hypertension in Severe Chronic Heart Failure","type":"article-journal","volume":"25"},"uris":["http://www.mendeley.com/documents/?uuid=59b515f2-ddec-4b2b-973f-19e472667321"]},{"id":"ITEM-4","itemData":{"DOI":"10.1093/eurheartj/ehu315","ISBN":"0195-668X","ISSN":"15229645","PMID":"25161181","abstract":"AIMS: In patients with suspected heart failure with preserved ejection fraction (HFpEF), invasive exercise testing may be considered when measurements at rest are inconclusive. However, the prognostic impact of invasive exercise testing is uncertain, so far.\\n\\nMETHODS AND RESULTS: We retrospectively analysed mortality in 355 patients [mean age 61.2 ± 11.3 years, 235 (66.2%) women] with unexplained dyspnoea and suspected HFpEF. During an invasive haemodynamic stress test pulmonary capillary wedge pressure (PCWP) at rest and the PCWP response to exercise, expressed as the ratio of PCWP at peak exercise to workload normalized to body weight [PCWL (mmHg/W/kg)], were recorded. Both PCWP at rest and PCWL were significant and independent predictors of long-term mortality. Adding PCWL to PCWP at rest improved reclassification of patients into survivors or non-survivors with a net reclassification improvement (NRI) of 0.56 (95% CI: 0.29-0.83; P &lt; 0.001). Ten-year mortality was 6.6% in subjects with low PCWP at rest (≤12 mmHg) and low PCWL (≤25.5 mmHg/W/kg); 28.2% in patients with low PCWP and high PCWL and 35.2% in those with high PCWP and high PCWL. Compared with patients with low PCWP and low PCWL, the adjusted hazard ratio for mortality was 2.37 (95% CI: 1.09-5.17; P = 0.029) for the low-PCWP/high-PCWL group and 4.75 (95% CI: 1.90-11.84; P &lt; 0.001) for patients with high PCWP/high PCWL.\\n\\nCONCLUSION: In patients with suspected HFpEF, invasive exercise testing substantially improves prediction of long-term mortality. An excessive rise of PCWP during exercise despite normal PCWP at rest is associated with increased mortality and may be considered as early HFpEF.","author":[{"dropping-particle":"","family":"Dorfs","given":"Stephan","non-dropping-particle":"","parse-names":false,"suffix":""},{"dropping-particle":"","family":"Zeh","given":"Wolfgang","non-dropping-particle":"","parse-names":false,"suffix":""},{"dropping-particle":"","family":"Hochholzer","given":"Willibald","non-dropping-particle":"","parse-names":false,"suffix":""},{"dropping-particle":"","family":"Jander","given":"Nikolaus","non-dropping-particle":"","parse-names":false,"suffix":""},{"dropping-particle":"","family":"Kienzle","given":"Rolf Peter","non-dropping-particle":"","parse-names":false,"suffix":""},{"dropping-particle":"","family":"Pieske","given":"Burkert","non-dropping-particle":"","parse-names":false,"suffix":""},{"dropping-particle":"","family":"Neumann","given":"Franz Josef","non-dropping-particle":"","parse-names":false,"suffix":""}],"container-title":"European Heart Journal","id":"ITEM-4","issue":"44","issued":{"date-parts":[["2014"]]},"page":"3103-3112","title":"Pulmonary capillary wedge pressure during exercise and long-term mortality in patients with suspected heart failure with preserved ejection fraction","type":"article-journal","volume":"35"},"uris":["http://www.mendeley.com/documents/?uuid=786cc52e-81c6-4c95-8daa-e91ed5e56897"]}],"mendeley":{"formattedCitation":"[24]–[26], [28]","plainTextFormattedCitation":"[24]–[26], [28]","previouslyFormattedCitation":"[24]–[26], [28]"},"properties":{"noteIndex":0},"schema":"https://github.com/citation-style-language/schema/raw/master/csl-citation.json"}</w:instrText>
      </w:r>
      <w:r>
        <w:rPr>
          <w:sz w:val="16"/>
          <w:szCs w:val="16"/>
          <w:lang w:val="en-US"/>
        </w:rPr>
        <w:fldChar w:fldCharType="separate"/>
      </w:r>
      <w:r w:rsidRPr="00A24E64">
        <w:rPr>
          <w:noProof/>
          <w:sz w:val="16"/>
          <w:szCs w:val="16"/>
          <w:lang w:val="en-US"/>
        </w:rPr>
        <w:t>[24]–[26], [28]</w:t>
      </w:r>
      <w:r>
        <w:rPr>
          <w:sz w:val="16"/>
          <w:szCs w:val="16"/>
          <w:lang w:val="en-US"/>
        </w:rPr>
        <w:fldChar w:fldCharType="end"/>
      </w:r>
      <w:r>
        <w:rPr>
          <w:lang w:val="en-US"/>
        </w:rPr>
        <w:tab/>
      </w:r>
      <w:r>
        <w:rPr>
          <w:lang w:val="en-US"/>
        </w:rPr>
        <w:tab/>
      </w:r>
      <w:r>
        <w:rPr>
          <w:lang w:val="en-US"/>
        </w:rPr>
        <w:tab/>
        <w:t xml:space="preserve">   </w:t>
      </w:r>
      <w:r>
        <w:rPr>
          <w:lang w:val="en-US"/>
        </w:rPr>
        <w:tab/>
      </w:r>
      <w:r w:rsidRPr="00A24E64">
        <w:rPr>
          <w:sz w:val="16"/>
          <w:szCs w:val="16"/>
          <w:lang w:val="en-US"/>
        </w:rPr>
        <w:fldChar w:fldCharType="begin" w:fldLock="1"/>
      </w:r>
      <w:r>
        <w:rPr>
          <w:sz w:val="16"/>
          <w:szCs w:val="16"/>
          <w:lang w:val="en-US"/>
        </w:rPr>
        <w:instrText>ADDIN CSL_CITATION {"citationItems":[{"id":"ITEM-1","itemData":{"DOI":"10.1016/S0002-9149(83)80141-6","ISSN":"00029149","abstract":"Congestive heart failure (CHF) is known to be highly fatal, but to better assess efficacy of therapeutic interventions a greater understanding of its course is required. Previous studies of survival are limited by heterogeneity of patient populations and diverse criteria for diagnosing CHF. We followed up 182 patients with chronic left ventricular failure who were symptomatic despite therapy. The length of the follow-up period averaged 12 ± 10 (mean ± standard deviation [SD]) months (range 1 to 41). The cause of CHF was coronary artery disease in 95 patients and idiopathic dilated cardiomyopathy in 87. A total of 88 deaths occurred, of which 40 (45%) were sudden; the incidence of sudden death was similar in patients with coronary artery disease and idiopathic dilated cardiomyopathy. The overall mortality rate was 34% at 1 year, 59% at 2 years, and 76% at 3 years. The mortality rate in patients with coronary artery disease was 46 and 69% at 1 and 2 years, compared with 23 and 48% at 1 and 2 years in those with idiopathic dilated cardiomyopathy (p &lt;0.01). Comparison of all survivors and nonsurvivors showed no difference in age or duration of symptoms at entry. Clinical class was significantly worse in nonsurvivors. Nonsurvivors had higher left ventricular filling pressure (29 ± 7 versus 24 ± 9 mm Hg) and systemic vascular resistance (25 ± 10 versus 21 ± 8 units) (both p &lt;0.01); they also had lower mean arterial pressure (87 ± 13 versus 94 ± 13 mm Hg), cardiac index (2.0 ± 0.7 versus 2.5 ± 0.8 liters/min/m2), and stroke work (35 ± 19 versus 56 ± 33 g-m) than did the survivors (all p &lt;0.001). However, only left ventricular filling pressure was correlated with length of survival (r = -0.31, p &lt;0.01). Thus, 3-year mortality is very high in patients with severe chronic left ventricular failure. The prognosis is poorer in patients with CHF due to coronary artery disease and, as expected, in those with worse symptoms and hemodynamic abnormalities. © 1983 a.","author":[{"dropping-particle":"","family":"Franciosa","given":"Joseph A.","non-dropping-particle":"","parse-names":false,"suffix":""},{"dropping-particle":"","family":"Wilen","given":"Mary","non-dropping-particle":"","parse-names":false,"suffix":""},{"dropping-particle":"","family":"Ziesche","given":"Susan","non-dropping-particle":"","parse-names":false,"suffix":""},{"dropping-particle":"","family":"Cohn","given":"Jay N.","non-dropping-particle":"","parse-names":false,"suffix":""}],"container-title":"The American Journal of Cardiology","id":"ITEM-1","issue":"5","issued":{"date-parts":[["1983"]]},"page":"831-836","title":"Survival in men with severe chronic left ventricular failure due to either coronary heart disease or idiopathic dilated cardiomyopathy","type":"article-journal","volume":"51"},"uris":["http://www.mendeley.com/documents/?uuid=9e6bc178-830d-49e7-93d6-069b240f4cb9"]},{"id":"ITEM-2","itemData":{"DOI":"10.1093/eurheartj/ehi067","ISBN":"0195-668X (Print)\\r0195-668X (Linking)","ISSN":"0195668X","PMID":"15618038","abstract":"AIMS: To assess whether analysis of heart rate variability (HRV) from 24 h Holter recordings provides information about the mode of death (pump failure vs. sudden death) in chronic heart failure (CHF).\\n\\nMETHODS AND RESULTS: We analysed 24 h HRV in 330 consecutive CHF patients in sinus rhythm. Indices derived from time domain, spectral domain, and fractal analyses of 24 h automatic HRV were evaluated. Data from clinical assessment, echocardiography, right heart catheterization, exercise test, blood biochemical examination, and arrhythmia pattern were analysed. Patients were followed up for 3 years. Two simple multivariable models, both including 24 h spectral indices, were able to identify patients at higher risk of progressive pump failure and sudden death, respectively. Depressed power of night-time HRV (&lt; or = 509 ms(2)) below 0.04 Hz [very low frequency (VLF)], high pulmonary wedge pressure (PWP &gt; or = 18 mm Hg) and low left ventricular ejection fraction (LVEF &lt; or = 24%) were independently related to death for progressive pump failure, while the reduction of power between 0.04 and 0.15 Hz at night (LF &lt; or = 20 ms(2)) and increased left ventricular end-systolic diameter (LVESD &gt; or = 61 mm) were linked to sudden mortality.\\n\\nCONCLUSION: Automatic spectral analysis of 24 h HRV provides independent risk indices related to mode of death in sinus rhythm CHF patients.","author":[{"dropping-particle":"","family":"Guzzetti","given":"Stefano","non-dropping-particle":"","parse-names":false,"suffix":""},{"dropping-particle":"","family":"Rovere","given":"Maria Teresa","non-dropping-particle":"La","parse-names":false,"suffix":""},{"dropping-particle":"","family":"Pinna","given":"Gian Domenico","non-dropping-particle":"","parse-names":false,"suffix":""},{"dropping-particle":"","family":"Maestri","given":"Roberto","non-dropping-particle":"","parse-names":false,"suffix":""},{"dropping-particle":"","family":"Borroni","given":"Ester","non-dropping-particle":"","parse-names":false,"suffix":""},{"dropping-particle":"","family":"Porta","given":"Alberto","non-dropping-particle":"","parse-names":false,"suffix":""},{"dropping-particle":"","family":"Mortara","given":"Andrea","non-dropping-particle":"","parse-names":false,"suffix":""},{"dropping-particle":"","family":"Malliani","given":"Alberto","non-dropping-particle":"","parse-names":false,"suffix":""}],"container-title":"European Heart Journal","id":"ITEM-2","issue":"4","issued":{"date-parts":[["2005"]]},"page":"357-362","title":"Different spectral components of 24 h heart rate variability are related to different modes of death in chronic heart failure","type":"article-journal","volume":"26"},"uris":["http://www.mendeley.com/documents/?uuid=3ada837a-7d77-4702-95f0-ff11f7159a89"]},{"id":"ITEM-3","itemData":{"DOI":"10.1016/j.healun.2004.01.010","ISSN":"10532498","abstract":"Background: Right heart catheterization long has been a routine investigation in advanced heart failure, and its measurements have been linked variably to prognosis. However, in the modern era, newer potential markers of prognosis are coming to light. This study reconsiders the use of right heart catheterization data and compares their use to that of N-terminal pro-brain natriuretic peptide (NT-proBNP), a neurohormone linked with prognosis in chronic heart failure. Methods: We assessed prospectively the prognostic potential of baseline right heart catheterization data in 97 consecutive patients with advanced heart failure referred to the Scottish Cardiopulmonary Transplant Unit for consideration of cardiac transplantation. Patients underwent baseline routine investigation, including right heart catheterization and blood draws for NT-proBNP analysis. Patients were observed for a median of 370 days. Results: The primary end-point of all-cause mortality was reached in 17 patients (17.5%), and the secondary end-point of all-cause mortality or urgent cardiac transplantation was reached in 21 (21.6%) patients. Univariate predictors of all-cause mortality included pulmonary artery systolic pressure (PASP), pulmonary artery wedge pressure (PAWP), and NT-proBNP concentration greater than their median values. Univariate predictors of the secondary end-point included right atrial pressure, PASP, PAWP, and NT-proBNP concentration greater than their median values, and left ventricular ejection fraction, cardiac output, and cardiac index less than their median values. In multivariate analyses, however, only NT-proBNP concentration remained an independent predictor of all-cause mortality. Both NT-proBNP concentration and PAWP were independent predictors of all-cause mortality and of the need for urgent cardiac transplantation. Conclusion: Baseline data from routine right heart catheterization are of limited prognostic use in advanced heart failure. A baseline NT-proBNP concentration is a superior, non-invasive method of risk stratification in this era of measuring neurohormones. Copyright © 2005 by the International Society for Heart and Lung Transplantation.","author":[{"dropping-particle":"","family":"Gardner","given":"R. S.","non-dropping-particle":"","parse-names":false,"suffix":""},{"dropping-particle":"","family":"Henderson","given":"G.","non-dropping-particle":"","parse-names":false,"suffix":""},{"dropping-particle":"","family":"McDonagh","given":"T. A.","non-dropping-particle":"","parse-names":false,"suffix":""}],"container-title":"Journal of Heart and Lung Transplantation","id":"ITEM-3","issue":"3","issued":{"date-parts":[["2005"]]},"page":"303-309","title":"The prognostic use of right heart catheterization data in patients with advanced heart failure: How relevant are invasive procedures in the risk stratification of advanced heart failure in the era of neurohormones?","type":"article-journal","volume":"24"},"uris":["http://www.mendeley.com/documents/?uuid=bbbc32e7-0032-4282-8489-d5322f6b3db6"]},{"id":"ITEM-4","itemData":{"DOI":"10.1016/j.healun.2006.06.015","ISSN":"10532498","abstract":"Background: It is unknown whether time-related changes of pulmonary hypertension (PH) have prognostic relevance in severe chronic heart failure (CHF). Methods: All CHF patients referred for follow-up from 1996 through 2003 were screened for this study. Eligibility depended on availability of a concomitant clinical, laboratory, electrocardiographic (ECG), echocardiographic and right-heart catheterization (RHC) assessment at index evaluation, as well as absence of pre-capillary PH. Results: One hundred ninety-six patients (age 54 ± 9 years; 27% women, 73% men; 50% in New York Heart Association [NYHA] Class III or IV) were included. PH at index evaluation was an independent predictor of acute heart failure or cardiovascular death (AHF/CD), with adjusted risk ratio (RR) = 2.30, 95% confidence interval (CI) 1.42 to 3.73 and p &lt; 0.001. A pre-study (≥6 months) RHC was available for 174 of the 196 patients. Worsening of mean pulmonary artery pressure (mPAP) of ≥30% (a pre-specified cut-off corresponding to the 75th percentile of ΔmPAP%) provided prognostic information independent of all index-evaluation parameters (adjusted RR = 2.60, 95% CI 1.45 to 4.67, p = 0.001), and from time-related changes in the other hemodynamic parameters (p ≤ 0.033). Conclusions: PH retains independent prognostic significance even after adjusting for a large set of clinical/laboratory/instrumental parameters. Furthermore, serial measurements of mPAP seem to provide additional prognostic information as compared with a single assessment. These findings indicate that serial evaluations of PAP may help identify a sub-set of high-risk CHF patients deserving a particularly close follow-up to facilitate timely indications for non-pharmacologic strategies, including (when appropriate) heart transplantation. © 2006 International Society for Heart and Lung Transplantation.","author":[{"dropping-particle":"","family":"Grigioni","given":"Francesco","non-dropping-particle":"","parse-names":false,"suffix":""},{"dropping-particle":"","family":"Potena","given":"Luciano","non-dropping-particle":"","parse-names":false,"suffix":""},{"dropping-particle":"","family":"Galiè","given":"Nazzareno","non-dropping-particle":"","parse-names":false,"suffix":""},{"dropping-particle":"","family":"Fallani","given":"Francesco","non-dropping-particle":"","parse-names":false,"suffix":""},{"dropping-particle":"","family":"Bigliardi","given":"Mauro","non-dropping-particle":"","parse-names":false,"suffix":""},{"dropping-particle":"","family":"Coccolo","given":"Fabio","non-dropping-particle":"","parse-names":false,"suffix":""},{"dropping-particle":"","family":"Magnani","given":"Gaia","non-dropping-particle":"","parse-names":false,"suffix":""},{"dropping-particle":"","family":"Manes","given":"Alessandra","non-dropping-particle":"","parse-names":false,"suffix":""},{"dropping-particle":"","family":"Barbieri","given":"Andrea","non-dropping-particle":"","parse-names":false,"suffix":""},{"dropping-particle":"","family":"Fucili","given":"Alessandro","non-dropping-particle":"","parse-names":false,"suffix":""},{"dropping-particle":"","family":"Magelli","given":"Carlo","non-dropping-particle":"","parse-names":false,"suffix":""},{"dropping-particle":"","family":"Branzi","given":"Angelo","non-dropping-particle":"","parse-names":false,"suffix":""}],"container-title":"Journal of Heart and Lung Transplantation","id":"ITEM-4","issue":"10","issued":{"date-parts":[["2006"]]},"page":"1241-1246","title":"Prognostic Implications of Serial Assessments of Pulmonary Hypertension in Severe Chronic Heart Failure","type":"article-journal","volume":"25"},"uris":["http://www.mendeley.com/documents/?uuid=59b515f2-ddec-4b2b-973f-19e472667321"]},{"id":"ITEM-5","itemData":{"ISBN":"0002-9149 (Print)\\r0002-9149 (Linking)","PMID":"8109553","abstract":"A profile of hemodynamic abnormalities in patients listed for cardiac transplantation was related to survival during the first year after listing. After a patient is listed for cardiac transplantation, the waiting period for a suitable donor heart is often long; therefore, objective criteria to determine risk would be helpful in identifying the group at highest risk of dying before receiving a transplant. Several studies have suggested certain hemodynamic parameters to be related to a poor prognosis. However, no 1 variable has emerged as an adequate predictor of survival in patients awaiting cardiac transplantation. One-year outcomes were examined in 138 consecutive patients listed for cardiac transplantation, who were grouped according to a hemodynamic risk score (HRS) based on abnormalities in baseline measures of right atrial pressure, pulmonary artery systolic pressure, transpulmonary gradient, cardiac output, cardiac index and pulmonary vascular resistance. Right atrial pressure alone was the most significant predictor of survival (p &lt; 0.05). Patients with a right atrial pressure &gt; 12 mm Hg had a 47% 1-year survival as compared with the 68% survival for those with a right atrial pressure &lt; 12 mm Hg. HRS was the next strongest predictor of survival. The 66% survival in group I (HRS = 0) and the 69% survival in group II (HRS = 1 to 3) were significantly (p &lt; 0.03) higher than the 41% survival in group III (HRS = 4 to 6) at 1 year after listing. Differences in survival for the HRS groups could not be explained by left ventricular ejection fraction, left ventricular end-diastolic diameter or status at listing.(ABSTRACT TRUNCATED AT 250 WORDS)","author":[{"dropping-particle":"","family":"Morley","given":"D","non-dropping-particle":"","parse-names":false,"suffix":""},{"dropping-particle":"","family":"Brozena","given":"S C","non-dropping-particle":"","parse-names":false,"suffix":""}],"container-title":"Am J Cardiol","id":"ITEM-5","issue":"5","issued":{"date-parts":[["1994"]]},"note":"The following factors significantly predicted survival in univariate analyses: right atrial pressure (p = 0.0009), HRS (p = 0.004), cardiac output (p = O.OOS), pulmonary capillary wedge pressure (p = 0.02), and pulmonary vascular resistance (p = 0.05). When multivariate analyses were performed using the Cox proportional-hazards regression model, only right atrial pressure (p &amp;lt;O.OS), HRS (p ~0.1) and HRS group (p ~0.1) remained as significant predictors of survival. Probleem is hier dat er dus geen goede gegevens zijn van de MV analyse; in de HRS score zit van alles onderandere CI en PCPW en RA","page":"379-383","title":"Assessing risk by hemodynamic profile in patients awaiting cardiac transplantation","type":"article-journal","volume":"73"},"uris":["http://www.mendeley.com/documents/?uuid=532e196a-8fb0-4f8e-9da0-3e025080f28d"]},{"id":"ITEM-6","itemData":{"DOI":"10.1016/0002-9149(90)91166-4","ISSN":"00029149","PMID":"2244566","abstract":"To identify patients with left ventricular ejection fractions ≤ 20% who are likely to survive on tailored medical therapy after referral to transplantation, this study of 152 patients addressed the hypotheses that (1) severely elevated filling pressures initially measured at referral would not necessarily predict poor outcome, (2) survival would be best when low pulmonary wedge pressures could be achieved with therapy tailored for hemodynamic goals, and (3) coronary artery disease would be an independent risk factor for early mortality. Despite an average initial ejection fraction of 0.15, cardiac index of 2.0 liters/min/m2and pulmonary artery wedge pressure of 28 mm Hg, the actuarial survival with tailored therapy was 63% at 1 year, with 34 of 41 (83%) deaths occurring suddenly. Survival was not related to initial filling pressure elevation, but was best predicted by the pulmonary artery wedge pressures during therapy; patients achieving pressure of ≤ 16 mm Hg had 1-year survival of 83 vs 38% (p = 0.0001). The other independent predictors were serum sodium and coronary artery disease. Patients with high filling pressures during therapy and coronary artery disease had 21% survival at 1 year. Survival after referral to transplantation with an ejection fraction ≤ 20% is better than previously described. Patients in whom left ventricular filling pressures cannot be adequately reduced by tailored therapy, particularly if coronary artery disease is present, should be considered for early transplantation. © 1990.","author":[{"dropping-particle":"","family":"Stevenson","given":"Lynne Warner","non-dropping-particle":"","parse-names":false,"suffix":""},{"dropping-particle":"","family":"Tillisch","given":"Jan H.","non-dropping-particle":"","parse-names":false,"suffix":""},{"dropping-particle":"","family":"Hamilton","given":"Michele","non-dropping-particle":"","parse-names":false,"suffix":""},{"dropping-particle":"","family":"Luu","given":"Michael","non-dropping-particle":"","parse-names":false,"suffix":""},{"dropping-particle":"","family":"Chelimsky-Fallick","given":"Catherine","non-dropping-particle":"","parse-names":false,"suffix":""},{"dropping-particle":"","family":"Moriguchi","given":"Jaime","non-dropping-particle":"","parse-names":false,"suffix":""},{"dropping-particle":"","family":"Kobashigawa","given":"Jon","non-dropping-particle":"","parse-names":false,"suffix":""},{"dropping-particle":"","family":"Walden","given":"Julie","non-dropping-particle":"","parse-names":false,"suffix":""}],"container-title":"The American Journal of Cardiology","id":"ITEM-6","issue":"19","issued":{"date-parts":[["1990"]]},"page":"1348-1354","title":"Importance of hemodynamic response to therapy in predicting survival with ejection fraction ≤ 20% secondary to ischemic or nonischemic dilated cardiomyopathy","type":"article-journal","volume":"66"},"uris":["http://www.mendeley.com/documents/?uuid=9e4f8b68-2d73-4306-9a70-4d6596645e53"]},{"id":"ITEM-7","itemData":{"DOI":"10.1093/eurheartj/ehu315","ISBN":"0195-668X","ISSN":"15229645","PMID":"25161181","abstract":"AIMS: In patients with suspected heart failure with preserved ejection fraction (HFpEF), invasive exercise testing may be considered when measurements at rest are inconclusive. However, the prognostic impact of invasive exercise testing is uncertain, so far.\\n\\nMETHODS AND RESULTS: We retrospectively analysed mortality in 355 patients [mean age 61.2 ± 11.3 years, 235 (66.2%) women] with unexplained dyspnoea and suspected HFpEF. During an invasive haemodynamic stress test pulmonary capillary wedge pressure (PCWP) at rest and the PCWP response to exercise, expressed as the ratio of PCWP at peak exercise to workload normalized to body weight [PCWL (mmHg/W/kg)], were recorded. Both PCWP at rest and PCWL were significant and independent predictors of long-term mortality. Adding PCWL to PCWP at rest improved reclassification of patients into survivors or non-survivors with a net reclassification improvement (NRI) of 0.56 (95% CI: 0.29-0.83; P &lt; 0.001). Ten-year mortality was 6.6% in subjects with low PCWP at rest (≤12 mmHg) and low PCWL (≤25.5 mmHg/W/kg); 28.2% in patients with low PCWP and high PCWL and 35.2% in those with high PCWP and high PCWL. Compared with patients with low PCWP and low PCWL, the adjusted hazard ratio for mortality was 2.37 (95% CI: 1.09-5.17; P = 0.029) for the low-PCWP/high-PCWL group and 4.75 (95% CI: 1.90-11.84; P &lt; 0.001) for patients with high PCWP/high PCWL.\\n\\nCONCLUSION: In patients with suspected HFpEF, invasive exercise testing substantially improves prediction of long-term mortality. An excessive rise of PCWP during exercise despite normal PCWP at rest is associated with increased mortality and may be considered as early HFpEF.","author":[{"dropping-particle":"","family":"Dorfs","given":"Stephan","non-dropping-particle":"","parse-names":false,"suffix":""},{"dropping-particle":"","family":"Zeh","given":"Wolfgang","non-dropping-particle":"","parse-names":false,"suffix":""},{"dropping-particle":"","family":"Hochholzer","given":"Willibald","non-dropping-particle":"","parse-names":false,"suffix":""},{"dropping-particle":"","family":"Jander","given":"Nikolaus","non-dropping-particle":"","parse-names":false,"suffix":""},{"dropping-particle":"","family":"Kienzle","given":"Rolf Peter","non-dropping-particle":"","parse-names":false,"suffix":""},{"dropping-particle":"","family":"Pieske","given":"Burkert","non-dropping-particle":"","parse-names":false,"suffix":""},{"dropping-particle":"","family":"Neumann","given":"Franz Josef","non-dropping-particle":"","parse-names":false,"suffix":""}],"container-title":"European Heart Journal","id":"ITEM-7","issue":"44","issued":{"date-parts":[["2014"]]},"page":"3103-3112","title":"Pulmonary capillary wedge pressure during exercise and long-term mortality in patients with suspected heart failure with preserved ejection fraction","type":"article-journal","volume":"35"},"uris":["http://www.mendeley.com/documents/?uuid=786cc52e-81c6-4c95-8daa-e91ed5e56897"]}],"mendeley":{"formattedCitation":"[16], [21], [24]–[28]","plainTextFormattedCitation":"[16], [21], [24]–[28]","previouslyFormattedCitation":"[16], [21], [24]–[28]"},"properties":{"noteIndex":0},"schema":"https://github.com/citation-style-language/schema/raw/master/csl-citation.json"}</w:instrText>
      </w:r>
      <w:r w:rsidRPr="00A24E64">
        <w:rPr>
          <w:sz w:val="16"/>
          <w:szCs w:val="16"/>
          <w:lang w:val="en-US"/>
        </w:rPr>
        <w:fldChar w:fldCharType="separate"/>
      </w:r>
      <w:r w:rsidRPr="00A24E64">
        <w:rPr>
          <w:noProof/>
          <w:sz w:val="16"/>
          <w:szCs w:val="16"/>
          <w:lang w:val="en-US"/>
        </w:rPr>
        <w:t>[16], [21], [24]–[28]</w:t>
      </w:r>
      <w:r w:rsidRPr="00A24E64">
        <w:rPr>
          <w:sz w:val="16"/>
          <w:szCs w:val="16"/>
          <w:lang w:val="en-US"/>
        </w:rPr>
        <w:fldChar w:fldCharType="end"/>
      </w:r>
    </w:p>
    <w:p w:rsidR="00D34633" w:rsidRDefault="00D34633" w:rsidP="00D34633">
      <w:pPr>
        <w:rPr>
          <w:lang w:val="en-US"/>
        </w:rPr>
      </w:pPr>
    </w:p>
    <w:p w:rsidR="00D34633" w:rsidRDefault="00D34633" w:rsidP="00D34633">
      <w:pPr>
        <w:rPr>
          <w:lang w:val="en-US"/>
        </w:rPr>
      </w:pPr>
    </w:p>
    <w:p w:rsidR="00D34633" w:rsidRDefault="00D34633" w:rsidP="00D34633">
      <w:pPr>
        <w:rPr>
          <w:lang w:val="en-US"/>
        </w:rPr>
      </w:pPr>
    </w:p>
    <w:p w:rsidR="00D34633" w:rsidRDefault="00D34633" w:rsidP="00D34633">
      <w:pPr>
        <w:rPr>
          <w:lang w:val="en-US"/>
        </w:rPr>
      </w:pPr>
    </w:p>
    <w:p w:rsidR="00D34633" w:rsidRDefault="00D34633" w:rsidP="00D34633">
      <w:pPr>
        <w:rPr>
          <w:lang w:val="en-US"/>
        </w:rPr>
      </w:pPr>
      <w:r>
        <w:rPr>
          <w:noProof/>
        </w:rPr>
        <mc:AlternateContent>
          <mc:Choice Requires="wps">
            <w:drawing>
              <wp:anchor distT="0" distB="0" distL="114300" distR="114300" simplePos="0" relativeHeight="251661312" behindDoc="0" locked="0" layoutInCell="1" allowOverlap="1" wp14:anchorId="14F8FA10" wp14:editId="2E9DFCD3">
                <wp:simplePos x="0" y="0"/>
                <wp:positionH relativeFrom="column">
                  <wp:posOffset>2423795</wp:posOffset>
                </wp:positionH>
                <wp:positionV relativeFrom="paragraph">
                  <wp:posOffset>134633</wp:posOffset>
                </wp:positionV>
                <wp:extent cx="700405" cy="296545"/>
                <wp:effectExtent l="0" t="0" r="0" b="0"/>
                <wp:wrapNone/>
                <wp:docPr id="33" name="Tekstvak 33"/>
                <wp:cNvGraphicFramePr/>
                <a:graphic xmlns:a="http://schemas.openxmlformats.org/drawingml/2006/main">
                  <a:graphicData uri="http://schemas.microsoft.com/office/word/2010/wordprocessingShape">
                    <wps:wsp>
                      <wps:cNvSpPr txBox="1"/>
                      <wps:spPr>
                        <a:xfrm>
                          <a:off x="0" y="0"/>
                          <a:ext cx="700405" cy="296545"/>
                        </a:xfrm>
                        <a:prstGeom prst="rect">
                          <a:avLst/>
                        </a:prstGeom>
                        <a:solidFill>
                          <a:schemeClr val="lt1"/>
                        </a:solidFill>
                        <a:ln w="6350">
                          <a:noFill/>
                        </a:ln>
                      </wps:spPr>
                      <wps:txbx>
                        <w:txbxContent>
                          <w:p w:rsidR="00D34633" w:rsidRPr="00305037" w:rsidRDefault="00D34633" w:rsidP="00D34633">
                            <w:pPr>
                              <w:rPr>
                                <w:rFonts w:asciiTheme="minorHAnsi" w:hAnsiTheme="minorHAnsi" w:cstheme="minorHAnsi"/>
                              </w:rPr>
                            </w:pPr>
                            <w:r>
                              <w:rPr>
                                <w:rFonts w:asciiTheme="minorHAnsi" w:hAnsiTheme="minorHAnsi" w:cstheme="minorHAnsi"/>
                              </w:rPr>
                              <w:t>PCWP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F8FA10" id="Tekstvak 33" o:spid="_x0000_s1027" type="#_x0000_t202" style="position:absolute;margin-left:190.85pt;margin-top:10.6pt;width:55.15pt;height:23.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" fillcolor="white [3201]" stroked="f" strokeweight=".5pt">
                <v:textbox>
                  <w:txbxContent>
                    <w:p w:rsidR="00D34633" w:rsidRPr="00305037" w:rsidRDefault="00D34633" w:rsidP="00D34633">
                      <w:pPr>
                        <w:rPr>
                          <w:rFonts w:asciiTheme="minorHAnsi" w:hAnsiTheme="minorHAnsi" w:cstheme="minorHAnsi"/>
                        </w:rPr>
                      </w:pPr>
                      <w:r>
                        <w:rPr>
                          <w:rFonts w:asciiTheme="minorHAnsi" w:hAnsiTheme="minorHAnsi" w:cstheme="minorHAnsi"/>
                        </w:rPr>
                        <w:t>PCWP</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7DF8E94A" wp14:editId="511AB664">
                <wp:simplePos x="0" y="0"/>
                <wp:positionH relativeFrom="column">
                  <wp:posOffset>-442217</wp:posOffset>
                </wp:positionH>
                <wp:positionV relativeFrom="paragraph">
                  <wp:posOffset>137808</wp:posOffset>
                </wp:positionV>
                <wp:extent cx="777591" cy="306273"/>
                <wp:effectExtent l="0" t="0" r="0" b="0"/>
                <wp:wrapNone/>
                <wp:docPr id="34" name="Tekstvak 34"/>
                <wp:cNvGraphicFramePr/>
                <a:graphic xmlns:a="http://schemas.openxmlformats.org/drawingml/2006/main">
                  <a:graphicData uri="http://schemas.microsoft.com/office/word/2010/wordprocessingShape">
                    <wps:wsp>
                      <wps:cNvSpPr txBox="1"/>
                      <wps:spPr>
                        <a:xfrm>
                          <a:off x="0" y="0"/>
                          <a:ext cx="777591" cy="306273"/>
                        </a:xfrm>
                        <a:prstGeom prst="rect">
                          <a:avLst/>
                        </a:prstGeom>
                        <a:solidFill>
                          <a:schemeClr val="lt1"/>
                        </a:solidFill>
                        <a:ln w="6350">
                          <a:noFill/>
                        </a:ln>
                      </wps:spPr>
                      <wps:txbx>
                        <w:txbxContent>
                          <w:p w:rsidR="00D34633" w:rsidRPr="00305037" w:rsidRDefault="00D34633" w:rsidP="00D34633">
                            <w:pPr>
                              <w:rPr>
                                <w:rFonts w:asciiTheme="minorHAnsi" w:hAnsiTheme="minorHAnsi" w:cstheme="minorHAnsi"/>
                              </w:rPr>
                            </w:pPr>
                            <w:r>
                              <w:rPr>
                                <w:rFonts w:asciiTheme="minorHAnsi" w:hAnsiTheme="minorHAnsi" w:cstheme="minorHAnsi"/>
                              </w:rPr>
                              <w:t>SBP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F8E94A" id="Tekstvak 34" o:spid="_x0000_s1028" type="#_x0000_t202" style="position:absolute;margin-left:-34.8pt;margin-top:10.85pt;width:61.25pt;height:24.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" fillcolor="white [3201]" stroked="f" strokeweight=".5pt">
                <v:textbox>
                  <w:txbxContent>
                    <w:p w:rsidR="00D34633" w:rsidRPr="00305037" w:rsidRDefault="00D34633" w:rsidP="00D34633">
                      <w:pPr>
                        <w:rPr>
                          <w:rFonts w:asciiTheme="minorHAnsi" w:hAnsiTheme="minorHAnsi" w:cstheme="minorHAnsi"/>
                        </w:rPr>
                      </w:pPr>
                      <w:r>
                        <w:rPr>
                          <w:rFonts w:asciiTheme="minorHAnsi" w:hAnsiTheme="minorHAnsi" w:cstheme="minorHAnsi"/>
                        </w:rPr>
                        <w:t>SBP</w:t>
                      </w:r>
                    </w:p>
                  </w:txbxContent>
                </v:textbox>
              </v:shape>
            </w:pict>
          </mc:Fallback>
        </mc:AlternateContent>
      </w:r>
    </w:p>
    <w:p w:rsidR="00D34633" w:rsidRDefault="00D34633" w:rsidP="00D34633">
      <w:pPr>
        <w:rPr>
          <w:sz w:val="16"/>
          <w:szCs w:val="16"/>
          <w:lang w:val="en-US"/>
        </w:rPr>
      </w:pPr>
      <w:r>
        <w:rPr>
          <w:lang w:val="en-US"/>
        </w:rPr>
        <w:tab/>
      </w:r>
      <w:r>
        <w:rPr>
          <w:lang w:val="en-US"/>
        </w:rPr>
        <w:tab/>
      </w:r>
    </w:p>
    <w:p w:rsidR="00D34633" w:rsidRDefault="00D34633" w:rsidP="00D34633">
      <w:pPr>
        <w:rPr>
          <w:lang w:val="en-US"/>
        </w:rPr>
      </w:pPr>
      <w:r>
        <w:rPr>
          <w:sz w:val="16"/>
          <w:szCs w:val="16"/>
          <w:lang w:val="en-US"/>
        </w:rPr>
        <w:tab/>
        <w:t xml:space="preserve">       </w:t>
      </w:r>
      <w:r>
        <w:rPr>
          <w:sz w:val="16"/>
          <w:szCs w:val="16"/>
          <w:lang w:val="en-US"/>
        </w:rPr>
        <w:fldChar w:fldCharType="begin" w:fldLock="1"/>
      </w:r>
      <w:r>
        <w:rPr>
          <w:sz w:val="16"/>
          <w:szCs w:val="16"/>
          <w:lang w:val="en-US"/>
        </w:rPr>
        <w:instrText>ADDIN CSL_CITATION {"citationItems":[{"id":"ITEM-1","itemData":{"DOI":"10.1016/S0002-9149(83)80141-6","ISSN":"00029149","abstract":"Congestive heart failure (CHF) is known to be highly fatal, but to better assess efficacy of therapeutic interventions a greater understanding of its course is required. Previous studies of survival are limited by heterogeneity of patient populations and diverse criteria for diagnosing CHF. We followed up 182 patients with chronic left ventricular failure who were symptomatic despite therapy. The length of the follow-up period averaged 12 ± 10 (mean ± standard deviation [SD]) months (range 1 to 41). The cause of CHF was coronary artery disease in 95 patients and idiopathic dilated cardiomyopathy in 87. A total of 88 deaths occurred, of which 40 (45%) were sudden; the incidence of sudden death was similar in patients with coronary artery disease and idiopathic dilated cardiomyopathy. The overall mortality rate was 34% at 1 year, 59% at 2 years, and 76% at 3 years. The mortality rate in patients with coronary artery disease was 46 and 69% at 1 and 2 years, compared with 23 and 48% at 1 and 2 years in those with idiopathic dilated cardiomyopathy (p &lt;0.01). Comparison of all survivors and nonsurvivors showed no difference in age or duration of symptoms at entry. Clinical class was significantly worse in nonsurvivors. Nonsurvivors had higher left ventricular filling pressure (29 ± 7 versus 24 ± 9 mm Hg) and systemic vascular resistance (25 ± 10 versus 21 ± 8 units) (both p &lt;0.01); they also had lower mean arterial pressure (87 ± 13 versus 94 ± 13 mm Hg), cardiac index (2.0 ± 0.7 versus 2.5 ± 0.8 liters/min/m2), and stroke work (35 ± 19 versus 56 ± 33 g-m) than did the survivors (all p &lt;0.001). However, only left ventricular filling pressure was correlated with length of survival (r = -0.31, p &lt;0.01). Thus, 3-year mortality is very high in patients with severe chronic left ventricular failure. The prognosis is poorer in patients with CHF due to coronary artery disease and, as expected, in those with worse symptoms and hemodynamic abnormalities. © 1983 a.","author":[{"dropping-particle":"","family":"Franciosa","given":"Joseph A.","non-dropping-particle":"","parse-names":false,"suffix":""},{"dropping-particle":"","family":"Wilen","given":"Mary","non-dropping-particle":"","parse-names":false,"suffix":""},{"dropping-particle":"","family":"Ziesche","given":"Susan","non-dropping-particle":"","parse-names":false,"suffix":""},{"dropping-particle":"","family":"Cohn","given":"Jay N.","non-dropping-particle":"","parse-names":false,"suffix":""}],"container-title":"The American Journal of Cardiology","id":"ITEM-1","issue":"5","issued":{"date-parts":[["1983"]]},"page":"831-836","title":"Survival in men with severe chronic left ventricular failure due to either coronary heart disease or idiopathic dilated cardiomyopathy","type":"article-journal","volume":"51"},"uris":["http://www.mendeley.com/documents/?uuid=9e6bc178-830d-49e7-93d6-069b240f4cb9"]},{"id":"ITEM-2","itemData":{"DOI":"10.1093/eurheartj/ehi067","ISBN":"0195-668X (Print)\\r0195-668X (Linking)","ISSN":"0195668X","PMID":"15618038","abstract":"AIMS: To assess whether analysis of heart rate variability (HRV) from 24 h Holter recordings provides information about the mode of death (pump failure vs. sudden death) in chronic heart failure (CHF).\\n\\nMETHODS AND RESULTS: We analysed 24 h HRV in 330 consecutive CHF patients in sinus rhythm. Indices derived from time domain, spectral domain, and fractal analyses of 24 h automatic HRV were evaluated. Data from clinical assessment, echocardiography, right heart catheterization, exercise test, blood biochemical examination, and arrhythmia pattern were analysed. Patients were followed up for 3 years. Two simple multivariable models, both including 24 h spectral indices, were able to identify patients at higher risk of progressive pump failure and sudden death, respectively. Depressed power of night-time HRV (&lt; or = 509 ms(2)) below 0.04 Hz [very low frequency (VLF)], high pulmonary wedge pressure (PWP &gt; or = 18 mm Hg) and low left ventricular ejection fraction (LVEF &lt; or = 24%) were independently related to death for progressive pump failure, while the reduction of power between 0.04 and 0.15 Hz at night (LF &lt; or = 20 ms(2)) and increased left ventricular end-systolic diameter (LVESD &gt; or = 61 mm) were linked to sudden mortality.\\n\\nCONCLUSION: Automatic spectral analysis of 24 h HRV provides independent risk indices related to mode of death in sinus rhythm CHF patients.","author":[{"dropping-particle":"","family":"Guzzetti","given":"Stefano","non-dropping-particle":"","parse-names":false,"suffix":""},{"dropping-particle":"","family":"Rovere","given":"Maria Teresa","non-dropping-particle":"La","parse-names":false,"suffix":""},{"dropping-particle":"","family":"Pinna","given":"Gian Domenico","non-dropping-particle":"","parse-names":false,"suffix":""},{"dropping-particle":"","family":"Maestri","given":"Roberto","non-dropping-particle":"","parse-names":false,"suffix":""},{"dropping-particle":"","family":"Borroni","given":"Ester","non-dropping-particle":"","parse-names":false,"suffix":""},{"dropping-particle":"","family":"Porta","given":"Alberto","non-dropping-particle":"","parse-names":false,"suffix":""},{"dropping-particle":"","family":"Mortara","given":"Andrea","non-dropping-particle":"","parse-names":false,"suffix":""},{"dropping-particle":"","family":"Malliani","given":"Alberto","non-dropping-particle":"","parse-names":false,"suffix":""}],"container-title":"European Heart Journal","id":"ITEM-2","issue":"4","issued":{"date-parts":[["2005"]]},"page":"357-362","title":"Different spectral components of 24 h heart rate variability are related to different modes of death in chronic heart failure","type":"article-journal","volume":"26"},"uris":["http://www.mendeley.com/documents/?uuid=3ada837a-7d77-4702-95f0-ff11f7159a89"]},{"id":"ITEM-3","itemData":{"ISSN":"0002-9149","PMID":"8352184","abstract":"To identify which clinical or hemodynamic parameters predict survival in patients with end-stage heart failure due to dilated cardiomyopathy, 130 consecutive patients aged &lt; 65 years (mean 46 +/- 13) assessed for heart transplantation from May 1986 to April 1991 were studied. Mean follow-up was 15 +/- 11 months. Left ventricular ejection fraction was 22 +/- 7%. Left ventricular end-diastolic pressure was 27 +/- 9 mm Hg, and cardiac index was 2.2 +/- 0.6 liter/min/m2. Symptom class was IV in 91% of patients and III in 9%. Etiology was ischemic in 40% of patients and idiopathic in 60%. After intensive medical therapy, heart transplantation was considered indicated in 53% of patients, contraindicated in 20% and not indicated in 27%. Transplantation was performed in 36% of patients during follow-up, and 35% died and 29% were alive without transplantation. A comparison, excluding patients with transplantation, was performed between those who were alive and had survived &gt; or = 6 months after assessment, and those who died. On multivariate analysis, the following 3 parameters were independent predictors of prognosis: intravenous inotropic requirement (p &lt; 0.001), maximal, tolerated captopril dose (p = 0.013) and systolic blood pressure (p = 0.003). When patients with transplantation were considered as deaths, stabilization on medical therapy also reached statistical significance (p = 0.009). Classic prognostic markers including ventricular arrhythmias, left ventricular end-diastolic pressure, cardiac index, amiodarone therapy and etiology were not associated with prognosis in this homogeneous population of severely ill patients.","author":[{"dropping-particle":"","family":"Anguita","given":"M","non-dropping-particle":"","parse-names":false,"suffix":""},{"dropping-particle":"","family":"Arizón","given":"J M","non-dropping-particle":"","parse-names":false,"suffix":""},{"dropping-particle":"","family":"Bueno","given":"G","non-dropping-particle":"","parse-names":false,"suffix":""},{"dropping-particle":"","family":"Latre","given":"J M","non-dropping-particle":"","parse-names":false,"suffix":""},{"dropping-particle":"","family":"Sancho","given":"M","non-dropping-particle":"","parse-names":false,"suffix":""},{"dropping-particle":"","family":"Torres","given":"F","non-dropping-particle":"","parse-names":false,"suffix":""},{"dropping-particle":"","family":"Giménez","given":"D","non-dropping-particle":"","parse-names":false,"suffix":""},{"dropping-particle":"","family":"Concha","given":"M","non-dropping-particle":"","parse-names":false,"suffix":""},{"dropping-particle":"","family":"Vallés","given":"F","non-dropping-particle":"","parse-names":false,"suffix":""}],"container-title":"The American journal of cardiology","id":"ITEM-3","issue":"5","issued":{"date-parts":[["1993"]]},"page":"413-7","title":"Clinical and hemodynamic predictors of survival in patients aged &lt; 65 years with severe congestive heart failure secondary to ischemic or nonischemic dilated cardiomyopathy.","type":"article-journal","volume":"72"},"uris":["http://www.mendeley.com/documents/?uuid=dd8939cd-b46d-4591-80b7-b87fd521acca"]},{"id":"ITEM-4","itemData":{"DOI":"10.1016/j.healun.2006.06.015","ISSN":"10532498","abstract":"Background: It is unknown whether time-related changes of pulmonary hypertension (PH) have prognostic relevance in severe chronic heart failure (CHF). Methods: All CHF patients referred for follow-up from 1996 through 2003 were screened for this study. Eligibility depended on availability of a concomitant clinical, laboratory, electrocardiographic (ECG), echocardiographic and right-heart catheterization (RHC) assessment at index evaluation, as well as absence of pre-capillary PH. Results: One hundred ninety-six patients (age 54 ± 9 years; 27% women, 73% men; 50% in New York Heart Association [NYHA] Class III or IV) were included. PH at index evaluation was an independent predictor of acute heart failure or cardiovascular death (AHF/CD), with adjusted risk ratio (RR) = 2.30, 95% confidence interval (CI) 1.42 to 3.73 and p &lt; 0.001. A pre-study (≥6 months) RHC was available for 174 of the 196 patients. Worsening of mean pulmonary artery pressure (mPAP) of ≥30% (a pre-specified cut-off corresponding to the 75th percentile of ΔmPAP%) provided prognostic information independent of all index-evaluation parameters (adjusted RR = 2.60, 95% CI 1.45 to 4.67, p = 0.001), and from time-related changes in the other hemodynamic parameters (p ≤ 0.033). Conclusions: PH retains independent prognostic significance even after adjusting for a large set of clinical/laboratory/instrumental parameters. Furthermore, serial measurements of mPAP seem to provide additional prognostic information as compared with a single assessment. These findings indicate that serial evaluations of PAP may help identify a sub-set of high-risk CHF patients deserving a particularly close follow-up to facilitate timely indications for non-pharmacologic strategies, including (when appropriate) heart transplantation. © 2006 International Society for Heart and Lung Transplantation.","author":[{"dropping-particle":"","family":"Grigioni","given":"Francesco","non-dropping-particle":"","parse-names":false,"suffix":""},{"dropping-particle":"","family":"Potena","given":"Luciano","non-dropping-particle":"","parse-names":false,"suffix":""},{"dropping-particle":"","family":"Galiè","given":"Nazzareno","non-dropping-particle":"","parse-names":false,"suffix":""},{"dropping-particle":"","family":"Fallani","given":"Francesco","non-dropping-particle":"","parse-names":false,"suffix":""},{"dropping-particle":"","family":"Bigliardi","given":"Mauro","non-dropping-particle":"","parse-names":false,"suffix":""},{"dropping-particle":"","family":"Coccolo","given":"Fabio","non-dropping-particle":"","parse-names":false,"suffix":""},{"dropping-particle":"","family":"Magnani","given":"Gaia","non-dropping-particle":"","parse-names":false,"suffix":""},{"dropping-particle":"","family":"Manes","given":"Alessandra","non-dropping-particle":"","parse-names":false,"suffix":""},{"dropping-particle":"","family":"Barbieri","given":"Andrea","non-dropping-particle":"","parse-names":false,"suffix":""},{"dropping-particle":"","family":"Fucili","given":"Alessandro","non-dropping-particle":"","parse-names":false,"suffix":""},{"dropping-particle":"","family":"Magelli","given":"Carlo","non-dropping-particle":"","parse-names":false,"suffix":""},{"dropping-particle":"","family":"Branzi","given":"Angelo","non-dropping-particle":"","parse-names":false,"suffix":""}],"container-title":"Journal of Heart and Lung Transplantation","id":"ITEM-4","issue":"10","issued":{"date-parts":[["2006"]]},"page":"1241-1246","title":"Prognostic Implications of Serial Assessments of Pulmonary Hypertension in Severe Chronic Heart Failure","type":"article-journal","volume":"25"},"uris":["http://www.mendeley.com/documents/?uuid=59b515f2-ddec-4b2b-973f-19e472667321"]},{"id":"ITEM-5","itemData":{"DOI":"10.1016/S0735-1097(98)00672-X","ISSN":"0735-1097","author":[{"dropping-particle":"","family":"Metra","given":"Marco","non-dropping-particle":"","parse-names":false,"suffix":""},{"dropping-particle":"","family":"Faggiano","given":"Pompilio","non-dropping-particle":"","parse-names":false,"suffix":""},{"dropping-particle":"","family":"D'Aloia","given":"Antonio","non-dropping-particle":"","parse-names":false,"suffix":""},{"dropping-particle":"","family":"Nodari","given":"Savina","non-dropping-particle":"","parse-names":false,"suffix":""},{"dropping-particle":"","family":"Gualeni","given":"Anna","non-dropping-particle":"","parse-names":false,"suffix":""},{"dropping-particle":"","family":"Raccagni","given":"Domenica","non-dropping-particle":"","parse-names":false,"suffix":""},{"dropping-particle":"","family":"Cas","given":"Livio Dei","non-dropping-particle":"","parse-names":false,"suffix":""}],"container-title":"Journal of the American College of Cardiology","id":"ITEM-5","issue":"4","issued":{"date-parts":[["1999"]]},"page":"943-950","publisher":"Elsevier Masson SAS","title":"Use of Cardiopulmonary Exercise Testing With Hemodynamic Monitoring in the Prognostic Assessment of Ambulatory Patients With Chronic Heart Failure","type":"article-journal","volume":"33"},"uris":["http://www.mendeley.com/documents/?uuid=e0ff5a8c-2a52-4fa7-b4fe-2cdb3e09d8b5"]},{"id":"ITEM-6","itemData":{"DOI":"10.1016/j.amjcard.2010.04.045","ISSN":"00029149","abstract":"B-type natriuretic peptide (BNP), peak oxygen consumption (VO2), blood urea nitrogen (BUN), systolic blood pressure (SBP), and pulmonary capillary wedge pressure are all established predictors of mortality or urgent transplantation in patients with advanced heart failure (HF). However, their comparative predictive ability in estimating prognosis has not been well studied. We analyzed 1,215 patients with advanced systolic HF referred to a university center from 1999 to 2009. BUN, BNP, VO2, SBP, and pulmonary capillary wedge pressure were measured as a part of the initial evaluation. The patients were divided into groups according to the best cutoffs for predicting both 1- and 2-year mortality from the analysis of the receiver operating characteristic curves (BNP ≥579 pg/ml, peak VO2&lt;14 ml/kg/min, BUN ≥53 mg/dl, SBP &lt;118 mm Hg, and pulmonary capillary wedge pressure ≥21 mm Hg). During a 2-year follow-up, 234 patients (19%) died, and 208 (17%) required urgent transplantation. BNP (odds ratio 4.3, 95% confidence interval 3.3 to 5.5) and peak VO2(odds ratio 4.5, 95% confidence interval 2.6 to 7.8) were the strongest predictors for death or urgent transplantation. On multivariate analyses, BNP and peak VO2were the strongest predictors for both death or urgent transplantation and all-cause mortality. The c-statistic was 0.756 for BNP, 0.701 for VO2, 0.659 for BUN, 0.638 for SBP, and 0.650 for pulmonary capillary wedge pressure. In conclusion, of the 5 established predictors of outcomes in advanced HF, BNP was the most robust discriminator of risk and thus could be useful, along with other more traditional prognostic variables, in patient counseling regarding prognosis and determining the timing for heart transplantation. © 2010 Elsevier Inc. All rights reserved.","author":[{"dropping-particle":"","family":"Sachdeva","given":"Amit","non-dropping-particle":"","parse-names":false,"suffix":""},{"dropping-particle":"","family":"Horwich","given":"Tamara B.","non-dropping-particle":"","parse-names":false,"suffix":""},{"dropping-particle":"","family":"Fonarow","given":"Gregg C.","non-dropping-particle":"","parse-names":false,"suffix":""}],"container-title":"American Journal of Cardiology","id":"ITEM-6","issue":"6","issued":{"date-parts":[["2010"]]},"page":"830-835","publisher":"Elsevier Inc.","title":"Comparison of usefulness of each of five predictors of mortality and urgent transplantation in patients with advanced heart failure","type":"article-journal","volume":"106"},"uris":["http://www.mendeley.com/documents/?uuid=c2ac3001-fb78-49f0-b23a-9ad3a17244cf"]},{"id":"ITEM-7","itemData":{"DOI":"10.5603/CJ.a2014.0015","ISSN":"1898018X","author":[{"dropping-particle":"","family":"Sobieszczańska-Małek","given":"Małgorzata","non-dropping-particle":"","parse-names":false,"suffix":""},{"dropping-particle":"","family":"Zieliński","given":"Tomasz","non-dropping-particle":"","parse-names":false,"suffix":""},{"dropping-particle":"","family":"Piotrowski","given":"Walerian","non-dropping-particle":"","parse-names":false,"suffix":""},{"dropping-particle":"","family":"Korewicki","given":"Jerzy","non-dropping-particle":"","parse-names":false,"suffix":""}],"container-title":"Cardiology Journal","id":"ITEM-7","issue":"5","issued":{"date-parts":[["2014"]]},"page":"532-538","title":"Prognostic value of pulmonary hemodynamic parameters in cardiac transplant candidates","type":"article-journal","volume":"21"},"uris":["http://www.mendeley.com/documents/?uuid=2d2fb432-5ec8-4033-be27-08c0994d461b"]},{"id":"ITEM-8","itemData":{"DOI":"10.1093/eurheartj/ehu315","ISBN":"0195-668X","ISSN":"15229645","PMID":"25161181","abstract":"AIMS: In patients with suspected heart failure with preserved ejection fraction (HFpEF), invasive exercise testing may be considered when measurements at rest are inconclusive. However, the prognostic impact of invasive exercise testing is uncertain, so far.\\n\\nMETHODS AND RESULTS: We retrospectively analysed mortality in 355 patients [mean age 61.2 ± 11.3 years, 235 (66.2%) women] with unexplained dyspnoea and suspected HFpEF. During an invasive haemodynamic stress test pulmonary capillary wedge pressure (PCWP) at rest and the PCWP response to exercise, expressed as the ratio of PCWP at peak exercise to workload normalized to body weight [PCWL (mmHg/W/kg)], were recorded. Both PCWP at rest and PCWL were significant and independent predictors of long-term mortality. Adding PCWL to PCWP at rest improved reclassification of patients into survivors or non-survivors with a net reclassification improvement (NRI) of 0.56 (95% CI: 0.29-0.83; P &lt; 0.001). Ten-year mortality was 6.6% in subjects with low PCWP at rest (≤12 mmHg) and low PCWL (≤25.5 mmHg/W/kg); 28.2% in patients with low PCWP and high PCWL and 35.2% in those with high PCWP and high PCWL. Compared with patients with low PCWP and low PCWL, the adjusted hazard ratio for mortality was 2.37 (95% CI: 1.09-5.17; P = 0.029) for the low-PCWP/high-PCWL group and 4.75 (95% CI: 1.90-11.84; P &lt; 0.001) for patients with high PCWP/high PCWL.\\n\\nCONCLUSION: In patients with suspected HFpEF, invasive exercise testing substantially improves prediction of long-term mortality. An excessive rise of PCWP during exercise despite normal PCWP at rest is associated with increased mortality and may be considered as early HFpEF.","author":[{"dropping-particle":"","family":"Dorfs","given":"Stephan","non-dropping-particle":"","parse-names":false,"suffix":""},{"dropping-particle":"","family":"Zeh","given":"Wolfgang","non-dropping-particle":"","parse-names":false,"suffix":""},{"dropping-particle":"","family":"Hochholzer","given":"Willibald","non-dropping-particle":"","parse-names":false,"suffix":""},{"dropping-particle":"","family":"Jander","given":"Nikolaus","non-dropping-particle":"","parse-names":false,"suffix":""},{"dropping-particle":"","family":"Kienzle","given":"Rolf Peter","non-dropping-particle":"","parse-names":false,"suffix":""},{"dropping-particle":"","family":"Pieske","given":"Burkert","non-dropping-particle":"","parse-names":false,"suffix":""},{"dropping-particle":"","family":"Neumann","given":"Franz Josef","non-dropping-particle":"","parse-names":false,"suffix":""}],"container-title":"European Heart Journal","id":"ITEM-8","issue":"44","issued":{"date-parts":[["2014"]]},"page":"3103-3112","title":"Pulmonary capillary wedge pressure during exercise and long-term mortality in patients with suspected heart failure with preserved ejection fraction","type":"article-journal","volume":"35"},"uris":["http://www.mendeley.com/documents/?uuid=786cc52e-81c6-4c95-8daa-e91ed5e56897"]}],"mendeley":{"formattedCitation":"[14], [18], [24]–[26], [28]–[30]","plainTextFormattedCitation":"[14], [18], [24]–[26], [28]–[30]","previouslyFormattedCitation":"[14], [18], [24]–[26], [28]–[30]"},"properties":{"noteIndex":0},"schema":"https://github.com/citation-style-language/schema/raw/master/csl-citation.json"}</w:instrText>
      </w:r>
      <w:r>
        <w:rPr>
          <w:sz w:val="16"/>
          <w:szCs w:val="16"/>
          <w:lang w:val="en-US"/>
        </w:rPr>
        <w:fldChar w:fldCharType="separate"/>
      </w:r>
      <w:r w:rsidRPr="00A24E64">
        <w:rPr>
          <w:noProof/>
          <w:sz w:val="16"/>
          <w:szCs w:val="16"/>
          <w:lang w:val="en-US"/>
        </w:rPr>
        <w:t>[14], [18], [24]–[26], [28]–[30]</w:t>
      </w:r>
      <w:r>
        <w:rPr>
          <w:sz w:val="16"/>
          <w:szCs w:val="16"/>
          <w:lang w:val="en-US"/>
        </w:rPr>
        <w:fldChar w:fldCharType="end"/>
      </w:r>
    </w:p>
    <w:p w:rsidR="00D34633" w:rsidRDefault="00D34633" w:rsidP="00D34633">
      <w:pPr>
        <w:rPr>
          <w:color w:val="0070C0"/>
          <w:lang w:val="en-US"/>
        </w:rPr>
      </w:pPr>
    </w:p>
    <w:p w:rsidR="00D34633" w:rsidRPr="00B5021C" w:rsidRDefault="00D34633" w:rsidP="00D34633">
      <w:pPr>
        <w:rPr>
          <w:color w:val="0070C0"/>
          <w:lang w:val="en-US"/>
        </w:rPr>
      </w:pPr>
      <w:r>
        <w:rPr>
          <w:color w:val="0070C0"/>
          <w:lang w:val="en-US"/>
        </w:rPr>
        <w:t>Overview</w:t>
      </w:r>
      <w:r w:rsidRPr="00B5021C">
        <w:rPr>
          <w:color w:val="0070C0"/>
          <w:lang w:val="en-US"/>
        </w:rPr>
        <w:t xml:space="preserve"> of the number of studies with comparisons between hemodynamic variables in MV-analysis. References of the studies are given. </w:t>
      </w:r>
    </w:p>
    <w:p w:rsidR="00B43110" w:rsidRDefault="00E41273">
      <w:pPr>
        <w:rPr>
          <w:lang w:val="en-US"/>
        </w:rPr>
      </w:pPr>
    </w:p>
    <w:p w:rsidR="003F282D" w:rsidRDefault="003F282D" w:rsidP="003F282D">
      <w:pPr>
        <w:rPr>
          <w:lang w:val="en-US"/>
        </w:rPr>
      </w:pPr>
    </w:p>
    <w:p w:rsidR="003F282D" w:rsidRPr="007348D8" w:rsidRDefault="003F282D" w:rsidP="003F282D">
      <w:pPr>
        <w:pStyle w:val="Kop3"/>
        <w:spacing w:before="30" w:after="30"/>
        <w:rPr>
          <w:b/>
          <w:lang w:val="en-US"/>
        </w:rPr>
      </w:pPr>
      <w:r>
        <w:rPr>
          <w:b/>
          <w:lang w:val="en-US"/>
        </w:rPr>
        <w:t>Supplement 5B: Direct Comparisons Methods and Results</w:t>
      </w:r>
    </w:p>
    <w:p w:rsidR="003F282D" w:rsidRDefault="003F282D" w:rsidP="003F282D">
      <w:pPr>
        <w:rPr>
          <w:lang w:val="en-US"/>
        </w:rPr>
      </w:pPr>
    </w:p>
    <w:p w:rsidR="003F282D" w:rsidRDefault="003F282D" w:rsidP="003F282D">
      <w:pPr>
        <w:rPr>
          <w:lang w:val="en-US"/>
        </w:rPr>
      </w:pPr>
    </w:p>
    <w:p w:rsidR="003F282D" w:rsidRPr="00D00343" w:rsidRDefault="003F282D" w:rsidP="003F282D">
      <w:pPr>
        <w:rPr>
          <w:b/>
          <w:lang w:val="en-US"/>
        </w:rPr>
      </w:pPr>
      <w:r w:rsidRPr="00D00343">
        <w:rPr>
          <w:b/>
          <w:lang w:val="en-US"/>
        </w:rPr>
        <w:t>Methods</w:t>
      </w:r>
    </w:p>
    <w:p w:rsidR="003F282D" w:rsidRDefault="003F282D" w:rsidP="003F282D">
      <w:pPr>
        <w:rPr>
          <w:lang w:val="en-US"/>
        </w:rPr>
      </w:pPr>
    </w:p>
    <w:p w:rsidR="003F282D" w:rsidRDefault="003F282D" w:rsidP="003F282D">
      <w:pPr>
        <w:spacing w:line="480" w:lineRule="auto"/>
        <w:rPr>
          <w:lang w:val="en-US"/>
        </w:rPr>
      </w:pPr>
      <w:r>
        <w:rPr>
          <w:lang w:val="en-US"/>
        </w:rPr>
        <w:t>A fifth analysis</w:t>
      </w:r>
      <w:r w:rsidRPr="007348D8">
        <w:rPr>
          <w:lang w:val="en-US"/>
        </w:rPr>
        <w:t xml:space="preserve"> was performed </w:t>
      </w:r>
      <w:r>
        <w:rPr>
          <w:lang w:val="en-US"/>
        </w:rPr>
        <w:t>with a direct comparison between</w:t>
      </w:r>
      <w:r w:rsidRPr="007348D8">
        <w:rPr>
          <w:lang w:val="en-US"/>
        </w:rPr>
        <w:t xml:space="preserve"> </w:t>
      </w:r>
      <w:r>
        <w:rPr>
          <w:lang w:val="en-US"/>
        </w:rPr>
        <w:t xml:space="preserve">the hemodynamic </w:t>
      </w:r>
      <w:r w:rsidRPr="007348D8">
        <w:rPr>
          <w:lang w:val="en-US"/>
        </w:rPr>
        <w:t>variables</w:t>
      </w:r>
      <w:r>
        <w:rPr>
          <w:lang w:val="en-US"/>
        </w:rPr>
        <w:t>, Age, VO2-max and NT-</w:t>
      </w:r>
      <w:proofErr w:type="spellStart"/>
      <w:r>
        <w:rPr>
          <w:lang w:val="en-US"/>
        </w:rPr>
        <w:t>proBNP</w:t>
      </w:r>
      <w:proofErr w:type="spellEnd"/>
      <w:r w:rsidRPr="007348D8">
        <w:rPr>
          <w:lang w:val="en-US"/>
        </w:rPr>
        <w:t xml:space="preserve"> </w:t>
      </w:r>
      <w:r>
        <w:rPr>
          <w:lang w:val="en-US"/>
        </w:rPr>
        <w:t xml:space="preserve">in MV-analysis, </w:t>
      </w:r>
      <w:r w:rsidRPr="007348D8">
        <w:rPr>
          <w:lang w:val="en-US"/>
        </w:rPr>
        <w:t>of which at least two were tested against each other</w:t>
      </w:r>
      <w:r>
        <w:rPr>
          <w:lang w:val="en-US"/>
        </w:rPr>
        <w:t>. Therefore a</w:t>
      </w:r>
      <w:r w:rsidRPr="007348D8">
        <w:rPr>
          <w:lang w:val="en-US"/>
        </w:rPr>
        <w:t xml:space="preserve"> separate table was made comparing how many times a variable remained in MV-analysis </w:t>
      </w:r>
      <w:r>
        <w:rPr>
          <w:lang w:val="en-US"/>
        </w:rPr>
        <w:t xml:space="preserve">in the presence of </w:t>
      </w:r>
      <w:r w:rsidRPr="007348D8">
        <w:rPr>
          <w:lang w:val="en-US"/>
        </w:rPr>
        <w:t>another variable. In this way, the relevance of a singular variable was tested as</w:t>
      </w:r>
      <w:r>
        <w:rPr>
          <w:lang w:val="en-US"/>
        </w:rPr>
        <w:t xml:space="preserve"> </w:t>
      </w:r>
      <w:r w:rsidRPr="007348D8">
        <w:rPr>
          <w:lang w:val="en-US"/>
        </w:rPr>
        <w:t>‘best’ hemodynamic variable or as ‘less relevant’ variable of the three hemod</w:t>
      </w:r>
      <w:r>
        <w:rPr>
          <w:lang w:val="en-US"/>
        </w:rPr>
        <w:t>ynamic variables.</w:t>
      </w:r>
    </w:p>
    <w:p w:rsidR="003F282D" w:rsidRDefault="003F282D" w:rsidP="003F282D">
      <w:pPr>
        <w:spacing w:line="480" w:lineRule="auto"/>
        <w:rPr>
          <w:lang w:val="en-US"/>
        </w:rPr>
      </w:pPr>
    </w:p>
    <w:p w:rsidR="003F282D" w:rsidRPr="00D00343" w:rsidRDefault="003F282D" w:rsidP="003F282D">
      <w:pPr>
        <w:spacing w:line="480" w:lineRule="auto"/>
        <w:rPr>
          <w:b/>
          <w:lang w:val="en-US"/>
        </w:rPr>
      </w:pPr>
      <w:r w:rsidRPr="00D00343">
        <w:rPr>
          <w:b/>
          <w:lang w:val="en-US"/>
        </w:rPr>
        <w:t>Results</w:t>
      </w:r>
    </w:p>
    <w:p w:rsidR="003F282D" w:rsidRPr="00F57442" w:rsidRDefault="003F282D" w:rsidP="003F282D">
      <w:pPr>
        <w:spacing w:line="480" w:lineRule="auto"/>
        <w:rPr>
          <w:lang w:val="en-US"/>
        </w:rPr>
      </w:pPr>
      <w:r w:rsidRPr="00CA542A">
        <w:rPr>
          <w:lang w:val="en-US"/>
        </w:rPr>
        <w:t xml:space="preserve">In </w:t>
      </w:r>
      <w:r>
        <w:rPr>
          <w:color w:val="0070C0"/>
          <w:lang w:val="en-US"/>
        </w:rPr>
        <w:t>Supplement</w:t>
      </w:r>
      <w:r w:rsidRPr="00CA542A">
        <w:rPr>
          <w:color w:val="0070C0"/>
          <w:lang w:val="en-US"/>
        </w:rPr>
        <w:t xml:space="preserve"> 5</w:t>
      </w:r>
      <w:r>
        <w:rPr>
          <w:color w:val="0070C0"/>
          <w:lang w:val="en-US"/>
        </w:rPr>
        <w:t>C</w:t>
      </w:r>
      <w:r w:rsidRPr="00CA542A">
        <w:rPr>
          <w:lang w:val="en-US"/>
        </w:rPr>
        <w:t>, two MV prognostic variables are tested against each other and the number of studies that show a prognostic significance are shown divided by the number of studies that studied the comparison</w:t>
      </w:r>
      <w:r>
        <w:rPr>
          <w:lang w:val="en-US"/>
        </w:rPr>
        <w:t xml:space="preserve"> in MV-analysis</w:t>
      </w:r>
      <w:r w:rsidRPr="00CA542A">
        <w:rPr>
          <w:lang w:val="en-US"/>
        </w:rPr>
        <w:t xml:space="preserve">. </w:t>
      </w:r>
      <w:r>
        <w:rPr>
          <w:color w:val="0070C0"/>
          <w:lang w:val="en-US"/>
        </w:rPr>
        <w:t xml:space="preserve">Supplement 5A </w:t>
      </w:r>
      <w:r>
        <w:rPr>
          <w:lang w:val="en-US"/>
        </w:rPr>
        <w:t xml:space="preserve">illustrates the comparisons that were made in which studies. </w:t>
      </w:r>
      <w:r w:rsidRPr="007348D8">
        <w:rPr>
          <w:lang w:val="en-US"/>
        </w:rPr>
        <w:t xml:space="preserve">For </w:t>
      </w:r>
      <w:r>
        <w:rPr>
          <w:lang w:val="en-US"/>
        </w:rPr>
        <w:t xml:space="preserve">our study on </w:t>
      </w:r>
      <w:r w:rsidRPr="007348D8">
        <w:rPr>
          <w:lang w:val="en-US"/>
        </w:rPr>
        <w:t>MV</w:t>
      </w:r>
      <w:r>
        <w:rPr>
          <w:lang w:val="en-US"/>
        </w:rPr>
        <w:t>-predictors</w:t>
      </w:r>
      <w:r w:rsidRPr="007348D8">
        <w:rPr>
          <w:lang w:val="en-US"/>
        </w:rPr>
        <w:t xml:space="preserve"> (</w:t>
      </w:r>
      <w:r>
        <w:rPr>
          <w:color w:val="0070C0"/>
          <w:lang w:val="en-US"/>
        </w:rPr>
        <w:t>Supplement 4B (Data A</w:t>
      </w:r>
      <w:r w:rsidRPr="007348D8">
        <w:rPr>
          <w:color w:val="0070C0"/>
          <w:lang w:val="en-US"/>
        </w:rPr>
        <w:t>nalysis: MV-analysis)</w:t>
      </w:r>
      <w:r w:rsidRPr="007348D8">
        <w:rPr>
          <w:lang w:val="en-US"/>
        </w:rPr>
        <w:t xml:space="preserve">), all three </w:t>
      </w:r>
      <w:r>
        <w:rPr>
          <w:lang w:val="en-US"/>
        </w:rPr>
        <w:t>hemodynamic variables</w:t>
      </w:r>
      <w:r w:rsidRPr="007348D8">
        <w:rPr>
          <w:lang w:val="en-US"/>
        </w:rPr>
        <w:t xml:space="preserve"> were </w:t>
      </w:r>
      <w:r>
        <w:rPr>
          <w:lang w:val="en-US"/>
        </w:rPr>
        <w:t xml:space="preserve">either </w:t>
      </w:r>
      <w:proofErr w:type="spellStart"/>
      <w:r>
        <w:rPr>
          <w:lang w:val="en-US"/>
        </w:rPr>
        <w:t>univariately</w:t>
      </w:r>
      <w:proofErr w:type="spellEnd"/>
      <w:r>
        <w:rPr>
          <w:lang w:val="en-US"/>
        </w:rPr>
        <w:t xml:space="preserve"> or </w:t>
      </w:r>
      <w:proofErr w:type="spellStart"/>
      <w:r>
        <w:rPr>
          <w:lang w:val="en-US"/>
        </w:rPr>
        <w:t>multivariately</w:t>
      </w:r>
      <w:proofErr w:type="spellEnd"/>
      <w:r>
        <w:rPr>
          <w:lang w:val="en-US"/>
        </w:rPr>
        <w:t xml:space="preserve"> tested in 12 of 18</w:t>
      </w:r>
      <w:r w:rsidRPr="007348D8">
        <w:rPr>
          <w:lang w:val="en-US"/>
        </w:rPr>
        <w:t xml:space="preserve"> included studies</w:t>
      </w:r>
      <w:r>
        <w:rPr>
          <w:lang w:val="en-US"/>
        </w:rPr>
        <w:t xml:space="preserve"> that finally performed a MV-analysis</w:t>
      </w:r>
      <w:r w:rsidRPr="007348D8">
        <w:rPr>
          <w:lang w:val="en-US"/>
        </w:rPr>
        <w:t>.</w:t>
      </w:r>
    </w:p>
    <w:p w:rsidR="003F282D" w:rsidRPr="007348D8" w:rsidRDefault="003F282D" w:rsidP="003F282D">
      <w:pPr>
        <w:spacing w:line="480" w:lineRule="auto"/>
        <w:rPr>
          <w:lang w:val="en-US"/>
        </w:rPr>
      </w:pPr>
      <w:r w:rsidRPr="007348D8">
        <w:rPr>
          <w:lang w:val="en-US"/>
        </w:rPr>
        <w:t xml:space="preserve">CI </w:t>
      </w:r>
      <w:r>
        <w:rPr>
          <w:lang w:val="en-US"/>
        </w:rPr>
        <w:t>was not a significant predictor in any</w:t>
      </w:r>
      <w:r w:rsidRPr="007348D8">
        <w:rPr>
          <w:lang w:val="en-US"/>
        </w:rPr>
        <w:t xml:space="preserve"> MV-analysis against another variable. </w:t>
      </w:r>
      <w:r>
        <w:rPr>
          <w:lang w:val="en-US"/>
        </w:rPr>
        <w:t xml:space="preserve">There was no specific predictor against which PCWP did not retain significance in MV-analysis. </w:t>
      </w:r>
    </w:p>
    <w:p w:rsidR="003F282D" w:rsidRDefault="003F282D" w:rsidP="003F282D">
      <w:pPr>
        <w:spacing w:line="480" w:lineRule="auto"/>
        <w:rPr>
          <w:lang w:val="en-US"/>
        </w:rPr>
      </w:pPr>
      <w:r>
        <w:rPr>
          <w:lang w:val="en-US"/>
        </w:rPr>
        <w:t>SBP remained significant</w:t>
      </w:r>
      <w:r w:rsidRPr="007348D8">
        <w:rPr>
          <w:lang w:val="en-US"/>
        </w:rPr>
        <w:t xml:space="preserve"> in 1 study</w:t>
      </w:r>
      <w:r>
        <w:rPr>
          <w:lang w:val="en-US"/>
        </w:rPr>
        <w:t xml:space="preserve"> where PCWP lost significance [29]</w:t>
      </w:r>
      <w:r w:rsidRPr="007348D8">
        <w:rPr>
          <w:lang w:val="en-US"/>
        </w:rPr>
        <w:t>,</w:t>
      </w:r>
      <w:r>
        <w:rPr>
          <w:lang w:val="en-US"/>
        </w:rPr>
        <w:t xml:space="preserve"> in 3</w:t>
      </w:r>
      <w:r w:rsidRPr="007348D8">
        <w:rPr>
          <w:lang w:val="en-US"/>
        </w:rPr>
        <w:t xml:space="preserve"> studies</w:t>
      </w:r>
      <w:r>
        <w:rPr>
          <w:lang w:val="en-US"/>
        </w:rPr>
        <w:t xml:space="preserve"> SBP did not remain significant against PCWP [24,25,28], 3 studies where both SBP and PCWP lost significance [14,26,30] and 1</w:t>
      </w:r>
      <w:r w:rsidRPr="007348D8">
        <w:rPr>
          <w:lang w:val="en-US"/>
        </w:rPr>
        <w:t xml:space="preserve"> stud</w:t>
      </w:r>
      <w:r>
        <w:rPr>
          <w:lang w:val="en-US"/>
        </w:rPr>
        <w:t xml:space="preserve">y </w:t>
      </w:r>
      <w:r w:rsidRPr="007348D8">
        <w:rPr>
          <w:lang w:val="en-US"/>
        </w:rPr>
        <w:t>in</w:t>
      </w:r>
      <w:r>
        <w:rPr>
          <w:lang w:val="en-US"/>
        </w:rPr>
        <w:t xml:space="preserve"> which</w:t>
      </w:r>
      <w:r w:rsidRPr="007348D8">
        <w:rPr>
          <w:lang w:val="en-US"/>
        </w:rPr>
        <w:t xml:space="preserve"> </w:t>
      </w:r>
      <w:r>
        <w:rPr>
          <w:lang w:val="en-US"/>
        </w:rPr>
        <w:t xml:space="preserve">both PCWP and SBP remained significant [18]. </w:t>
      </w:r>
    </w:p>
    <w:p w:rsidR="003F282D" w:rsidRPr="006F6C7B" w:rsidRDefault="003F282D" w:rsidP="003F282D">
      <w:pPr>
        <w:spacing w:line="480" w:lineRule="auto"/>
        <w:rPr>
          <w:lang w:val="en-US"/>
        </w:rPr>
      </w:pPr>
    </w:p>
    <w:p w:rsidR="003F282D" w:rsidRDefault="003F282D" w:rsidP="003F282D">
      <w:pPr>
        <w:spacing w:line="480" w:lineRule="auto"/>
        <w:rPr>
          <w:lang w:val="en-US"/>
        </w:rPr>
      </w:pPr>
      <w:r>
        <w:rPr>
          <w:lang w:val="en-US"/>
        </w:rPr>
        <w:t>Presence of confounding variables:</w:t>
      </w:r>
    </w:p>
    <w:p w:rsidR="003F282D" w:rsidRDefault="003F282D" w:rsidP="003F282D">
      <w:pPr>
        <w:spacing w:line="480" w:lineRule="auto"/>
        <w:rPr>
          <w:lang w:val="en-US"/>
        </w:rPr>
      </w:pPr>
      <w:r>
        <w:rPr>
          <w:lang w:val="en-US"/>
        </w:rPr>
        <w:t>Age was present as UV-variable in 14 of 20 studies, and as MV-variable in only 4 of the 18</w:t>
      </w:r>
      <w:r w:rsidRPr="007348D8">
        <w:rPr>
          <w:lang w:val="en-US"/>
        </w:rPr>
        <w:t xml:space="preserve"> included </w:t>
      </w:r>
      <w:r>
        <w:rPr>
          <w:lang w:val="en-US"/>
        </w:rPr>
        <w:t>studies with a MV-analysis [20,21,22,26].</w:t>
      </w:r>
    </w:p>
    <w:p w:rsidR="003F282D" w:rsidRDefault="003F282D" w:rsidP="003F282D">
      <w:pPr>
        <w:spacing w:line="480" w:lineRule="auto"/>
        <w:rPr>
          <w:lang w:val="en-US"/>
        </w:rPr>
      </w:pPr>
      <w:r>
        <w:rPr>
          <w:lang w:val="en-US"/>
        </w:rPr>
        <w:t xml:space="preserve">VO2-max was present as UV-variable in 6 studies, and as MV-variable in 4 of 18 included studies with a MV-analysis </w:t>
      </w:r>
      <w:r>
        <w:rPr>
          <w:lang w:val="en-US"/>
        </w:rPr>
        <w:fldChar w:fldCharType="begin" w:fldLock="1"/>
      </w:r>
      <w:r>
        <w:rPr>
          <w:lang w:val="en-US"/>
        </w:rPr>
        <w:instrText>ADDIN CSL_CITATION {"citationItems":[{"id":"ITEM-1","itemData":{"DOI":"10.1093/eurheartj/ehi067","ISBN":"0195-668X (Print)\\r0195-668X (Linking)","ISSN":"0195668X","PMID":"15618038","abstract":"AIMS: To assess whether analysis of heart rate variability (HRV) from 24 h Holter recordings provides information about the mode of death (pump failure vs. sudden death) in chronic heart failure (CHF).\\n\\nMETHODS AND RESULTS: We analysed 24 h HRV in 330 consecutive CHF patients in sinus rhythm. Indices derived from time domain, spectral domain, and fractal analyses of 24 h automatic HRV were evaluated. Data from clinical assessment, echocardiography, right heart catheterization, exercise test, blood biochemical examination, and arrhythmia pattern were analysed. Patients were followed up for 3 years. Two simple multivariable models, both including 24 h spectral indices, were able to identify patients at higher risk of progressive pump failure and sudden death, respectively. Depressed power of night-time HRV (&lt; or = 509 ms(2)) below 0.04 Hz [very low frequency (VLF)], high pulmonary wedge pressure (PWP &gt; or = 18 mm Hg) and low left ventricular ejection fraction (LVEF &lt; or = 24%) were independently related to death for progressive pump failure, while the reduction of power between 0.04 and 0.15 Hz at night (LF &lt; or = 20 ms(2)) and increased left ventricular end-systolic diameter (LVESD &gt; or = 61 mm) were linked to sudden mortality.\\n\\nCONCLUSION: Automatic spectral analysis of 24 h HRV provides independent risk indices related to mode of death in sinus rhythm CHF patients.","author":[{"dropping-particle":"","family":"Guzzetti","given":"Stefano","non-dropping-particle":"","parse-names":false,"suffix":""},{"dropping-particle":"","family":"Rovere","given":"Maria Teresa","non-dropping-particle":"La","parse-names":false,"suffix":""},{"dropping-particle":"","family":"Pinna","given":"Gian Domenico","non-dropping-particle":"","parse-names":false,"suffix":""},{"dropping-particle":"","family":"Maestri","given":"Roberto","non-dropping-particle":"","parse-names":false,"suffix":""},{"dropping-particle":"","family":"Borroni","given":"Ester","non-dropping-particle":"","parse-names":false,"suffix":""},{"dropping-particle":"","family":"Porta","given":"Alberto","non-dropping-particle":"","parse-names":false,"suffix":""},{"dropping-particle":"","family":"Mortara","given":"Andrea","non-dropping-particle":"","parse-names":false,"suffix":""},{"dropping-particle":"","family":"Malliani","given":"Alberto","non-dropping-particle":"","parse-names":false,"suffix":""}],"container-title":"European Heart Journal","id":"ITEM-1","issue":"4","issued":{"date-parts":[["2005"]]},"page":"357-362","title":"Different spectral components of 24 h heart rate variability are related to different modes of death in chronic heart failure","type":"article-journal","volume":"26"},"uris":["http://www.mendeley.com/documents/?uuid=3ada837a-7d77-4702-95f0-ff11f7159a89"]},{"id":"ITEM-2","itemData":{"author":[{"dropping-particle":"","family":"Chomsky","given":"Don B","non-dropping-particle":"","parse-names":false,"suffix":""},{"dropping-particle":"","family":"Lang","given":"Chim C","non-dropping-particle":"","parse-names":false,"suffix":""},{"dropping-particle":"","family":"Rayos","given":"Glenn H","non-dropping-particle":"","parse-names":false,"suffix":""},{"dropping-particle":"","family":"Shyr","given":"Yu","non-dropping-particle":"","parse-names":false,"suffix":""},{"dropping-particle":"","family":"Yeoh","given":"Tiong-Keat","non-dropping-particle":"","parse-names":false,"suffix":""},{"dropping-particle":"","family":"Pierson","given":"Richard N","non-dropping-particle":"","parse-names":false,"suffix":""},{"dropping-particle":"","family":"Davis","given":"Stacy F","non-dropping-particle":"","parse-names":false,"suffix":""},{"dropping-particle":"","family":"Wilson","given":"John R","non-dropping-particle":"","parse-names":false,"suffix":""}],"container-title":"Circulation","id":"ITEM-2","issue":"12","issued":{"date-parts":[["1996"]]},"page":"3176-3183","title":"Myocardial Disease : Hemodynamic Exercise Testing : A Valuable Tool in the Selection of Cardiac Transplantation Candidates","type":"article-journal","volume":"94"},"uris":["http://www.mendeley.com/documents/?uuid=0d40e737-3643-4936-bdd9-2febc9033abd"]},{"id":"ITEM-3","itemData":{"DOI":"10.1016/S0735-1097(98)00672-X","ISSN":"0735-1097","author":[{"dropping-particle":"","family":"Metra","given":"Marco","non-dropping-particle":"","parse-names":false,"suffix":""},{"dropping-particle":"","family":"Faggiano","given":"Pompilio","non-dropping-particle":"","parse-names":false,"suffix":""},{"dropping-particle":"","family":"D'Aloia","given":"Antonio","non-dropping-particle":"","parse-names":false,"suffix":""},{"dropping-particle":"","family":"Nodari","given":"Savina","non-dropping-particle":"","parse-names":false,"suffix":""},{"dropping-particle":"","family":"Gualeni","given":"Anna","non-dropping-particle":"","parse-names":false,"suffix":""},{"dropping-particle":"","family":"Raccagni","given":"Domenica","non-dropping-particle":"","parse-names":false,"suffix":""},{"dropping-particle":"","family":"Cas","given":"Livio Dei","non-dropping-particle":"","parse-names":false,"suffix":""}],"container-title":"Journal of the American College of Cardiology","id":"ITEM-3","issue":"4","issued":{"date-parts":[["1999"]]},"page":"943-950","publisher":"Elsevier Masson SAS","title":"Use of Cardiopulmonary Exercise Testing With Hemodynamic Monitoring in the Prognostic Assessment of Ambulatory Patients With Chronic Heart Failure","type":"article-journal","volume":"33"},"uris":["http://www.mendeley.com/documents/?uuid=e0ff5a8c-2a52-4fa7-b4fe-2cdb3e09d8b5"]},{"id":"ITEM-4","itemData":{"DOI":"10.1016/j.amjcard.2010.04.045","ISSN":"00029149","abstract":"B-type natriuretic peptide (BNP), peak oxygen consumption (VO2), blood urea nitrogen (BUN), systolic blood pressure (SBP), and pulmonary capillary wedge pressure are all established predictors of mortality or urgent transplantation in patients with advanced heart failure (HF). However, their comparative predictive ability in estimating prognosis has not been well studied. We analyzed 1,215 patients with advanced systolic HF referred to a university center from 1999 to 2009. BUN, BNP, VO2, SBP, and pulmonary capillary wedge pressure were measured as a part of the initial evaluation. The patients were divided into groups according to the best cutoffs for predicting both 1- and 2-year mortality from the analysis of the receiver operating characteristic curves (BNP ≥579 pg/ml, peak VO2&lt;14 ml/kg/min, BUN ≥53 mg/dl, SBP &lt;118 mm Hg, and pulmonary capillary wedge pressure ≥21 mm Hg). During a 2-year follow-up, 234 patients (19%) died, and 208 (17%) required urgent transplantation. BNP (odds ratio 4.3, 95% confidence interval 3.3 to 5.5) and peak VO2(odds ratio 4.5, 95% confidence interval 2.6 to 7.8) were the strongest predictors for death or urgent transplantation. On multivariate analyses, BNP and peak VO2were the strongest predictors for both death or urgent transplantation and all-cause mortality. The c-statistic was 0.756 for BNP, 0.701 for VO2, 0.659 for BUN, 0.638 for SBP, and 0.650 for pulmonary capillary wedge pressure. In conclusion, of the 5 established predictors of outcomes in advanced HF, BNP was the most robust discriminator of risk and thus could be useful, along with other more traditional prognostic variables, in patient counseling regarding prognosis and determining the timing for heart transplantation. © 2010 Elsevier Inc. All rights reserved.","author":[{"dropping-particle":"","family":"Sachdeva","given":"Amit","non-dropping-particle":"","parse-names":false,"suffix":""},{"dropping-particle":"","family":"Horwich","given":"Tamara B.","non-dropping-particle":"","parse-names":false,"suffix":""},{"dropping-particle":"","family":"Fonarow","given":"Gregg C.","non-dropping-particle":"","parse-names":false,"suffix":""}],"container-title":"American Journal of Cardiology","id":"ITEM-4","issue":"6","issued":{"date-parts":[["2010"]]},"page":"830-835","publisher":"Elsevier Inc.","title":"Comparison of usefulness of each of five predictors of mortality and urgent transplantation in patients with advanced heart failure","type":"article-journal","volume":"106"},"uris":["http://www.mendeley.com/documents/?uuid=c2ac3001-fb78-49f0-b23a-9ad3a17244cf"]}],"mendeley":{"formattedCitation":"[13], [14], [18], [25]","plainTextFormattedCitation":"[13], [14], [18], [25]","previouslyFormattedCitation":"[13], [14], [18], [25]"},"properties":{"noteIndex":0},"schema":"https://github.com/citation-style-language/schema/raw/master/csl-citation.json"}</w:instrText>
      </w:r>
      <w:r>
        <w:rPr>
          <w:lang w:val="en-US"/>
        </w:rPr>
        <w:fldChar w:fldCharType="separate"/>
      </w:r>
      <w:r w:rsidRPr="00295004">
        <w:rPr>
          <w:noProof/>
          <w:lang w:val="en-US"/>
        </w:rPr>
        <w:t>[13], [14], [18], [25]</w:t>
      </w:r>
      <w:r>
        <w:rPr>
          <w:lang w:val="en-US"/>
        </w:rPr>
        <w:fldChar w:fldCharType="end"/>
      </w:r>
      <w:r>
        <w:rPr>
          <w:lang w:val="en-US"/>
        </w:rPr>
        <w:t xml:space="preserve">. </w:t>
      </w:r>
    </w:p>
    <w:p w:rsidR="003F282D" w:rsidRDefault="003F282D" w:rsidP="003F282D">
      <w:pPr>
        <w:spacing w:line="480" w:lineRule="auto"/>
        <w:rPr>
          <w:lang w:val="en-US"/>
        </w:rPr>
      </w:pPr>
      <w:r>
        <w:rPr>
          <w:lang w:val="en-US"/>
        </w:rPr>
        <w:t xml:space="preserve">Natriuretic peptides was present as UV-variable in 4 studies, and as MV-variable in 4 of 18 included studies with a MV-analysis </w:t>
      </w:r>
      <w:r>
        <w:rPr>
          <w:lang w:val="en-US"/>
        </w:rPr>
        <w:fldChar w:fldCharType="begin" w:fldLock="1"/>
      </w:r>
      <w:r>
        <w:rPr>
          <w:lang w:val="en-US"/>
        </w:rPr>
        <w:instrText>ADDIN CSL_CITATION {"citationItems":[{"id":"ITEM-1","itemData":{"DOI":"10.1016/j.healun.2004.01.010","ISSN":"10532498","abstract":"Background: Right heart catheterization long has been a routine investigation in advanced heart failure, and its measurements have been linked variably to prognosis. However, in the modern era, newer potential markers of prognosis are coming to light. This study reconsiders the use of right heart catheterization data and compares their use to that of N-terminal pro-brain natriuretic peptide (NT-proBNP), a neurohormone linked with prognosis in chronic heart failure. Methods: We assessed prospectively the prognostic potential of baseline right heart catheterization data in 97 consecutive patients with advanced heart failure referred to the Scottish Cardiopulmonary Transplant Unit for consideration of cardiac transplantation. Patients underwent baseline routine investigation, including right heart catheterization and blood draws for NT-proBNP analysis. Patients were observed for a median of 370 days. Results: The primary end-point of all-cause mortality was reached in 17 patients (17.5%), and the secondary end-point of all-cause mortality or urgent cardiac transplantation was reached in 21 (21.6%) patients. Univariate predictors of all-cause mortality included pulmonary artery systolic pressure (PASP), pulmonary artery wedge pressure (PAWP), and NT-proBNP concentration greater than their median values. Univariate predictors of the secondary end-point included right atrial pressure, PASP, PAWP, and NT-proBNP concentration greater than their median values, and left ventricular ejection fraction, cardiac output, and cardiac index less than their median values. In multivariate analyses, however, only NT-proBNP concentration remained an independent predictor of all-cause mortality. Both NT-proBNP concentration and PAWP were independent predictors of all-cause mortality and of the need for urgent cardiac transplantation. Conclusion: Baseline data from routine right heart catheterization are of limited prognostic use in advanced heart failure. A baseline NT-proBNP concentration is a superior, non-invasive method of risk stratification in this era of measuring neurohormones. Copyright © 2005 by the International Society for Heart and Lung Transplantation.","author":[{"dropping-particle":"","family":"Gardner","given":"R. S.","non-dropping-particle":"","parse-names":false,"suffix":""},{"dropping-particle":"","family":"Henderson","given":"G.","non-dropping-particle":"","parse-names":false,"suffix":""},{"dropping-particle":"","family":"McDonagh","given":"T. A.","non-dropping-particle":"","parse-names":false,"suffix":""}],"container-title":"Journal of Heart and Lung Transplantation","id":"ITEM-1","issue":"3","issued":{"date-parts":[["2005"]]},"page":"303-309","title":"The prognostic use of right heart catheterization data in patients with advanced heart failure: How relevant are invasive procedures in the risk stratification of advanced heart failure in the era of neurohormones?","type":"article-journal","volume":"24"},"uris":["http://www.mendeley.com/documents/?uuid=bbbc32e7-0032-4282-8489-d5322f6b3db6"]},{"id":"ITEM-2","itemData":{"DOI":"10.1016/j.amjcard.2010.04.045","ISSN":"00029149","abstract":"B-type natriuretic peptide (BNP), peak oxygen consumption (VO2), blood urea nitrogen (BUN), systolic blood pressure (SBP), and pulmonary capillary wedge pressure are all established predictors of mortality or urgent transplantation in patients with advanced heart failure (HF). However, their comparative predictive ability in estimating prognosis has not been well studied. We analyzed 1,215 patients with advanced systolic HF referred to a university center from 1999 to 2009. BUN, BNP, VO2, SBP, and pulmonary capillary wedge pressure were measured as a part of the initial evaluation. The patients were divided into groups according to the best cutoffs for predicting both 1- and 2-year mortality from the analysis of the receiver operating characteristic curves (BNP ≥579 pg/ml, peak VO2&lt;14 ml/kg/min, BUN ≥53 mg/dl, SBP &lt;118 mm Hg, and pulmonary capillary wedge pressure ≥21 mm Hg). During a 2-year follow-up, 234 patients (19%) died, and 208 (17%) required urgent transplantation. BNP (odds ratio 4.3, 95% confidence interval 3.3 to 5.5) and peak VO2(odds ratio 4.5, 95% confidence interval 2.6 to 7.8) were the strongest predictors for death or urgent transplantation. On multivariate analyses, BNP and peak VO2were the strongest predictors for both death or urgent transplantation and all-cause mortality. The c-statistic was 0.756 for BNP, 0.701 for VO2, 0.659 for BUN, 0.638 for SBP, and 0.650 for pulmonary capillary wedge pressure. In conclusion, of the 5 established predictors of outcomes in advanced HF, BNP was the most robust discriminator of risk and thus could be useful, along with other more traditional prognostic variables, in patient counseling regarding prognosis and determining the timing for heart transplantation. © 2010 Elsevier Inc. All rights reserved.","author":[{"dropping-particle":"","family":"Sachdeva","given":"Amit","non-dropping-particle":"","parse-names":false,"suffix":""},{"dropping-particle":"","family":"Horwich","given":"Tamara B.","non-dropping-particle":"","parse-names":false,"suffix":""},{"dropping-particle":"","family":"Fonarow","given":"Gregg C.","non-dropping-particle":"","parse-names":false,"suffix":""}],"container-title":"American Journal of Cardiology","id":"ITEM-2","issue":"6","issued":{"date-parts":[["2010"]]},"page":"830-835","publisher":"Elsevier Inc.","title":"Comparison of usefulness of each of five predictors of mortality and urgent transplantation in patients with advanced heart failure","type":"article-journal","volume":"106"},"uris":["http://www.mendeley.com/documents/?uuid=c2ac3001-fb78-49f0-b23a-9ad3a17244cf"]},{"id":"ITEM-3","itemData":{"DOI":"10.5603/CJ.a2014.0015","ISSN":"1898018X","author":[{"dropping-particle":"","family":"Sobieszczańska-Małek","given":"Małgorzata","non-dropping-particle":"","parse-names":false,"suffix":""},{"dropping-particle":"","family":"Zieliński","given":"Tomasz","non-dropping-particle":"","parse-names":false,"suffix":""},{"dropping-particle":"","family":"Piotrowski","given":"Walerian","non-dropping-particle":"","parse-names":false,"suffix":""},{"dropping-particle":"","family":"Korewicki","given":"Jerzy","non-dropping-particle":"","parse-names":false,"suffix":""}],"container-title":"Cardiology Journal","id":"ITEM-3","issue":"5","issued":{"date-parts":[["2014"]]},"page":"532-538","title":"Prognostic value of pulmonary hemodynamic parameters in cardiac transplant candidates","type":"article-journal","volume":"21"},"uris":["http://www.mendeley.com/documents/?uuid=2d2fb432-5ec8-4033-be27-08c0994d461b"]},{"id":"ITEM-4","itemData":{"DOI":"10.1371/journal.pone.0134479","ISSN":"19326203","PMID":"26225557","abstract":"BACKGROUND: Heart failure with preserved ejection fraction (HFpEF) is recognized as a major cause of cardiovascular morbidity and mortality. Thus, a profound understanding of the pathophysiologic changes in HFpEF is needed to identify risk factors and potential treatment targets in this specific patient population. Therefore, we aimed to comprehensively assess the impact of left- and right-ventricular function and hemodynamics on long-term mortality and morbidity in order to improve risk prediction in patients with HFpEF. METHODS AND RESULTS: We prospectively included 142 consecutive patients with HFpEF into our observational, non-interventional registry. Echocardiography, cardiac magnetic resonance imaging and invasive hemodynamic assessments including myocardial biopsy were performed at baseline. We detected significant correlations between left ventricular extracellular matrix and left ventricular end-diastolic diameter (r = -0.64;p = 0.03) and stroke volume (r = -0.53;p = 0.04). Hospitalization for heart failure and/or cardiac death was observed over a median follow up of 10 months. The strongest risk factors were reduced right ventricular function (adj. HR 6.62;95%CI 3.12- 14.02;p&lt;0.001), systolic pulmonary arterial pressure (adj. HR per 1-SD 1.55;95%CI 1.15- 2.09;p = 0.004) and the pulmonary artery wedge pressure (adj. HR per 1-SD 1.51;95%CI 1.09-2.08; p = 0.012). The area under the ROC curve for right ventricular function was 0.63, for systolic pulmonary arterial pressure 0.75, and for pulmonary artery wedge pressure 0.68. CONCLUSION: The current study emphasizes the importance of right ventricular function and pulmonary pressures on outcome in patients with HFpEF providing pathophysiological insights into the hemodynamic changes in HFpEF.","author":[{"dropping-particle":"","family":"Goliasch","given":"Georg","non-dropping-particle":"","parse-names":false,"suffix":""},{"dropping-particle":"","family":"Zotter-Tufaro","given":"Caroline","non-dropping-particle":"","parse-names":false,"suffix":""},{"dropping-particle":"","family":"Aschauer","given":"Stefan","non-dropping-particle":"","parse-names":false,"suffix":""},{"dropping-particle":"","family":"Duca","given":"Franz","non-dropping-particle":"","parse-names":false,"suffix":""},{"dropping-particle":"","family":"Koell","given":"Benedikt","non-dropping-particle":"","parse-names":false,"suffix":""},{"dropping-particle":"","family":"Kammerlander","given":"Andreas A.","non-dropping-particle":"","parse-names":false,"suffix":""},{"dropping-particle":"","family":"Ristl","given":"Robin","non-dropping-particle":"","parse-names":false,"suffix":""},{"dropping-particle":"","family":"Lang","given":"Irene M.","non-dropping-particle":"","parse-names":false,"suffix":""},{"dropping-particle":"","family":"Maurer","given":"Gerald","non-dropping-particle":"","parse-names":false,"suffix":""},{"dropping-particle":"","family":"Mascherbauer","given":"Julia","non-dropping-particle":"","parse-names":false,"suffix":""},{"dropping-particle":"","family":"Bonderman","given":"Diana","non-dropping-particle":"","parse-names":false,"suffix":""}],"container-title":"PLoS ONE","id":"ITEM-4","issue":"7","issued":{"date-parts":[["2015"]]},"page":"1-13","title":"Outcome in heart failure with preserved ejection fraction: The role of myocardial structure and right ventricular performance","type":"article-journal","volume":"10"},"uris":["http://www.mendeley.com/documents/?uuid=5cb0093f-1312-4ba8-a851-48ad91d81a74"]}],"mendeley":{"formattedCitation":"[15], [16], [18], [30]","plainTextFormattedCitation":"[15], [16], [18], [30]"},"properties":{"noteIndex":0},"schema":"https://github.com/citation-style-language/schema/raw/master/csl-citation.json"}</w:instrText>
      </w:r>
      <w:r>
        <w:rPr>
          <w:lang w:val="en-US"/>
        </w:rPr>
        <w:fldChar w:fldCharType="separate"/>
      </w:r>
      <w:r w:rsidRPr="00F72BB2">
        <w:rPr>
          <w:noProof/>
          <w:lang w:val="en-US"/>
        </w:rPr>
        <w:t>[15], [16], [18], [30]</w:t>
      </w:r>
      <w:r>
        <w:rPr>
          <w:lang w:val="en-US"/>
        </w:rPr>
        <w:fldChar w:fldCharType="end"/>
      </w:r>
      <w:r>
        <w:rPr>
          <w:lang w:val="en-US"/>
        </w:rPr>
        <w:t xml:space="preserve">. </w:t>
      </w:r>
    </w:p>
    <w:p w:rsidR="003F282D" w:rsidRDefault="003F282D" w:rsidP="003F282D">
      <w:pPr>
        <w:rPr>
          <w:lang w:val="en-US"/>
        </w:rPr>
      </w:pPr>
    </w:p>
    <w:p w:rsidR="003F282D" w:rsidRDefault="003F282D" w:rsidP="003F282D">
      <w:pPr>
        <w:spacing w:line="480" w:lineRule="auto"/>
        <w:rPr>
          <w:lang w:val="en-US"/>
        </w:rPr>
      </w:pPr>
    </w:p>
    <w:p w:rsidR="003F282D" w:rsidRPr="007348D8" w:rsidRDefault="003F282D" w:rsidP="003F282D">
      <w:pPr>
        <w:pStyle w:val="Kop3"/>
        <w:spacing w:before="30" w:after="30"/>
        <w:rPr>
          <w:b/>
          <w:lang w:val="en-US"/>
        </w:rPr>
      </w:pPr>
      <w:r>
        <w:rPr>
          <w:b/>
          <w:lang w:val="en-US"/>
        </w:rPr>
        <w:t xml:space="preserve">Supplement 5C: Direct Comparisons Table in MV analyses </w:t>
      </w:r>
    </w:p>
    <w:p w:rsidR="003F282D" w:rsidRDefault="003F282D" w:rsidP="003F282D">
      <w:pPr>
        <w:rPr>
          <w:lang w:val="en-US"/>
        </w:rPr>
      </w:pPr>
    </w:p>
    <w:p w:rsidR="003F282D" w:rsidRDefault="003F282D" w:rsidP="003F282D">
      <w:pPr>
        <w:rPr>
          <w:color w:val="0070C0"/>
          <w:lang w:val="en-US"/>
        </w:rPr>
      </w:pPr>
    </w:p>
    <w:tbl>
      <w:tblPr>
        <w:tblW w:w="10189" w:type="dxa"/>
        <w:tblCellMar>
          <w:left w:w="70" w:type="dxa"/>
          <w:right w:w="70" w:type="dxa"/>
        </w:tblCellMar>
        <w:tblLook w:val="04A0" w:firstRow="1" w:lastRow="0" w:firstColumn="1" w:lastColumn="0" w:noHBand="0" w:noVBand="1"/>
      </w:tblPr>
      <w:tblGrid>
        <w:gridCol w:w="1132"/>
        <w:gridCol w:w="1132"/>
        <w:gridCol w:w="1109"/>
        <w:gridCol w:w="1200"/>
        <w:gridCol w:w="1109"/>
        <w:gridCol w:w="1111"/>
        <w:gridCol w:w="1132"/>
        <w:gridCol w:w="1132"/>
        <w:gridCol w:w="1132"/>
      </w:tblGrid>
      <w:tr w:rsidR="003F282D" w:rsidRPr="00E41273" w:rsidTr="001269D6">
        <w:trPr>
          <w:trHeight w:val="261"/>
        </w:trPr>
        <w:tc>
          <w:tcPr>
            <w:tcW w:w="1132" w:type="dxa"/>
            <w:tcBorders>
              <w:top w:val="nil"/>
              <w:left w:val="nil"/>
              <w:bottom w:val="nil"/>
              <w:right w:val="nil"/>
            </w:tcBorders>
            <w:shd w:val="clear" w:color="000000" w:fill="4F81BD"/>
            <w:noWrap/>
            <w:vAlign w:val="bottom"/>
            <w:hideMark/>
          </w:tcPr>
          <w:p w:rsidR="003F282D" w:rsidRPr="003F282D" w:rsidRDefault="003F282D" w:rsidP="001269D6">
            <w:pPr>
              <w:rPr>
                <w:rFonts w:ascii="Calibri" w:hAnsi="Calibri" w:cs="Calibri"/>
                <w:color w:val="000000"/>
                <w:sz w:val="22"/>
                <w:szCs w:val="22"/>
                <w:lang w:val="en-US"/>
              </w:rPr>
            </w:pPr>
            <w:r w:rsidRPr="003F282D">
              <w:rPr>
                <w:rFonts w:ascii="Calibri" w:hAnsi="Calibri" w:cs="Calibri"/>
                <w:color w:val="000000"/>
                <w:sz w:val="22"/>
                <w:szCs w:val="22"/>
                <w:lang w:val="en-US"/>
              </w:rPr>
              <w:t> </w:t>
            </w:r>
          </w:p>
        </w:tc>
        <w:tc>
          <w:tcPr>
            <w:tcW w:w="1132" w:type="dxa"/>
            <w:tcBorders>
              <w:top w:val="single" w:sz="4" w:space="0" w:color="auto"/>
              <w:left w:val="nil"/>
              <w:bottom w:val="nil"/>
              <w:right w:val="nil"/>
            </w:tcBorders>
            <w:shd w:val="clear" w:color="000000" w:fill="4F81BD"/>
            <w:noWrap/>
            <w:vAlign w:val="bottom"/>
            <w:hideMark/>
          </w:tcPr>
          <w:p w:rsidR="003F282D" w:rsidRPr="003F282D" w:rsidRDefault="003F282D" w:rsidP="001269D6">
            <w:pPr>
              <w:rPr>
                <w:rFonts w:ascii="Calibri" w:hAnsi="Calibri" w:cs="Calibri"/>
                <w:color w:val="000000"/>
                <w:sz w:val="22"/>
                <w:szCs w:val="22"/>
                <w:lang w:val="en-US"/>
              </w:rPr>
            </w:pPr>
            <w:r w:rsidRPr="003F282D">
              <w:rPr>
                <w:rFonts w:ascii="Calibri" w:hAnsi="Calibri" w:cs="Calibri"/>
                <w:color w:val="000000"/>
                <w:sz w:val="22"/>
                <w:szCs w:val="22"/>
                <w:lang w:val="en-US"/>
              </w:rPr>
              <w:t> </w:t>
            </w:r>
          </w:p>
        </w:tc>
        <w:tc>
          <w:tcPr>
            <w:tcW w:w="4529" w:type="dxa"/>
            <w:gridSpan w:val="4"/>
            <w:tcBorders>
              <w:top w:val="single" w:sz="4" w:space="0" w:color="000000"/>
              <w:left w:val="single" w:sz="4" w:space="0" w:color="000000"/>
              <w:bottom w:val="nil"/>
              <w:right w:val="nil"/>
            </w:tcBorders>
            <w:shd w:val="clear" w:color="000000" w:fill="4F81BD"/>
            <w:noWrap/>
            <w:vAlign w:val="bottom"/>
            <w:hideMark/>
          </w:tcPr>
          <w:p w:rsidR="003F282D" w:rsidRPr="007D64CF" w:rsidRDefault="003F282D" w:rsidP="001269D6">
            <w:pPr>
              <w:rPr>
                <w:rFonts w:ascii="Calibri (Hoofdtekst)" w:hAnsi="Calibri (Hoofdtekst)" w:cs="Calibri"/>
                <w:color w:val="FFFFFF"/>
                <w:sz w:val="22"/>
                <w:szCs w:val="22"/>
                <w:lang w:val="en-US"/>
              </w:rPr>
            </w:pPr>
            <w:r w:rsidRPr="007D64CF">
              <w:rPr>
                <w:rFonts w:ascii="Calibri (Hoofdtekst)" w:hAnsi="Calibri (Hoofdtekst)" w:cs="Calibri"/>
                <w:color w:val="FFFFFF"/>
                <w:sz w:val="22"/>
                <w:szCs w:val="22"/>
                <w:lang w:val="en-US"/>
              </w:rPr>
              <w:t xml:space="preserve">Variables (CI, PCWP, SBP) tested in MV analysis against: </w:t>
            </w:r>
          </w:p>
        </w:tc>
        <w:tc>
          <w:tcPr>
            <w:tcW w:w="1132" w:type="dxa"/>
            <w:tcBorders>
              <w:top w:val="single" w:sz="4" w:space="0" w:color="000000"/>
              <w:left w:val="nil"/>
              <w:bottom w:val="nil"/>
              <w:right w:val="nil"/>
            </w:tcBorders>
            <w:shd w:val="clear" w:color="000000" w:fill="4F81BD"/>
            <w:noWrap/>
            <w:vAlign w:val="bottom"/>
            <w:hideMark/>
          </w:tcPr>
          <w:p w:rsidR="003F282D" w:rsidRPr="007D64CF" w:rsidRDefault="003F282D" w:rsidP="001269D6">
            <w:pPr>
              <w:rPr>
                <w:rFonts w:ascii="Calibri" w:hAnsi="Calibri" w:cs="Calibri"/>
                <w:color w:val="000000"/>
                <w:sz w:val="22"/>
                <w:szCs w:val="22"/>
                <w:lang w:val="en-US"/>
              </w:rPr>
            </w:pPr>
            <w:r w:rsidRPr="007D64CF">
              <w:rPr>
                <w:rFonts w:ascii="Calibri" w:hAnsi="Calibri" w:cs="Calibri"/>
                <w:color w:val="000000"/>
                <w:sz w:val="22"/>
                <w:szCs w:val="22"/>
                <w:lang w:val="en-US"/>
              </w:rPr>
              <w:t> </w:t>
            </w:r>
          </w:p>
        </w:tc>
        <w:tc>
          <w:tcPr>
            <w:tcW w:w="1132" w:type="dxa"/>
            <w:tcBorders>
              <w:top w:val="single" w:sz="4" w:space="0" w:color="000000"/>
              <w:left w:val="nil"/>
              <w:bottom w:val="nil"/>
              <w:right w:val="single" w:sz="4" w:space="0" w:color="000000"/>
            </w:tcBorders>
            <w:shd w:val="clear" w:color="000000" w:fill="4F81BD"/>
            <w:noWrap/>
            <w:vAlign w:val="bottom"/>
            <w:hideMark/>
          </w:tcPr>
          <w:p w:rsidR="003F282D" w:rsidRPr="007D64CF" w:rsidRDefault="003F282D" w:rsidP="001269D6">
            <w:pPr>
              <w:jc w:val="center"/>
              <w:rPr>
                <w:rFonts w:ascii="Calibri" w:hAnsi="Calibri" w:cs="Calibri"/>
                <w:color w:val="000000"/>
                <w:sz w:val="22"/>
                <w:szCs w:val="22"/>
                <w:lang w:val="en-US"/>
              </w:rPr>
            </w:pPr>
            <w:r w:rsidRPr="007D64CF">
              <w:rPr>
                <w:rFonts w:ascii="Calibri" w:hAnsi="Calibri" w:cs="Calibri"/>
                <w:color w:val="000000"/>
                <w:sz w:val="22"/>
                <w:szCs w:val="22"/>
                <w:lang w:val="en-US"/>
              </w:rPr>
              <w:t> </w:t>
            </w:r>
          </w:p>
        </w:tc>
        <w:tc>
          <w:tcPr>
            <w:tcW w:w="1132" w:type="dxa"/>
            <w:tcBorders>
              <w:top w:val="single" w:sz="4" w:space="0" w:color="000000"/>
              <w:left w:val="nil"/>
              <w:bottom w:val="nil"/>
              <w:right w:val="single" w:sz="4" w:space="0" w:color="000000"/>
            </w:tcBorders>
            <w:shd w:val="clear" w:color="000000" w:fill="4F81BD"/>
            <w:noWrap/>
            <w:vAlign w:val="bottom"/>
            <w:hideMark/>
          </w:tcPr>
          <w:p w:rsidR="003F282D" w:rsidRPr="007D64CF" w:rsidRDefault="003F282D" w:rsidP="001269D6">
            <w:pPr>
              <w:jc w:val="center"/>
              <w:rPr>
                <w:rFonts w:ascii="Calibri" w:hAnsi="Calibri" w:cs="Calibri"/>
                <w:color w:val="000000"/>
                <w:sz w:val="22"/>
                <w:szCs w:val="22"/>
                <w:lang w:val="en-US"/>
              </w:rPr>
            </w:pPr>
            <w:r w:rsidRPr="007D64CF">
              <w:rPr>
                <w:rFonts w:ascii="Calibri" w:hAnsi="Calibri" w:cs="Calibri"/>
                <w:color w:val="000000"/>
                <w:sz w:val="22"/>
                <w:szCs w:val="22"/>
                <w:lang w:val="en-US"/>
              </w:rPr>
              <w:t> </w:t>
            </w:r>
          </w:p>
        </w:tc>
      </w:tr>
      <w:tr w:rsidR="003F282D" w:rsidRPr="007D64CF" w:rsidTr="001269D6">
        <w:trPr>
          <w:trHeight w:val="261"/>
        </w:trPr>
        <w:tc>
          <w:tcPr>
            <w:tcW w:w="1132" w:type="dxa"/>
            <w:tcBorders>
              <w:top w:val="nil"/>
              <w:left w:val="nil"/>
              <w:bottom w:val="single" w:sz="4" w:space="0" w:color="auto"/>
              <w:right w:val="nil"/>
            </w:tcBorders>
            <w:shd w:val="clear" w:color="000000" w:fill="4F81BD"/>
            <w:noWrap/>
            <w:vAlign w:val="bottom"/>
            <w:hideMark/>
          </w:tcPr>
          <w:p w:rsidR="003F282D" w:rsidRPr="007D64CF" w:rsidRDefault="003F282D" w:rsidP="001269D6">
            <w:pPr>
              <w:rPr>
                <w:rFonts w:ascii="Calibri" w:hAnsi="Calibri" w:cs="Calibri"/>
                <w:color w:val="000000"/>
                <w:sz w:val="22"/>
                <w:szCs w:val="22"/>
                <w:lang w:val="en-US"/>
              </w:rPr>
            </w:pPr>
            <w:r w:rsidRPr="007D64CF">
              <w:rPr>
                <w:rFonts w:ascii="Calibri" w:hAnsi="Calibri" w:cs="Calibri"/>
                <w:color w:val="000000"/>
                <w:sz w:val="22"/>
                <w:szCs w:val="22"/>
                <w:lang w:val="en-US"/>
              </w:rPr>
              <w:t> </w:t>
            </w:r>
          </w:p>
        </w:tc>
        <w:tc>
          <w:tcPr>
            <w:tcW w:w="1132" w:type="dxa"/>
            <w:tcBorders>
              <w:top w:val="nil"/>
              <w:left w:val="nil"/>
              <w:bottom w:val="single" w:sz="4" w:space="0" w:color="auto"/>
              <w:right w:val="nil"/>
            </w:tcBorders>
            <w:shd w:val="clear" w:color="000000" w:fill="4F81BD"/>
            <w:noWrap/>
            <w:vAlign w:val="bottom"/>
            <w:hideMark/>
          </w:tcPr>
          <w:p w:rsidR="003F282D" w:rsidRPr="007D64CF" w:rsidRDefault="003F282D" w:rsidP="001269D6">
            <w:pPr>
              <w:rPr>
                <w:rFonts w:ascii="Calibri" w:hAnsi="Calibri" w:cs="Calibri"/>
                <w:color w:val="000000"/>
                <w:sz w:val="22"/>
                <w:szCs w:val="22"/>
                <w:lang w:val="en-US"/>
              </w:rPr>
            </w:pPr>
            <w:r w:rsidRPr="007D64CF">
              <w:rPr>
                <w:rFonts w:ascii="Calibri" w:hAnsi="Calibri" w:cs="Calibri"/>
                <w:color w:val="000000"/>
                <w:sz w:val="22"/>
                <w:szCs w:val="22"/>
                <w:lang w:val="en-US"/>
              </w:rPr>
              <w:t> </w:t>
            </w:r>
          </w:p>
        </w:tc>
        <w:tc>
          <w:tcPr>
            <w:tcW w:w="1109" w:type="dxa"/>
            <w:tcBorders>
              <w:top w:val="nil"/>
              <w:left w:val="single" w:sz="4" w:space="0" w:color="000000"/>
              <w:bottom w:val="nil"/>
              <w:right w:val="nil"/>
            </w:tcBorders>
            <w:shd w:val="clear" w:color="000000" w:fill="4F81BD"/>
            <w:noWrap/>
            <w:vAlign w:val="bottom"/>
            <w:hideMark/>
          </w:tcPr>
          <w:p w:rsidR="003F282D" w:rsidRPr="007D64CF" w:rsidRDefault="003F282D" w:rsidP="001269D6">
            <w:pPr>
              <w:rPr>
                <w:rFonts w:ascii="Calibri" w:hAnsi="Calibri" w:cs="Calibri"/>
                <w:b/>
                <w:bCs/>
                <w:color w:val="FFFFFF"/>
                <w:sz w:val="22"/>
                <w:szCs w:val="22"/>
              </w:rPr>
            </w:pPr>
            <w:r w:rsidRPr="007D64CF">
              <w:rPr>
                <w:rFonts w:ascii="Calibri" w:hAnsi="Calibri" w:cs="Calibri"/>
                <w:b/>
                <w:bCs/>
                <w:color w:val="FFFFFF"/>
                <w:sz w:val="22"/>
                <w:szCs w:val="22"/>
              </w:rPr>
              <w:t>CI</w:t>
            </w:r>
          </w:p>
        </w:tc>
        <w:tc>
          <w:tcPr>
            <w:tcW w:w="1200" w:type="dxa"/>
            <w:tcBorders>
              <w:top w:val="nil"/>
              <w:left w:val="single" w:sz="4" w:space="0" w:color="FFFFFF"/>
              <w:bottom w:val="nil"/>
              <w:right w:val="single" w:sz="4" w:space="0" w:color="FFFFFF"/>
            </w:tcBorders>
            <w:shd w:val="clear" w:color="000000" w:fill="4F81BD"/>
            <w:noWrap/>
            <w:vAlign w:val="bottom"/>
            <w:hideMark/>
          </w:tcPr>
          <w:p w:rsidR="003F282D" w:rsidRPr="007D64CF" w:rsidRDefault="003F282D" w:rsidP="001269D6">
            <w:pPr>
              <w:rPr>
                <w:rFonts w:ascii="Calibri" w:hAnsi="Calibri" w:cs="Calibri"/>
                <w:b/>
                <w:bCs/>
                <w:color w:val="FFFFFF"/>
                <w:sz w:val="22"/>
                <w:szCs w:val="22"/>
              </w:rPr>
            </w:pPr>
            <w:r w:rsidRPr="007D64CF">
              <w:rPr>
                <w:rFonts w:ascii="Calibri" w:hAnsi="Calibri" w:cs="Calibri"/>
                <w:b/>
                <w:bCs/>
                <w:color w:val="FFFFFF"/>
                <w:sz w:val="22"/>
                <w:szCs w:val="22"/>
              </w:rPr>
              <w:t>PCWP</w:t>
            </w:r>
          </w:p>
        </w:tc>
        <w:tc>
          <w:tcPr>
            <w:tcW w:w="1109" w:type="dxa"/>
            <w:tcBorders>
              <w:top w:val="nil"/>
              <w:left w:val="nil"/>
              <w:bottom w:val="nil"/>
              <w:right w:val="nil"/>
            </w:tcBorders>
            <w:shd w:val="clear" w:color="000000" w:fill="4F81BD"/>
            <w:noWrap/>
            <w:vAlign w:val="bottom"/>
            <w:hideMark/>
          </w:tcPr>
          <w:p w:rsidR="003F282D" w:rsidRPr="007D64CF" w:rsidRDefault="003F282D" w:rsidP="001269D6">
            <w:pPr>
              <w:rPr>
                <w:rFonts w:ascii="Calibri" w:hAnsi="Calibri" w:cs="Calibri"/>
                <w:b/>
                <w:bCs/>
                <w:color w:val="FFFFFF"/>
                <w:sz w:val="22"/>
                <w:szCs w:val="22"/>
              </w:rPr>
            </w:pPr>
            <w:r w:rsidRPr="007D64CF">
              <w:rPr>
                <w:rFonts w:ascii="Calibri" w:hAnsi="Calibri" w:cs="Calibri"/>
                <w:b/>
                <w:bCs/>
                <w:color w:val="FFFFFF"/>
                <w:sz w:val="22"/>
                <w:szCs w:val="22"/>
              </w:rPr>
              <w:t>SBP</w:t>
            </w:r>
          </w:p>
        </w:tc>
        <w:tc>
          <w:tcPr>
            <w:tcW w:w="1109" w:type="dxa"/>
            <w:tcBorders>
              <w:top w:val="nil"/>
              <w:left w:val="single" w:sz="4" w:space="0" w:color="FFFFFF"/>
              <w:bottom w:val="single" w:sz="4" w:space="0" w:color="auto"/>
              <w:right w:val="nil"/>
            </w:tcBorders>
            <w:shd w:val="clear" w:color="000000" w:fill="4F81BD"/>
            <w:noWrap/>
            <w:vAlign w:val="bottom"/>
            <w:hideMark/>
          </w:tcPr>
          <w:p w:rsidR="003F282D" w:rsidRPr="007D64CF" w:rsidRDefault="003F282D" w:rsidP="001269D6">
            <w:pPr>
              <w:rPr>
                <w:rFonts w:ascii="Calibri" w:hAnsi="Calibri" w:cs="Calibri"/>
                <w:b/>
                <w:bCs/>
                <w:color w:val="FFFFFF"/>
                <w:sz w:val="22"/>
                <w:szCs w:val="22"/>
              </w:rPr>
            </w:pPr>
            <w:r w:rsidRPr="007D64CF">
              <w:rPr>
                <w:rFonts w:ascii="Calibri" w:hAnsi="Calibri" w:cs="Calibri"/>
                <w:b/>
                <w:bCs/>
                <w:color w:val="FFFFFF"/>
                <w:sz w:val="22"/>
                <w:szCs w:val="22"/>
              </w:rPr>
              <w:t xml:space="preserve">Age </w:t>
            </w:r>
          </w:p>
        </w:tc>
        <w:tc>
          <w:tcPr>
            <w:tcW w:w="1132" w:type="dxa"/>
            <w:tcBorders>
              <w:top w:val="nil"/>
              <w:left w:val="single" w:sz="4" w:space="0" w:color="FFFFFF"/>
              <w:bottom w:val="single" w:sz="4" w:space="0" w:color="auto"/>
              <w:right w:val="single" w:sz="4" w:space="0" w:color="FFFFFF"/>
            </w:tcBorders>
            <w:shd w:val="clear" w:color="000000" w:fill="4F81BD"/>
            <w:noWrap/>
            <w:vAlign w:val="bottom"/>
            <w:hideMark/>
          </w:tcPr>
          <w:p w:rsidR="003F282D" w:rsidRPr="007D64CF" w:rsidRDefault="003F282D" w:rsidP="001269D6">
            <w:pPr>
              <w:rPr>
                <w:rFonts w:ascii="Calibri" w:hAnsi="Calibri" w:cs="Calibri"/>
                <w:b/>
                <w:bCs/>
                <w:color w:val="FFFFFF"/>
                <w:sz w:val="22"/>
                <w:szCs w:val="22"/>
              </w:rPr>
            </w:pPr>
            <w:r w:rsidRPr="007D64CF">
              <w:rPr>
                <w:rFonts w:ascii="Calibri" w:hAnsi="Calibri" w:cs="Calibri"/>
                <w:b/>
                <w:bCs/>
                <w:color w:val="FFFFFF"/>
                <w:sz w:val="22"/>
                <w:szCs w:val="22"/>
              </w:rPr>
              <w:t>VO2-max</w:t>
            </w:r>
          </w:p>
        </w:tc>
        <w:tc>
          <w:tcPr>
            <w:tcW w:w="1132" w:type="dxa"/>
            <w:tcBorders>
              <w:top w:val="nil"/>
              <w:left w:val="nil"/>
              <w:bottom w:val="nil"/>
              <w:right w:val="single" w:sz="4" w:space="0" w:color="000000"/>
            </w:tcBorders>
            <w:shd w:val="clear" w:color="000000" w:fill="4F81BD"/>
            <w:noWrap/>
            <w:vAlign w:val="bottom"/>
            <w:hideMark/>
          </w:tcPr>
          <w:p w:rsidR="003F282D" w:rsidRPr="007D64CF" w:rsidRDefault="003F282D" w:rsidP="001269D6">
            <w:pPr>
              <w:rPr>
                <w:rFonts w:ascii="Calibri" w:hAnsi="Calibri" w:cs="Calibri"/>
                <w:b/>
                <w:bCs/>
                <w:color w:val="FFFFFF"/>
                <w:sz w:val="22"/>
                <w:szCs w:val="22"/>
              </w:rPr>
            </w:pPr>
            <w:proofErr w:type="spellStart"/>
            <w:r>
              <w:rPr>
                <w:rFonts w:ascii="Calibri" w:hAnsi="Calibri" w:cs="Calibri"/>
                <w:b/>
                <w:bCs/>
                <w:color w:val="FFFFFF"/>
                <w:sz w:val="22"/>
                <w:szCs w:val="22"/>
              </w:rPr>
              <w:t>Natriuretic</w:t>
            </w:r>
            <w:proofErr w:type="spellEnd"/>
            <w:r>
              <w:rPr>
                <w:rFonts w:ascii="Calibri" w:hAnsi="Calibri" w:cs="Calibri"/>
                <w:b/>
                <w:bCs/>
                <w:color w:val="FFFFFF"/>
                <w:sz w:val="22"/>
                <w:szCs w:val="22"/>
              </w:rPr>
              <w:t xml:space="preserve"> </w:t>
            </w:r>
            <w:proofErr w:type="spellStart"/>
            <w:r>
              <w:rPr>
                <w:rFonts w:ascii="Calibri" w:hAnsi="Calibri" w:cs="Calibri"/>
                <w:b/>
                <w:bCs/>
                <w:color w:val="FFFFFF"/>
                <w:sz w:val="22"/>
                <w:szCs w:val="22"/>
              </w:rPr>
              <w:t>peptides</w:t>
            </w:r>
            <w:proofErr w:type="spellEnd"/>
          </w:p>
        </w:tc>
        <w:tc>
          <w:tcPr>
            <w:tcW w:w="1132" w:type="dxa"/>
            <w:tcBorders>
              <w:top w:val="nil"/>
              <w:left w:val="single" w:sz="4" w:space="0" w:color="FFFFFF"/>
              <w:bottom w:val="nil"/>
              <w:right w:val="single" w:sz="4" w:space="0" w:color="000000"/>
            </w:tcBorders>
            <w:shd w:val="clear" w:color="000000" w:fill="4F81BD"/>
            <w:noWrap/>
            <w:vAlign w:val="bottom"/>
            <w:hideMark/>
          </w:tcPr>
          <w:p w:rsidR="003F282D" w:rsidRPr="007D64CF" w:rsidRDefault="003F282D" w:rsidP="001269D6">
            <w:pPr>
              <w:rPr>
                <w:rFonts w:ascii="Calibri" w:hAnsi="Calibri" w:cs="Calibri"/>
                <w:b/>
                <w:bCs/>
                <w:color w:val="FFFFFF"/>
                <w:sz w:val="22"/>
                <w:szCs w:val="22"/>
              </w:rPr>
            </w:pPr>
            <w:r w:rsidRPr="007D64CF">
              <w:rPr>
                <w:rFonts w:ascii="Calibri" w:hAnsi="Calibri" w:cs="Calibri"/>
                <w:b/>
                <w:bCs/>
                <w:color w:val="FFFFFF"/>
                <w:sz w:val="22"/>
                <w:szCs w:val="22"/>
              </w:rPr>
              <w:t>Total</w:t>
            </w:r>
          </w:p>
        </w:tc>
      </w:tr>
      <w:tr w:rsidR="003F282D" w:rsidRPr="007D64CF" w:rsidTr="001269D6">
        <w:trPr>
          <w:trHeight w:val="261"/>
        </w:trPr>
        <w:tc>
          <w:tcPr>
            <w:tcW w:w="1132" w:type="dxa"/>
            <w:vMerge w:val="restart"/>
            <w:tcBorders>
              <w:top w:val="nil"/>
              <w:left w:val="single" w:sz="4" w:space="0" w:color="auto"/>
              <w:bottom w:val="single" w:sz="4" w:space="0" w:color="FFFFFF"/>
              <w:right w:val="single" w:sz="4" w:space="0" w:color="auto"/>
            </w:tcBorders>
            <w:shd w:val="clear" w:color="000000" w:fill="4F81BD"/>
            <w:noWrap/>
            <w:vAlign w:val="center"/>
            <w:hideMark/>
          </w:tcPr>
          <w:p w:rsidR="003F282D" w:rsidRPr="007D64CF" w:rsidRDefault="003F282D" w:rsidP="001269D6">
            <w:pPr>
              <w:rPr>
                <w:rFonts w:ascii="Calibri" w:hAnsi="Calibri" w:cs="Calibri"/>
                <w:b/>
                <w:bCs/>
                <w:color w:val="FFFFFF"/>
                <w:sz w:val="22"/>
                <w:szCs w:val="22"/>
              </w:rPr>
            </w:pPr>
            <w:r w:rsidRPr="007D64CF">
              <w:rPr>
                <w:rFonts w:ascii="Calibri" w:hAnsi="Calibri" w:cs="Calibri"/>
                <w:b/>
                <w:bCs/>
                <w:color w:val="FFFFFF"/>
                <w:sz w:val="22"/>
                <w:szCs w:val="22"/>
              </w:rPr>
              <w:t>CI</w:t>
            </w:r>
          </w:p>
        </w:tc>
        <w:tc>
          <w:tcPr>
            <w:tcW w:w="1132" w:type="dxa"/>
            <w:tcBorders>
              <w:top w:val="nil"/>
              <w:left w:val="nil"/>
              <w:bottom w:val="nil"/>
              <w:right w:val="nil"/>
            </w:tcBorders>
            <w:shd w:val="clear" w:color="000000" w:fill="B8CCE4"/>
            <w:noWrap/>
            <w:vAlign w:val="bottom"/>
            <w:hideMark/>
          </w:tcPr>
          <w:p w:rsidR="003F282D" w:rsidRPr="007D64CF" w:rsidRDefault="003F282D" w:rsidP="001269D6">
            <w:pPr>
              <w:rPr>
                <w:rFonts w:ascii="Calibri" w:hAnsi="Calibri" w:cs="Calibri"/>
                <w:color w:val="FFFFFF"/>
                <w:sz w:val="22"/>
                <w:szCs w:val="22"/>
              </w:rPr>
            </w:pPr>
            <w:r w:rsidRPr="007D64CF">
              <w:rPr>
                <w:rFonts w:ascii="Calibri" w:hAnsi="Calibri" w:cs="Calibri"/>
                <w:color w:val="FFFFFF"/>
                <w:sz w:val="22"/>
                <w:szCs w:val="22"/>
              </w:rPr>
              <w:t>SIGN +</w:t>
            </w:r>
          </w:p>
        </w:tc>
        <w:tc>
          <w:tcPr>
            <w:tcW w:w="1109" w:type="dxa"/>
            <w:tcBorders>
              <w:top w:val="single" w:sz="4" w:space="0" w:color="auto"/>
              <w:left w:val="single" w:sz="4" w:space="0" w:color="auto"/>
              <w:bottom w:val="nil"/>
              <w:right w:val="single" w:sz="4" w:space="0" w:color="FFFFFF"/>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w:t>
            </w:r>
          </w:p>
        </w:tc>
        <w:tc>
          <w:tcPr>
            <w:tcW w:w="1200" w:type="dxa"/>
            <w:tcBorders>
              <w:top w:val="single" w:sz="4" w:space="0" w:color="auto"/>
              <w:left w:val="nil"/>
              <w:bottom w:val="nil"/>
              <w:right w:val="single" w:sz="4" w:space="0" w:color="FFFFFF"/>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0 of 7</w:t>
            </w:r>
          </w:p>
        </w:tc>
        <w:tc>
          <w:tcPr>
            <w:tcW w:w="1109" w:type="dxa"/>
            <w:tcBorders>
              <w:top w:val="single" w:sz="4" w:space="0" w:color="auto"/>
              <w:left w:val="nil"/>
              <w:bottom w:val="nil"/>
              <w:right w:val="single" w:sz="4" w:space="0" w:color="FFFFFF"/>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0 of 4</w:t>
            </w:r>
          </w:p>
        </w:tc>
        <w:tc>
          <w:tcPr>
            <w:tcW w:w="1109" w:type="dxa"/>
            <w:tcBorders>
              <w:top w:val="nil"/>
              <w:left w:val="nil"/>
              <w:bottom w:val="nil"/>
              <w:right w:val="nil"/>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0 of 2</w:t>
            </w:r>
          </w:p>
        </w:tc>
        <w:tc>
          <w:tcPr>
            <w:tcW w:w="1132" w:type="dxa"/>
            <w:tcBorders>
              <w:top w:val="nil"/>
              <w:left w:val="single" w:sz="4" w:space="0" w:color="FFFFFF"/>
              <w:bottom w:val="nil"/>
              <w:right w:val="nil"/>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0 of 1</w:t>
            </w:r>
          </w:p>
        </w:tc>
        <w:tc>
          <w:tcPr>
            <w:tcW w:w="1132" w:type="dxa"/>
            <w:tcBorders>
              <w:top w:val="single" w:sz="4" w:space="0" w:color="auto"/>
              <w:left w:val="single" w:sz="4" w:space="0" w:color="FFFFFF"/>
              <w:bottom w:val="nil"/>
              <w:right w:val="single" w:sz="4" w:space="0" w:color="auto"/>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0 of 1</w:t>
            </w:r>
          </w:p>
        </w:tc>
        <w:tc>
          <w:tcPr>
            <w:tcW w:w="1132" w:type="dxa"/>
            <w:tcBorders>
              <w:top w:val="single" w:sz="4" w:space="0" w:color="auto"/>
              <w:left w:val="single" w:sz="4" w:space="0" w:color="FFFFFF"/>
              <w:bottom w:val="nil"/>
              <w:right w:val="single" w:sz="4" w:space="0" w:color="auto"/>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0 of 15</w:t>
            </w:r>
          </w:p>
        </w:tc>
      </w:tr>
      <w:tr w:rsidR="003F282D" w:rsidRPr="007D64CF" w:rsidTr="001269D6">
        <w:trPr>
          <w:trHeight w:val="261"/>
        </w:trPr>
        <w:tc>
          <w:tcPr>
            <w:tcW w:w="1132" w:type="dxa"/>
            <w:vMerge/>
            <w:tcBorders>
              <w:top w:val="nil"/>
              <w:left w:val="single" w:sz="4" w:space="0" w:color="auto"/>
              <w:bottom w:val="single" w:sz="4" w:space="0" w:color="FFFFFF"/>
              <w:right w:val="single" w:sz="4" w:space="0" w:color="auto"/>
            </w:tcBorders>
            <w:vAlign w:val="center"/>
            <w:hideMark/>
          </w:tcPr>
          <w:p w:rsidR="003F282D" w:rsidRPr="007D64CF" w:rsidRDefault="003F282D" w:rsidP="001269D6">
            <w:pPr>
              <w:rPr>
                <w:rFonts w:ascii="Calibri" w:hAnsi="Calibri" w:cs="Calibri"/>
                <w:b/>
                <w:bCs/>
                <w:color w:val="FFFFFF"/>
                <w:sz w:val="22"/>
                <w:szCs w:val="22"/>
              </w:rPr>
            </w:pPr>
          </w:p>
        </w:tc>
        <w:tc>
          <w:tcPr>
            <w:tcW w:w="1132" w:type="dxa"/>
            <w:tcBorders>
              <w:top w:val="nil"/>
              <w:left w:val="nil"/>
              <w:bottom w:val="single" w:sz="4" w:space="0" w:color="FFFFFF"/>
              <w:right w:val="nil"/>
            </w:tcBorders>
            <w:shd w:val="clear" w:color="000000" w:fill="DCE6F1"/>
            <w:noWrap/>
            <w:vAlign w:val="bottom"/>
            <w:hideMark/>
          </w:tcPr>
          <w:p w:rsidR="003F282D" w:rsidRPr="007D64CF" w:rsidRDefault="003F282D" w:rsidP="001269D6">
            <w:pPr>
              <w:rPr>
                <w:rFonts w:ascii="Calibri" w:hAnsi="Calibri" w:cs="Calibri"/>
                <w:color w:val="FFFFFF"/>
                <w:sz w:val="22"/>
                <w:szCs w:val="22"/>
              </w:rPr>
            </w:pPr>
            <w:r w:rsidRPr="007D64CF">
              <w:rPr>
                <w:rFonts w:ascii="Calibri" w:hAnsi="Calibri" w:cs="Calibri"/>
                <w:color w:val="FFFFFF"/>
                <w:sz w:val="22"/>
                <w:szCs w:val="22"/>
              </w:rPr>
              <w:t>NS -</w:t>
            </w:r>
          </w:p>
        </w:tc>
        <w:tc>
          <w:tcPr>
            <w:tcW w:w="1109" w:type="dxa"/>
            <w:tcBorders>
              <w:top w:val="nil"/>
              <w:left w:val="single" w:sz="4" w:space="0" w:color="auto"/>
              <w:bottom w:val="single" w:sz="4" w:space="0" w:color="FFFFFF"/>
              <w:right w:val="single" w:sz="4" w:space="0" w:color="FFFFFF"/>
            </w:tcBorders>
            <w:shd w:val="clear" w:color="000000" w:fill="DCE6F1"/>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w:t>
            </w:r>
          </w:p>
        </w:tc>
        <w:tc>
          <w:tcPr>
            <w:tcW w:w="1200" w:type="dxa"/>
            <w:tcBorders>
              <w:top w:val="nil"/>
              <w:left w:val="nil"/>
              <w:bottom w:val="single" w:sz="4" w:space="0" w:color="FFFFFF"/>
              <w:right w:val="single" w:sz="4" w:space="0" w:color="FFFFFF"/>
            </w:tcBorders>
            <w:shd w:val="clear" w:color="000000" w:fill="DCE6F1"/>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7 of 7</w:t>
            </w:r>
          </w:p>
        </w:tc>
        <w:tc>
          <w:tcPr>
            <w:tcW w:w="1109" w:type="dxa"/>
            <w:tcBorders>
              <w:top w:val="nil"/>
              <w:left w:val="nil"/>
              <w:bottom w:val="single" w:sz="4" w:space="0" w:color="FFFFFF"/>
              <w:right w:val="single" w:sz="4" w:space="0" w:color="FFFFFF"/>
            </w:tcBorders>
            <w:shd w:val="clear" w:color="000000" w:fill="DCE6F1"/>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4 of 4</w:t>
            </w:r>
          </w:p>
        </w:tc>
        <w:tc>
          <w:tcPr>
            <w:tcW w:w="1109" w:type="dxa"/>
            <w:tcBorders>
              <w:top w:val="nil"/>
              <w:left w:val="nil"/>
              <w:bottom w:val="single" w:sz="4" w:space="0" w:color="FFFFFF"/>
              <w:right w:val="nil"/>
            </w:tcBorders>
            <w:shd w:val="clear" w:color="000000" w:fill="DCE6F1"/>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2 of 2</w:t>
            </w:r>
          </w:p>
        </w:tc>
        <w:tc>
          <w:tcPr>
            <w:tcW w:w="1132" w:type="dxa"/>
            <w:tcBorders>
              <w:top w:val="nil"/>
              <w:left w:val="single" w:sz="4" w:space="0" w:color="FFFFFF"/>
              <w:bottom w:val="single" w:sz="4" w:space="0" w:color="FFFFFF"/>
              <w:right w:val="nil"/>
            </w:tcBorders>
            <w:shd w:val="clear" w:color="000000" w:fill="DCE6F1"/>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1 of 1</w:t>
            </w:r>
          </w:p>
        </w:tc>
        <w:tc>
          <w:tcPr>
            <w:tcW w:w="1132" w:type="dxa"/>
            <w:tcBorders>
              <w:top w:val="nil"/>
              <w:left w:val="single" w:sz="4" w:space="0" w:color="FFFFFF"/>
              <w:bottom w:val="nil"/>
              <w:right w:val="single" w:sz="4" w:space="0" w:color="auto"/>
            </w:tcBorders>
            <w:shd w:val="clear" w:color="000000" w:fill="DCE6F1"/>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 xml:space="preserve">1 of 1 </w:t>
            </w:r>
          </w:p>
        </w:tc>
        <w:tc>
          <w:tcPr>
            <w:tcW w:w="1132" w:type="dxa"/>
            <w:tcBorders>
              <w:top w:val="nil"/>
              <w:left w:val="single" w:sz="4" w:space="0" w:color="FFFFFF"/>
              <w:bottom w:val="nil"/>
              <w:right w:val="single" w:sz="4" w:space="0" w:color="auto"/>
            </w:tcBorders>
            <w:shd w:val="clear" w:color="000000" w:fill="DCE6F1"/>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 </w:t>
            </w:r>
          </w:p>
        </w:tc>
      </w:tr>
      <w:tr w:rsidR="003F282D" w:rsidRPr="007D64CF" w:rsidTr="001269D6">
        <w:trPr>
          <w:trHeight w:val="261"/>
        </w:trPr>
        <w:tc>
          <w:tcPr>
            <w:tcW w:w="1132" w:type="dxa"/>
            <w:vMerge w:val="restart"/>
            <w:tcBorders>
              <w:top w:val="nil"/>
              <w:left w:val="single" w:sz="4" w:space="0" w:color="auto"/>
              <w:bottom w:val="nil"/>
              <w:right w:val="single" w:sz="4" w:space="0" w:color="auto"/>
            </w:tcBorders>
            <w:shd w:val="clear" w:color="000000" w:fill="4F81BD"/>
            <w:noWrap/>
            <w:vAlign w:val="center"/>
            <w:hideMark/>
          </w:tcPr>
          <w:p w:rsidR="003F282D" w:rsidRPr="007D64CF" w:rsidRDefault="003F282D" w:rsidP="001269D6">
            <w:pPr>
              <w:rPr>
                <w:rFonts w:ascii="Calibri" w:hAnsi="Calibri" w:cs="Calibri"/>
                <w:b/>
                <w:bCs/>
                <w:color w:val="FFFFFF"/>
                <w:sz w:val="22"/>
                <w:szCs w:val="22"/>
              </w:rPr>
            </w:pPr>
            <w:r w:rsidRPr="007D64CF">
              <w:rPr>
                <w:rFonts w:ascii="Calibri" w:hAnsi="Calibri" w:cs="Calibri"/>
                <w:b/>
                <w:bCs/>
                <w:color w:val="FFFFFF"/>
                <w:sz w:val="22"/>
                <w:szCs w:val="22"/>
              </w:rPr>
              <w:t>PCWP</w:t>
            </w:r>
          </w:p>
        </w:tc>
        <w:tc>
          <w:tcPr>
            <w:tcW w:w="1132" w:type="dxa"/>
            <w:tcBorders>
              <w:top w:val="nil"/>
              <w:left w:val="nil"/>
              <w:bottom w:val="nil"/>
              <w:right w:val="nil"/>
            </w:tcBorders>
            <w:shd w:val="clear" w:color="000000" w:fill="B8CCE4"/>
            <w:noWrap/>
            <w:vAlign w:val="bottom"/>
            <w:hideMark/>
          </w:tcPr>
          <w:p w:rsidR="003F282D" w:rsidRPr="007D64CF" w:rsidRDefault="003F282D" w:rsidP="001269D6">
            <w:pPr>
              <w:rPr>
                <w:rFonts w:ascii="Calibri" w:hAnsi="Calibri" w:cs="Calibri"/>
                <w:color w:val="FFFFFF"/>
                <w:sz w:val="22"/>
                <w:szCs w:val="22"/>
              </w:rPr>
            </w:pPr>
            <w:r w:rsidRPr="007D64CF">
              <w:rPr>
                <w:rFonts w:ascii="Calibri" w:hAnsi="Calibri" w:cs="Calibri"/>
                <w:color w:val="FFFFFF"/>
                <w:sz w:val="22"/>
                <w:szCs w:val="22"/>
              </w:rPr>
              <w:t>SIGN +</w:t>
            </w:r>
          </w:p>
        </w:tc>
        <w:tc>
          <w:tcPr>
            <w:tcW w:w="1109" w:type="dxa"/>
            <w:tcBorders>
              <w:top w:val="nil"/>
              <w:left w:val="single" w:sz="4" w:space="0" w:color="auto"/>
              <w:bottom w:val="nil"/>
              <w:right w:val="single" w:sz="4" w:space="0" w:color="FFFFFF"/>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5 of 6</w:t>
            </w:r>
          </w:p>
        </w:tc>
        <w:tc>
          <w:tcPr>
            <w:tcW w:w="1200" w:type="dxa"/>
            <w:tcBorders>
              <w:top w:val="nil"/>
              <w:left w:val="nil"/>
              <w:bottom w:val="nil"/>
              <w:right w:val="single" w:sz="4" w:space="0" w:color="FFFFFF"/>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w:t>
            </w:r>
          </w:p>
        </w:tc>
        <w:tc>
          <w:tcPr>
            <w:tcW w:w="1109" w:type="dxa"/>
            <w:tcBorders>
              <w:top w:val="nil"/>
              <w:left w:val="nil"/>
              <w:bottom w:val="nil"/>
              <w:right w:val="single" w:sz="4" w:space="0" w:color="FFFFFF"/>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4 of 8</w:t>
            </w:r>
          </w:p>
        </w:tc>
        <w:tc>
          <w:tcPr>
            <w:tcW w:w="1109" w:type="dxa"/>
            <w:tcBorders>
              <w:top w:val="nil"/>
              <w:left w:val="nil"/>
              <w:bottom w:val="nil"/>
              <w:right w:val="nil"/>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1 of 2</w:t>
            </w:r>
          </w:p>
        </w:tc>
        <w:tc>
          <w:tcPr>
            <w:tcW w:w="1132" w:type="dxa"/>
            <w:tcBorders>
              <w:top w:val="nil"/>
              <w:left w:val="single" w:sz="4" w:space="0" w:color="FFFFFF"/>
              <w:bottom w:val="nil"/>
              <w:right w:val="nil"/>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2 of 4</w:t>
            </w:r>
          </w:p>
        </w:tc>
        <w:tc>
          <w:tcPr>
            <w:tcW w:w="1132" w:type="dxa"/>
            <w:tcBorders>
              <w:top w:val="single" w:sz="4" w:space="0" w:color="FFFFFF"/>
              <w:left w:val="single" w:sz="4" w:space="0" w:color="FFFFFF"/>
              <w:bottom w:val="nil"/>
              <w:right w:val="single" w:sz="4" w:space="0" w:color="auto"/>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 xml:space="preserve">3 of 4 </w:t>
            </w:r>
          </w:p>
        </w:tc>
        <w:tc>
          <w:tcPr>
            <w:tcW w:w="1132" w:type="dxa"/>
            <w:tcBorders>
              <w:top w:val="single" w:sz="4" w:space="0" w:color="FFFFFF"/>
              <w:left w:val="single" w:sz="4" w:space="0" w:color="FFFFFF"/>
              <w:bottom w:val="nil"/>
              <w:right w:val="single" w:sz="4" w:space="0" w:color="auto"/>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15 of 24</w:t>
            </w:r>
          </w:p>
        </w:tc>
      </w:tr>
      <w:tr w:rsidR="003F282D" w:rsidRPr="007D64CF" w:rsidTr="001269D6">
        <w:trPr>
          <w:trHeight w:val="261"/>
        </w:trPr>
        <w:tc>
          <w:tcPr>
            <w:tcW w:w="1132" w:type="dxa"/>
            <w:vMerge/>
            <w:tcBorders>
              <w:top w:val="nil"/>
              <w:left w:val="single" w:sz="4" w:space="0" w:color="auto"/>
              <w:bottom w:val="nil"/>
              <w:right w:val="single" w:sz="4" w:space="0" w:color="auto"/>
            </w:tcBorders>
            <w:vAlign w:val="center"/>
            <w:hideMark/>
          </w:tcPr>
          <w:p w:rsidR="003F282D" w:rsidRPr="007D64CF" w:rsidRDefault="003F282D" w:rsidP="001269D6">
            <w:pPr>
              <w:rPr>
                <w:rFonts w:ascii="Calibri" w:hAnsi="Calibri" w:cs="Calibri"/>
                <w:b/>
                <w:bCs/>
                <w:color w:val="FFFFFF"/>
                <w:sz w:val="22"/>
                <w:szCs w:val="22"/>
              </w:rPr>
            </w:pPr>
          </w:p>
        </w:tc>
        <w:tc>
          <w:tcPr>
            <w:tcW w:w="1132" w:type="dxa"/>
            <w:tcBorders>
              <w:top w:val="nil"/>
              <w:left w:val="nil"/>
              <w:bottom w:val="single" w:sz="4" w:space="0" w:color="FFFFFF"/>
              <w:right w:val="nil"/>
            </w:tcBorders>
            <w:shd w:val="clear" w:color="000000" w:fill="DCE6F1"/>
            <w:noWrap/>
            <w:vAlign w:val="bottom"/>
            <w:hideMark/>
          </w:tcPr>
          <w:p w:rsidR="003F282D" w:rsidRPr="007D64CF" w:rsidRDefault="003F282D" w:rsidP="001269D6">
            <w:pPr>
              <w:rPr>
                <w:rFonts w:ascii="Calibri" w:hAnsi="Calibri" w:cs="Calibri"/>
                <w:color w:val="FFFFFF"/>
                <w:sz w:val="22"/>
                <w:szCs w:val="22"/>
              </w:rPr>
            </w:pPr>
            <w:r w:rsidRPr="007D64CF">
              <w:rPr>
                <w:rFonts w:ascii="Calibri" w:hAnsi="Calibri" w:cs="Calibri"/>
                <w:color w:val="FFFFFF"/>
                <w:sz w:val="22"/>
                <w:szCs w:val="22"/>
              </w:rPr>
              <w:t>NS -</w:t>
            </w:r>
          </w:p>
        </w:tc>
        <w:tc>
          <w:tcPr>
            <w:tcW w:w="1109" w:type="dxa"/>
            <w:tcBorders>
              <w:top w:val="nil"/>
              <w:left w:val="single" w:sz="4" w:space="0" w:color="auto"/>
              <w:bottom w:val="single" w:sz="4" w:space="0" w:color="FFFFFF"/>
              <w:right w:val="single" w:sz="4" w:space="0" w:color="FFFFFF"/>
            </w:tcBorders>
            <w:shd w:val="clear" w:color="000000" w:fill="DCE6F1"/>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1 of 6</w:t>
            </w:r>
          </w:p>
        </w:tc>
        <w:tc>
          <w:tcPr>
            <w:tcW w:w="1200" w:type="dxa"/>
            <w:tcBorders>
              <w:top w:val="nil"/>
              <w:left w:val="nil"/>
              <w:bottom w:val="single" w:sz="4" w:space="0" w:color="FFFFFF"/>
              <w:right w:val="single" w:sz="4" w:space="0" w:color="FFFFFF"/>
            </w:tcBorders>
            <w:shd w:val="clear" w:color="000000" w:fill="DCE6F1"/>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w:t>
            </w:r>
          </w:p>
        </w:tc>
        <w:tc>
          <w:tcPr>
            <w:tcW w:w="1109" w:type="dxa"/>
            <w:tcBorders>
              <w:top w:val="nil"/>
              <w:left w:val="nil"/>
              <w:bottom w:val="single" w:sz="4" w:space="0" w:color="FFFFFF"/>
              <w:right w:val="single" w:sz="4" w:space="0" w:color="FFFFFF"/>
            </w:tcBorders>
            <w:shd w:val="clear" w:color="000000" w:fill="DCE6F1"/>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4 of 8</w:t>
            </w:r>
          </w:p>
        </w:tc>
        <w:tc>
          <w:tcPr>
            <w:tcW w:w="1109" w:type="dxa"/>
            <w:tcBorders>
              <w:top w:val="nil"/>
              <w:left w:val="nil"/>
              <w:bottom w:val="single" w:sz="4" w:space="0" w:color="FFFFFF"/>
              <w:right w:val="nil"/>
            </w:tcBorders>
            <w:shd w:val="clear" w:color="000000" w:fill="DCE6F1"/>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1 of 2</w:t>
            </w:r>
          </w:p>
        </w:tc>
        <w:tc>
          <w:tcPr>
            <w:tcW w:w="1132" w:type="dxa"/>
            <w:tcBorders>
              <w:top w:val="nil"/>
              <w:left w:val="single" w:sz="4" w:space="0" w:color="FFFFFF"/>
              <w:bottom w:val="nil"/>
              <w:right w:val="nil"/>
            </w:tcBorders>
            <w:shd w:val="clear" w:color="000000" w:fill="DCE6F1"/>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2 of 4</w:t>
            </w:r>
          </w:p>
        </w:tc>
        <w:tc>
          <w:tcPr>
            <w:tcW w:w="1132" w:type="dxa"/>
            <w:tcBorders>
              <w:top w:val="nil"/>
              <w:left w:val="single" w:sz="4" w:space="0" w:color="FFFFFF"/>
              <w:bottom w:val="nil"/>
              <w:right w:val="single" w:sz="4" w:space="0" w:color="auto"/>
            </w:tcBorders>
            <w:shd w:val="clear" w:color="000000" w:fill="DCE6F1"/>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1 of 4</w:t>
            </w:r>
          </w:p>
        </w:tc>
        <w:tc>
          <w:tcPr>
            <w:tcW w:w="1132" w:type="dxa"/>
            <w:tcBorders>
              <w:top w:val="nil"/>
              <w:left w:val="single" w:sz="4" w:space="0" w:color="FFFFFF"/>
              <w:bottom w:val="nil"/>
              <w:right w:val="single" w:sz="4" w:space="0" w:color="auto"/>
            </w:tcBorders>
            <w:shd w:val="clear" w:color="000000" w:fill="DCE6F1"/>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 </w:t>
            </w:r>
          </w:p>
        </w:tc>
      </w:tr>
      <w:tr w:rsidR="003F282D" w:rsidRPr="007D64CF" w:rsidTr="001269D6">
        <w:trPr>
          <w:trHeight w:val="261"/>
        </w:trPr>
        <w:tc>
          <w:tcPr>
            <w:tcW w:w="1132" w:type="dxa"/>
            <w:vMerge w:val="restart"/>
            <w:tcBorders>
              <w:top w:val="single" w:sz="4" w:space="0" w:color="FFFFFF"/>
              <w:left w:val="single" w:sz="4" w:space="0" w:color="auto"/>
              <w:bottom w:val="single" w:sz="4" w:space="0" w:color="000000"/>
              <w:right w:val="single" w:sz="4" w:space="0" w:color="auto"/>
            </w:tcBorders>
            <w:shd w:val="clear" w:color="000000" w:fill="4F81BD"/>
            <w:noWrap/>
            <w:vAlign w:val="center"/>
            <w:hideMark/>
          </w:tcPr>
          <w:p w:rsidR="003F282D" w:rsidRPr="007D64CF" w:rsidRDefault="003F282D" w:rsidP="001269D6">
            <w:pPr>
              <w:rPr>
                <w:rFonts w:ascii="Calibri" w:hAnsi="Calibri" w:cs="Calibri"/>
                <w:b/>
                <w:bCs/>
                <w:color w:val="FFFFFF"/>
                <w:sz w:val="22"/>
                <w:szCs w:val="22"/>
              </w:rPr>
            </w:pPr>
            <w:r w:rsidRPr="007D64CF">
              <w:rPr>
                <w:rFonts w:ascii="Calibri" w:hAnsi="Calibri" w:cs="Calibri"/>
                <w:b/>
                <w:bCs/>
                <w:color w:val="FFFFFF"/>
                <w:sz w:val="22"/>
                <w:szCs w:val="22"/>
              </w:rPr>
              <w:t>SBP</w:t>
            </w:r>
          </w:p>
        </w:tc>
        <w:tc>
          <w:tcPr>
            <w:tcW w:w="1132" w:type="dxa"/>
            <w:tcBorders>
              <w:top w:val="nil"/>
              <w:left w:val="nil"/>
              <w:bottom w:val="nil"/>
              <w:right w:val="nil"/>
            </w:tcBorders>
            <w:shd w:val="clear" w:color="000000" w:fill="B8CCE4"/>
            <w:noWrap/>
            <w:vAlign w:val="bottom"/>
            <w:hideMark/>
          </w:tcPr>
          <w:p w:rsidR="003F282D" w:rsidRPr="007D64CF" w:rsidRDefault="003F282D" w:rsidP="001269D6">
            <w:pPr>
              <w:rPr>
                <w:rFonts w:ascii="Calibri" w:hAnsi="Calibri" w:cs="Calibri"/>
                <w:color w:val="FFFFFF"/>
                <w:sz w:val="22"/>
                <w:szCs w:val="22"/>
              </w:rPr>
            </w:pPr>
            <w:r w:rsidRPr="007D64CF">
              <w:rPr>
                <w:rFonts w:ascii="Calibri" w:hAnsi="Calibri" w:cs="Calibri"/>
                <w:color w:val="FFFFFF"/>
                <w:sz w:val="22"/>
                <w:szCs w:val="22"/>
              </w:rPr>
              <w:t>SIGN +</w:t>
            </w:r>
          </w:p>
        </w:tc>
        <w:tc>
          <w:tcPr>
            <w:tcW w:w="1109" w:type="dxa"/>
            <w:tcBorders>
              <w:top w:val="nil"/>
              <w:left w:val="single" w:sz="4" w:space="0" w:color="auto"/>
              <w:bottom w:val="nil"/>
              <w:right w:val="single" w:sz="4" w:space="0" w:color="FFFFFF"/>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0 of 4</w:t>
            </w:r>
          </w:p>
        </w:tc>
        <w:tc>
          <w:tcPr>
            <w:tcW w:w="1200" w:type="dxa"/>
            <w:tcBorders>
              <w:top w:val="nil"/>
              <w:left w:val="nil"/>
              <w:bottom w:val="nil"/>
              <w:right w:val="single" w:sz="4" w:space="0" w:color="FFFFFF"/>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2 of 8</w:t>
            </w:r>
          </w:p>
        </w:tc>
        <w:tc>
          <w:tcPr>
            <w:tcW w:w="1109" w:type="dxa"/>
            <w:tcBorders>
              <w:top w:val="nil"/>
              <w:left w:val="nil"/>
              <w:bottom w:val="nil"/>
              <w:right w:val="single" w:sz="4" w:space="0" w:color="FFFFFF"/>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w:t>
            </w:r>
          </w:p>
        </w:tc>
        <w:tc>
          <w:tcPr>
            <w:tcW w:w="1109" w:type="dxa"/>
            <w:tcBorders>
              <w:top w:val="nil"/>
              <w:left w:val="nil"/>
              <w:bottom w:val="nil"/>
              <w:right w:val="single" w:sz="4" w:space="0" w:color="FFFFFF"/>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1 of 4</w:t>
            </w:r>
          </w:p>
        </w:tc>
        <w:tc>
          <w:tcPr>
            <w:tcW w:w="1132" w:type="dxa"/>
            <w:tcBorders>
              <w:top w:val="single" w:sz="4" w:space="0" w:color="FFFFFF"/>
              <w:left w:val="nil"/>
              <w:bottom w:val="nil"/>
              <w:right w:val="nil"/>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1 of 3</w:t>
            </w:r>
          </w:p>
        </w:tc>
        <w:tc>
          <w:tcPr>
            <w:tcW w:w="1132" w:type="dxa"/>
            <w:tcBorders>
              <w:top w:val="single" w:sz="4" w:space="0" w:color="FFFFFF"/>
              <w:left w:val="single" w:sz="4" w:space="0" w:color="FFFFFF"/>
              <w:bottom w:val="nil"/>
              <w:right w:val="single" w:sz="4" w:space="0" w:color="auto"/>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1 of 2</w:t>
            </w:r>
          </w:p>
        </w:tc>
        <w:tc>
          <w:tcPr>
            <w:tcW w:w="1132" w:type="dxa"/>
            <w:tcBorders>
              <w:top w:val="single" w:sz="4" w:space="0" w:color="FFFFFF"/>
              <w:left w:val="single" w:sz="4" w:space="0" w:color="FFFFFF"/>
              <w:bottom w:val="nil"/>
              <w:right w:val="single" w:sz="4" w:space="0" w:color="auto"/>
            </w:tcBorders>
            <w:shd w:val="clear" w:color="000000" w:fill="B8CCE4"/>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5 of 21</w:t>
            </w:r>
          </w:p>
        </w:tc>
      </w:tr>
      <w:tr w:rsidR="003F282D" w:rsidRPr="007D64CF" w:rsidTr="001269D6">
        <w:trPr>
          <w:trHeight w:val="261"/>
        </w:trPr>
        <w:tc>
          <w:tcPr>
            <w:tcW w:w="1132" w:type="dxa"/>
            <w:vMerge/>
            <w:tcBorders>
              <w:top w:val="single" w:sz="4" w:space="0" w:color="FFFFFF"/>
              <w:left w:val="single" w:sz="4" w:space="0" w:color="auto"/>
              <w:bottom w:val="single" w:sz="4" w:space="0" w:color="000000"/>
              <w:right w:val="single" w:sz="4" w:space="0" w:color="auto"/>
            </w:tcBorders>
            <w:vAlign w:val="center"/>
            <w:hideMark/>
          </w:tcPr>
          <w:p w:rsidR="003F282D" w:rsidRPr="007D64CF" w:rsidRDefault="003F282D" w:rsidP="001269D6">
            <w:pPr>
              <w:rPr>
                <w:rFonts w:ascii="Calibri" w:hAnsi="Calibri" w:cs="Calibri"/>
                <w:b/>
                <w:bCs/>
                <w:color w:val="FFFFFF"/>
                <w:sz w:val="22"/>
                <w:szCs w:val="22"/>
              </w:rPr>
            </w:pPr>
          </w:p>
        </w:tc>
        <w:tc>
          <w:tcPr>
            <w:tcW w:w="1132" w:type="dxa"/>
            <w:tcBorders>
              <w:top w:val="nil"/>
              <w:left w:val="nil"/>
              <w:bottom w:val="single" w:sz="4" w:space="0" w:color="auto"/>
              <w:right w:val="nil"/>
            </w:tcBorders>
            <w:shd w:val="clear" w:color="000000" w:fill="DCE6F1"/>
            <w:noWrap/>
            <w:vAlign w:val="bottom"/>
            <w:hideMark/>
          </w:tcPr>
          <w:p w:rsidR="003F282D" w:rsidRPr="007D64CF" w:rsidRDefault="003F282D" w:rsidP="001269D6">
            <w:pPr>
              <w:rPr>
                <w:rFonts w:ascii="Calibri" w:hAnsi="Calibri" w:cs="Calibri"/>
                <w:color w:val="FFFFFF"/>
                <w:sz w:val="22"/>
                <w:szCs w:val="22"/>
              </w:rPr>
            </w:pPr>
            <w:r w:rsidRPr="007D64CF">
              <w:rPr>
                <w:rFonts w:ascii="Calibri" w:hAnsi="Calibri" w:cs="Calibri"/>
                <w:color w:val="FFFFFF"/>
                <w:sz w:val="22"/>
                <w:szCs w:val="22"/>
              </w:rPr>
              <w:t>NS -</w:t>
            </w:r>
          </w:p>
        </w:tc>
        <w:tc>
          <w:tcPr>
            <w:tcW w:w="1109" w:type="dxa"/>
            <w:tcBorders>
              <w:top w:val="nil"/>
              <w:left w:val="single" w:sz="4" w:space="0" w:color="auto"/>
              <w:bottom w:val="single" w:sz="4" w:space="0" w:color="auto"/>
              <w:right w:val="single" w:sz="4" w:space="0" w:color="FFFFFF"/>
            </w:tcBorders>
            <w:shd w:val="clear" w:color="000000" w:fill="DCE6F1"/>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4 of 4</w:t>
            </w:r>
          </w:p>
        </w:tc>
        <w:tc>
          <w:tcPr>
            <w:tcW w:w="1200" w:type="dxa"/>
            <w:tcBorders>
              <w:top w:val="nil"/>
              <w:left w:val="nil"/>
              <w:bottom w:val="single" w:sz="4" w:space="0" w:color="auto"/>
              <w:right w:val="nil"/>
            </w:tcBorders>
            <w:shd w:val="clear" w:color="000000" w:fill="DCE6F1"/>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6 of 8</w:t>
            </w:r>
          </w:p>
        </w:tc>
        <w:tc>
          <w:tcPr>
            <w:tcW w:w="1109" w:type="dxa"/>
            <w:tcBorders>
              <w:top w:val="nil"/>
              <w:left w:val="single" w:sz="4" w:space="0" w:color="FFFFFF"/>
              <w:bottom w:val="single" w:sz="4" w:space="0" w:color="auto"/>
              <w:right w:val="nil"/>
            </w:tcBorders>
            <w:shd w:val="clear" w:color="000000" w:fill="DCE6F1"/>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w:t>
            </w:r>
          </w:p>
        </w:tc>
        <w:tc>
          <w:tcPr>
            <w:tcW w:w="1109" w:type="dxa"/>
            <w:tcBorders>
              <w:top w:val="nil"/>
              <w:left w:val="single" w:sz="4" w:space="0" w:color="FFFFFF"/>
              <w:bottom w:val="single" w:sz="4" w:space="0" w:color="auto"/>
              <w:right w:val="nil"/>
            </w:tcBorders>
            <w:shd w:val="clear" w:color="000000" w:fill="DCE6F1"/>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3 of 4</w:t>
            </w:r>
          </w:p>
        </w:tc>
        <w:tc>
          <w:tcPr>
            <w:tcW w:w="1132" w:type="dxa"/>
            <w:tcBorders>
              <w:top w:val="nil"/>
              <w:left w:val="single" w:sz="4" w:space="0" w:color="FFFFFF"/>
              <w:bottom w:val="single" w:sz="4" w:space="0" w:color="auto"/>
              <w:right w:val="nil"/>
            </w:tcBorders>
            <w:shd w:val="clear" w:color="000000" w:fill="DCE6F1"/>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2 of 3</w:t>
            </w:r>
          </w:p>
        </w:tc>
        <w:tc>
          <w:tcPr>
            <w:tcW w:w="1132" w:type="dxa"/>
            <w:tcBorders>
              <w:top w:val="nil"/>
              <w:left w:val="single" w:sz="4" w:space="0" w:color="FFFFFF"/>
              <w:bottom w:val="single" w:sz="4" w:space="0" w:color="auto"/>
              <w:right w:val="single" w:sz="4" w:space="0" w:color="auto"/>
            </w:tcBorders>
            <w:shd w:val="clear" w:color="000000" w:fill="DCE6F1"/>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 xml:space="preserve">1 of 2 </w:t>
            </w:r>
          </w:p>
        </w:tc>
        <w:tc>
          <w:tcPr>
            <w:tcW w:w="1132" w:type="dxa"/>
            <w:tcBorders>
              <w:top w:val="nil"/>
              <w:left w:val="single" w:sz="4" w:space="0" w:color="FFFFFF"/>
              <w:bottom w:val="single" w:sz="4" w:space="0" w:color="auto"/>
              <w:right w:val="single" w:sz="4" w:space="0" w:color="auto"/>
            </w:tcBorders>
            <w:shd w:val="clear" w:color="000000" w:fill="DCE6F1"/>
            <w:noWrap/>
            <w:vAlign w:val="bottom"/>
            <w:hideMark/>
          </w:tcPr>
          <w:p w:rsidR="003F282D" w:rsidRPr="007D64CF" w:rsidRDefault="003F282D" w:rsidP="001269D6">
            <w:pPr>
              <w:jc w:val="center"/>
              <w:rPr>
                <w:rFonts w:ascii="Calibri" w:hAnsi="Calibri" w:cs="Calibri"/>
                <w:color w:val="000000"/>
                <w:sz w:val="22"/>
                <w:szCs w:val="22"/>
              </w:rPr>
            </w:pPr>
            <w:r w:rsidRPr="007D64CF">
              <w:rPr>
                <w:rFonts w:ascii="Calibri" w:hAnsi="Calibri" w:cs="Calibri"/>
                <w:color w:val="000000"/>
                <w:sz w:val="22"/>
                <w:szCs w:val="22"/>
              </w:rPr>
              <w:t> </w:t>
            </w:r>
          </w:p>
        </w:tc>
      </w:tr>
    </w:tbl>
    <w:p w:rsidR="003F282D" w:rsidRDefault="003F282D" w:rsidP="003F282D">
      <w:pPr>
        <w:rPr>
          <w:color w:val="0070C0"/>
          <w:lang w:val="en-US"/>
        </w:rPr>
      </w:pPr>
    </w:p>
    <w:p w:rsidR="003F282D" w:rsidRPr="00F15D51" w:rsidRDefault="003F282D" w:rsidP="003F282D">
      <w:pPr>
        <w:spacing w:line="360" w:lineRule="auto"/>
        <w:rPr>
          <w:lang w:val="en-US"/>
        </w:rPr>
      </w:pPr>
    </w:p>
    <w:p w:rsidR="003F282D" w:rsidRPr="00D34633" w:rsidRDefault="003F282D" w:rsidP="003F282D">
      <w:pPr>
        <w:rPr>
          <w:lang w:val="en-US"/>
        </w:rPr>
      </w:pPr>
    </w:p>
    <w:sectPr w:rsidR="003F282D" w:rsidRPr="00D34633" w:rsidSect="00E41273">
      <w:pgSz w:w="16840" w:h="1190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Hoofdtekst)">
    <w:altName w:val="Calibri"/>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633"/>
    <w:rsid w:val="00250751"/>
    <w:rsid w:val="00385491"/>
    <w:rsid w:val="003F282D"/>
    <w:rsid w:val="0059522A"/>
    <w:rsid w:val="005D50A1"/>
    <w:rsid w:val="006028E8"/>
    <w:rsid w:val="00676BDA"/>
    <w:rsid w:val="00793B07"/>
    <w:rsid w:val="009B6621"/>
    <w:rsid w:val="00A91C84"/>
    <w:rsid w:val="00B231A6"/>
    <w:rsid w:val="00BC1B0C"/>
    <w:rsid w:val="00D34633"/>
    <w:rsid w:val="00D512E3"/>
    <w:rsid w:val="00DD3D90"/>
    <w:rsid w:val="00E41273"/>
    <w:rsid w:val="00EC723C"/>
    <w:rsid w:val="00ED3F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56E5B9-0027-0240-BEFE-72788C034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34633"/>
    <w:rPr>
      <w:rFonts w:ascii="Times New Roman" w:eastAsia="Times New Roman" w:hAnsi="Times New Roman" w:cs="Times New Roman"/>
      <w:lang w:eastAsia="nl-NL"/>
    </w:rPr>
  </w:style>
  <w:style w:type="paragraph" w:styleId="Kop3">
    <w:name w:val="heading 3"/>
    <w:basedOn w:val="Standaard"/>
    <w:next w:val="Standaard"/>
    <w:link w:val="Kop3Char"/>
    <w:uiPriority w:val="9"/>
    <w:unhideWhenUsed/>
    <w:qFormat/>
    <w:rsid w:val="00D34633"/>
    <w:pPr>
      <w:pBdr>
        <w:bottom w:val="single" w:sz="4" w:space="1" w:color="8EAADB" w:themeColor="accent1" w:themeTint="99"/>
      </w:pBdr>
      <w:spacing w:before="200" w:after="80" w:line="360" w:lineRule="auto"/>
      <w:outlineLvl w:val="2"/>
    </w:pPr>
    <w:rPr>
      <w:rFonts w:asciiTheme="majorHAnsi" w:eastAsiaTheme="majorEastAsia" w:hAnsiTheme="majorHAnsi" w:cstheme="majorBidi"/>
      <w:color w:val="4472C4"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D34633"/>
    <w:rPr>
      <w:rFonts w:asciiTheme="majorHAnsi" w:eastAsiaTheme="majorEastAsia" w:hAnsiTheme="majorHAnsi" w:cstheme="majorBidi"/>
      <w:color w:val="4472C4" w:themeColor="accent1"/>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12141</Words>
  <Characters>66777</Characters>
  <Application>Microsoft Office Word</Application>
  <DocSecurity>0</DocSecurity>
  <Lines>556</Lines>
  <Paragraphs>157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Aalders</dc:creator>
  <cp:keywords/>
  <dc:description/>
  <cp:lastModifiedBy>Kok, W.E.M.</cp:lastModifiedBy>
  <cp:revision>3</cp:revision>
  <dcterms:created xsi:type="dcterms:W3CDTF">2019-05-08T16:26:00Z</dcterms:created>
  <dcterms:modified xsi:type="dcterms:W3CDTF">2019-08-27T13:10:00Z</dcterms:modified>
</cp:coreProperties>
</file>