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F0" w:rsidRPr="00F76C05" w:rsidRDefault="00705247" w:rsidP="00572E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Table</w:t>
      </w:r>
      <w:r w:rsidR="00572EF0" w:rsidRPr="00DF619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bookmarkStart w:id="0" w:name="_GoBack"/>
      <w:bookmarkEnd w:id="0"/>
      <w:r w:rsidR="00572EF0" w:rsidRPr="00DF619E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572EF0" w:rsidRPr="00F76C05">
        <w:rPr>
          <w:rFonts w:ascii="Times New Roman" w:hAnsi="Times New Roman" w:cs="Times New Roman"/>
          <w:sz w:val="28"/>
          <w:szCs w:val="28"/>
          <w:lang w:val="en-US"/>
        </w:rPr>
        <w:t>. Clinical and radiographic data.</w:t>
      </w:r>
    </w:p>
    <w:tbl>
      <w:tblPr>
        <w:tblStyle w:val="GridTable6Colorful"/>
        <w:tblW w:w="10535" w:type="dxa"/>
        <w:tblInd w:w="-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945"/>
        <w:gridCol w:w="1800"/>
        <w:gridCol w:w="1705"/>
        <w:gridCol w:w="1895"/>
      </w:tblGrid>
      <w:tr w:rsidR="00572EF0" w:rsidRPr="00671F36" w:rsidTr="00F243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Variables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Baseline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5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-year follow-up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8-year follow-up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10-year follow-up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single" w:sz="4" w:space="0" w:color="auto"/>
            </w:tcBorders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lang w:val="en-US"/>
              </w:rPr>
            </w:pPr>
            <w:r w:rsidRPr="00671F36">
              <w:rPr>
                <w:rFonts w:ascii="Times New Roman" w:hAnsi="Times New Roman" w:cs="Times New Roman"/>
                <w:lang w:val="en-US"/>
              </w:rPr>
              <w:t>Clinical data</w:t>
            </w:r>
          </w:p>
        </w:tc>
        <w:tc>
          <w:tcPr>
            <w:tcW w:w="1945" w:type="dxa"/>
            <w:tcBorders>
              <w:top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Age,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 (5)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Gender,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fe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male(%)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604 (79)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AC5AC5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#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Education level,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mediann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 (1-7)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Racical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background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</w:t>
            </w:r>
          </w:p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White 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739 (97)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Menopause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postmenopausal(%)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389 (51)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Marital status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married 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622 (82)</w:t>
            </w: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BMI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 (4)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(4)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 (4)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WOMAC pain score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(19)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 (18)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 (19)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WOMAC stiffness score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 (23)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 (23)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 (24)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WOMAC physical function score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 (19)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 (19)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(19)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WOMAC total score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 (19)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(18)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(19)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much pain while walking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(1-4)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(1-4)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much pain while in bed at night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mediann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US"/>
              </w:rPr>
              <w:t>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much pain while standing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Past 48 hours: how severe joint stiffness after waking up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Difficulty: going down stairs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Difficulty: climbing stairs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Difficulty: getting up from a chair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tabs>
                <w:tab w:val="left" w:pos="635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Have trouble standing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tabs>
                <w:tab w:val="left" w:pos="635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Have trouble walking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tabs>
                <w:tab w:val="left" w:pos="635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*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Have trouble sitting down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(1-5)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NRS for pain intensity of knee the past week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(2)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(2)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pain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446 (59)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394 (52)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320 (42)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morning stiffness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465 (61)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416 (55)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399 (52)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warmth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positive(%)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 (2)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 (1)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(2)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bony tenderness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positive(%)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236 (31)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229 (30)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259 (34)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Crepitus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321 (42)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326 (43)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321 (42)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§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pain on extension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§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Knee pain on flexion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(1-4)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ROM of knee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active 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extension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(in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degree)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mean(SD)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(2)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(2)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ROM of knee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active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flexion (in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degree)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 (9)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133 (9)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133 (9)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Quadriceps tendinitis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 (1)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 (2)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Intra-articular fractures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Bakers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cyste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Ligament or meniscus damage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(1)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(1)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Osteochondritis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dissecans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Plica syndrome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Septic arthritis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895" w:type="dxa"/>
            <w:vAlign w:val="center"/>
          </w:tcPr>
          <w:p w:rsidR="00572EF0" w:rsidRPr="00B53B7D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 (0)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Any other chronic diseases or conditions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546 (72)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Asthma/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chronic br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onchitis, pulmonary emphysema/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COPD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 (11)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Pharyngitis/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sinusitis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 (6)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Severe heart disease or myocardial infarction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 (3)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Hypertension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222 (29)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Stroke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 (1)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Peptic ulcer or duodenal ulcer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 (1)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Gall stones or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cholecystitis</w:t>
            </w:r>
            <w:proofErr w:type="spellEnd"/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 (1)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Kidney stones or severe renal disease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 (2)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Chronic urinary tract infections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Uterine prolapse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 (6)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Diabetes Mellitus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 (7)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Thyroid disease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 (7)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Back disorders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138 (18)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Chronic inflammation of joints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 (5)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Other chronic rheumatic diseases, longer than three months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Epilepsy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(0)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Dizziness with falls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(3)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Migraine or chronic headache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 (8)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Severe skin disease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Malignant disease or cancer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 (3)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Disorders of neck/shoulder/elbow/wrist/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hand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143 (19)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Other,  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.g. ear problems/eye problems/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bowel disorders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/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psychological/psychiatric disorders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210 (28)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The total amount of comorbidities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(0-4)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How many hours per week for work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17-24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Agricultural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Tradesman or industrial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 (2)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Transportation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Administrative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 (5)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Retail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Service worker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 (6)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Other profession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 (10)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many times a week for physical activities for at least half an hour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(0-6)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0A62A8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¶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Smoke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(1-5)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Alcohol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517 (68)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many glasses drink on average on a weekday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(1-11)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How many glasses drink on average on weekend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(1-10)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C461E5" w:rsidRDefault="00572EF0" w:rsidP="00F24311">
            <w:pPr>
              <w:rPr>
                <w:rFonts w:ascii="Times New Roman" w:hAnsi="Times New Roman" w:cs="Times New Roman"/>
                <w:lang w:val="en-US"/>
              </w:rPr>
            </w:pPr>
            <w:r w:rsidRPr="00C461E5">
              <w:rPr>
                <w:rFonts w:ascii="Times New Roman" w:hAnsi="Times New Roman" w:cs="Times New Roman"/>
                <w:lang w:val="en-US"/>
              </w:rPr>
              <w:t>Radiographic data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Lateral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tibial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attrition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(0)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(1)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Lateral femoral sclerosis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(0)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(1)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(0)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femoral sclerosis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 (2)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(2)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 (2)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Lateral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tibial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sclerosis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 (1)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(1)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 (7)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tibial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sclerosis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yes(%)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 (3)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 (5)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109 (14)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$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Lateral joint space narrowing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(0-2)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lastRenderedPageBreak/>
              <w:t>$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joint space narrowing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$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Lateral femoral osteophyte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$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femoral osteophyte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(0-3)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$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Lateral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tibial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osteophyte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</w:tr>
      <w:tr w:rsidR="00572EF0" w:rsidRPr="00671F36" w:rsidTr="00F243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 w:rsidRPr="00321544">
              <w:rPr>
                <w:rFonts w:ascii="Times New Roman" w:hAnsi="Times New Roman" w:cs="Times New Roman"/>
                <w:b w:val="0"/>
                <w:vertAlign w:val="superscript"/>
                <w:lang w:val="en-US"/>
              </w:rPr>
              <w:t>$</w:t>
            </w:r>
            <w:proofErr w:type="spellStart"/>
            <w:r>
              <w:rPr>
                <w:rFonts w:ascii="Times New Roman" w:hAnsi="Times New Roman" w:cs="Times New Roman"/>
                <w:b w:val="0"/>
                <w:lang w:val="en-US"/>
              </w:rPr>
              <w:t>Median</w:t>
            </w:r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proofErr w:type="spellStart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>tibial</w:t>
            </w:r>
            <w:proofErr w:type="spellEnd"/>
            <w:r w:rsidRPr="00671F36">
              <w:rPr>
                <w:rFonts w:ascii="Times New Roman" w:hAnsi="Times New Roman" w:cs="Times New Roman"/>
                <w:b w:val="0"/>
                <w:lang w:val="en-US"/>
              </w:rPr>
              <w:t xml:space="preserve"> osteophyte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, median(range)</w:t>
            </w:r>
          </w:p>
        </w:tc>
        <w:tc>
          <w:tcPr>
            <w:tcW w:w="194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70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895" w:type="dxa"/>
            <w:vAlign w:val="center"/>
          </w:tcPr>
          <w:p w:rsidR="00572EF0" w:rsidRPr="00671F36" w:rsidRDefault="00572EF0" w:rsidP="00F243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</w:tr>
      <w:tr w:rsidR="00572EF0" w:rsidRPr="00671F36" w:rsidTr="00F24311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KL grades, median(range)</w:t>
            </w:r>
          </w:p>
        </w:tc>
        <w:tc>
          <w:tcPr>
            <w:tcW w:w="1945" w:type="dxa"/>
            <w:tcBorders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(0-3)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572EF0" w:rsidRPr="00671F36" w:rsidRDefault="00572EF0" w:rsidP="00F243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(0-3)</w:t>
            </w:r>
          </w:p>
        </w:tc>
      </w:tr>
    </w:tbl>
    <w:p w:rsidR="00572EF0" w:rsidRDefault="00572EF0" w:rsidP="00572EF0">
      <w:pPr>
        <w:rPr>
          <w:rFonts w:ascii="Times New Roman" w:hAnsi="Times New Roman" w:cs="Times New Roman"/>
          <w:lang w:val="en-US"/>
        </w:rPr>
      </w:pP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BMI, </w:t>
      </w:r>
      <w:r w:rsidRPr="00FE7C4F">
        <w:rPr>
          <w:rFonts w:ascii="Times New Roman" w:hAnsi="Times New Roman" w:cs="Times New Roman"/>
          <w:lang w:val="en-US"/>
        </w:rPr>
        <w:t>body mass index</w:t>
      </w:r>
      <w:r>
        <w:rPr>
          <w:rFonts w:ascii="Times New Roman" w:hAnsi="Times New Roman" w:cs="Times New Roman"/>
          <w:lang w:val="en-US"/>
        </w:rPr>
        <w:t xml:space="preserve">; WOMAC, </w:t>
      </w:r>
      <w:r w:rsidRPr="00FE7C4F">
        <w:rPr>
          <w:rFonts w:ascii="Times New Roman" w:hAnsi="Times New Roman" w:cs="Times New Roman"/>
          <w:lang w:val="en-US"/>
        </w:rPr>
        <w:t>Western Ontario and McMaster Universities Osteoarthritis Index</w:t>
      </w:r>
      <w:r>
        <w:rPr>
          <w:rFonts w:ascii="Times New Roman" w:hAnsi="Times New Roman" w:cs="Times New Roman"/>
          <w:lang w:val="en-US"/>
        </w:rPr>
        <w:t xml:space="preserve">; </w:t>
      </w:r>
      <w:r w:rsidRPr="00671F36">
        <w:rPr>
          <w:rFonts w:ascii="Times New Roman" w:hAnsi="Times New Roman" w:cs="Times New Roman"/>
          <w:lang w:val="en-US"/>
        </w:rPr>
        <w:t>NRS</w:t>
      </w:r>
      <w:r>
        <w:rPr>
          <w:rFonts w:ascii="Times New Roman" w:hAnsi="Times New Roman" w:cs="Times New Roman"/>
          <w:lang w:val="en-US"/>
        </w:rPr>
        <w:t>,</w:t>
      </w:r>
      <w:r w:rsidRPr="00FE7C4F">
        <w:rPr>
          <w:lang w:val="en-US"/>
        </w:rPr>
        <w:t xml:space="preserve"> </w:t>
      </w:r>
      <w:r w:rsidRPr="00FE7C4F">
        <w:rPr>
          <w:rFonts w:ascii="Times New Roman" w:hAnsi="Times New Roman" w:cs="Times New Roman"/>
          <w:lang w:val="en-US"/>
        </w:rPr>
        <w:t>numeric rating scale</w:t>
      </w:r>
      <w:r>
        <w:rPr>
          <w:rFonts w:ascii="Times New Roman" w:hAnsi="Times New Roman" w:cs="Times New Roman"/>
          <w:lang w:val="en-US"/>
        </w:rPr>
        <w:t xml:space="preserve">; </w:t>
      </w:r>
      <w:r w:rsidRPr="000E20FF">
        <w:rPr>
          <w:rFonts w:ascii="Times New Roman" w:hAnsi="Times New Roman" w:cs="Times New Roman"/>
          <w:lang w:val="en-US"/>
        </w:rPr>
        <w:t>ROM, range of motion; COPD, chronic obstructive pulmonary disease;</w:t>
      </w:r>
      <w:r>
        <w:rPr>
          <w:rFonts w:ascii="Times New Roman" w:hAnsi="Times New Roman" w:cs="Times New Roman"/>
          <w:lang w:val="en-US"/>
        </w:rPr>
        <w:t xml:space="preserve"> KL, </w:t>
      </w:r>
      <w:proofErr w:type="spellStart"/>
      <w:r w:rsidRPr="00E202EA">
        <w:rPr>
          <w:rFonts w:ascii="Times New Roman" w:hAnsi="Times New Roman" w:cs="Times New Roman"/>
          <w:lang w:val="en-US"/>
        </w:rPr>
        <w:t>Kellgren</w:t>
      </w:r>
      <w:proofErr w:type="spellEnd"/>
      <w:r w:rsidRPr="00E202EA">
        <w:rPr>
          <w:rFonts w:ascii="Times New Roman" w:hAnsi="Times New Roman" w:cs="Times New Roman"/>
          <w:lang w:val="en-US"/>
        </w:rPr>
        <w:t xml:space="preserve"> &amp; Lawrence</w:t>
      </w:r>
      <w:r>
        <w:rPr>
          <w:rFonts w:ascii="Times New Roman" w:hAnsi="Times New Roman" w:cs="Times New Roman"/>
          <w:lang w:val="en-US"/>
        </w:rPr>
        <w:t>.</w:t>
      </w:r>
    </w:p>
    <w:p w:rsidR="00572EF0" w:rsidRPr="00E202EA" w:rsidRDefault="00572EF0" w:rsidP="00572EF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For the knees, which had taken replacement surgery, would be presented as ‘knee replacement’ instead of  presenting radiographic scores. Totally, 3% of knees had joint replacement surgery in this cohort after 10-year follow up.</w:t>
      </w: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 w:rsidRPr="00AC5AC5">
        <w:rPr>
          <w:rFonts w:ascii="Times New Roman" w:hAnsi="Times New Roman" w:cs="Times New Roman"/>
          <w:vertAlign w:val="superscript"/>
          <w:lang w:val="en-US"/>
        </w:rPr>
        <w:t>#</w:t>
      </w:r>
      <w:r>
        <w:rPr>
          <w:rFonts w:ascii="Times New Roman" w:hAnsi="Times New Roman" w:cs="Times New Roman"/>
          <w:lang w:val="en-US"/>
        </w:rPr>
        <w:t>Education level: 1.</w:t>
      </w:r>
      <w:r w:rsidRPr="00B1409C">
        <w:rPr>
          <w:lang w:val="en-US"/>
        </w:rPr>
        <w:t xml:space="preserve"> </w:t>
      </w:r>
      <w:r w:rsidRPr="00B1409C">
        <w:rPr>
          <w:rFonts w:ascii="Times New Roman" w:hAnsi="Times New Roman" w:cs="Times New Roman"/>
          <w:lang w:val="en-US"/>
        </w:rPr>
        <w:t>no school/ primary school</w:t>
      </w:r>
      <w:r>
        <w:rPr>
          <w:rFonts w:ascii="Times New Roman" w:hAnsi="Times New Roman" w:cs="Times New Roman"/>
          <w:lang w:val="en-US"/>
        </w:rPr>
        <w:t>; 2.</w:t>
      </w:r>
      <w:r w:rsidRPr="00B1409C">
        <w:rPr>
          <w:lang w:val="en-US"/>
        </w:rPr>
        <w:t xml:space="preserve"> </w:t>
      </w:r>
      <w:r w:rsidRPr="00B1409C">
        <w:rPr>
          <w:rFonts w:ascii="Times New Roman" w:hAnsi="Times New Roman" w:cs="Times New Roman"/>
          <w:lang w:val="en-US"/>
        </w:rPr>
        <w:t>basic vocational education</w:t>
      </w:r>
      <w:r>
        <w:rPr>
          <w:rFonts w:ascii="Times New Roman" w:hAnsi="Times New Roman" w:cs="Times New Roman"/>
          <w:lang w:val="en-US"/>
        </w:rPr>
        <w:t>;3.</w:t>
      </w:r>
      <w:r w:rsidRPr="00B1409C">
        <w:rPr>
          <w:lang w:val="en-US"/>
        </w:rPr>
        <w:t xml:space="preserve"> </w:t>
      </w:r>
      <w:r w:rsidRPr="00B1409C">
        <w:rPr>
          <w:rFonts w:ascii="Times New Roman" w:hAnsi="Times New Roman" w:cs="Times New Roman"/>
          <w:lang w:val="en-US"/>
        </w:rPr>
        <w:t>secondary education</w:t>
      </w:r>
      <w:r>
        <w:rPr>
          <w:rFonts w:ascii="Times New Roman" w:hAnsi="Times New Roman" w:cs="Times New Roman"/>
          <w:lang w:val="en-US"/>
        </w:rPr>
        <w:t>; 4.</w:t>
      </w:r>
      <w:r w:rsidRPr="00B1409C">
        <w:rPr>
          <w:lang w:val="en-US"/>
        </w:rPr>
        <w:t xml:space="preserve"> </w:t>
      </w:r>
      <w:r w:rsidRPr="00B1409C">
        <w:rPr>
          <w:rFonts w:ascii="Times New Roman" w:hAnsi="Times New Roman" w:cs="Times New Roman"/>
          <w:lang w:val="en-US"/>
        </w:rPr>
        <w:t>secondary vocational education</w:t>
      </w:r>
      <w:r>
        <w:rPr>
          <w:rFonts w:ascii="Times New Roman" w:hAnsi="Times New Roman" w:cs="Times New Roman"/>
          <w:lang w:val="en-US"/>
        </w:rPr>
        <w:t>; 5. h</w:t>
      </w:r>
      <w:r w:rsidRPr="00B1409C">
        <w:rPr>
          <w:rFonts w:ascii="Times New Roman" w:hAnsi="Times New Roman" w:cs="Times New Roman"/>
          <w:lang w:val="en-US"/>
        </w:rPr>
        <w:t>igher  and university preparatory education</w:t>
      </w:r>
      <w:r>
        <w:rPr>
          <w:rFonts w:ascii="Times New Roman" w:hAnsi="Times New Roman" w:cs="Times New Roman"/>
          <w:lang w:val="en-US"/>
        </w:rPr>
        <w:t xml:space="preserve">; 6. </w:t>
      </w:r>
      <w:r w:rsidRPr="00B1409C">
        <w:rPr>
          <w:rFonts w:ascii="Times New Roman" w:hAnsi="Times New Roman" w:cs="Times New Roman"/>
          <w:lang w:val="en-US"/>
        </w:rPr>
        <w:t>higher professional education</w:t>
      </w:r>
      <w:r>
        <w:rPr>
          <w:rFonts w:ascii="Times New Roman" w:hAnsi="Times New Roman" w:cs="Times New Roman"/>
          <w:lang w:val="en-US"/>
        </w:rPr>
        <w:t>; 7.</w:t>
      </w:r>
      <w:r w:rsidRPr="00B1409C">
        <w:rPr>
          <w:lang w:val="en-US"/>
        </w:rPr>
        <w:t xml:space="preserve"> </w:t>
      </w:r>
      <w:r w:rsidRPr="00B1409C">
        <w:rPr>
          <w:rFonts w:ascii="Times New Roman" w:hAnsi="Times New Roman" w:cs="Times New Roman"/>
          <w:lang w:val="en-US"/>
        </w:rPr>
        <w:t>University</w:t>
      </w:r>
      <w:r>
        <w:rPr>
          <w:rFonts w:ascii="Times New Roman" w:hAnsi="Times New Roman" w:cs="Times New Roman"/>
          <w:lang w:val="en-US"/>
        </w:rPr>
        <w:t>.</w:t>
      </w: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* </w:t>
      </w:r>
      <w:r w:rsidRPr="00645A26">
        <w:rPr>
          <w:rFonts w:ascii="Times New Roman" w:hAnsi="Times New Roman" w:cs="Times New Roman"/>
          <w:lang w:val="en-US"/>
        </w:rPr>
        <w:t>WOMAC sub</w:t>
      </w:r>
      <w:r>
        <w:rPr>
          <w:rFonts w:ascii="Times New Roman" w:hAnsi="Times New Roman" w:cs="Times New Roman"/>
          <w:lang w:val="en-US"/>
        </w:rPr>
        <w:t>-</w:t>
      </w:r>
      <w:r w:rsidRPr="00645A26">
        <w:rPr>
          <w:rFonts w:ascii="Times New Roman" w:hAnsi="Times New Roman" w:cs="Times New Roman"/>
          <w:lang w:val="en-US"/>
        </w:rPr>
        <w:t>scores</w:t>
      </w:r>
      <w:r>
        <w:rPr>
          <w:rFonts w:ascii="Times New Roman" w:hAnsi="Times New Roman" w:cs="Times New Roman"/>
          <w:lang w:val="en-US"/>
        </w:rPr>
        <w:t xml:space="preserve">: 1.No;2.low;3.mediocre;4. a lot;5.extreme. </w:t>
      </w: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vertAlign w:val="superscript"/>
          <w:lang w:val="en-US"/>
        </w:rPr>
        <w:t xml:space="preserve">§ </w:t>
      </w:r>
      <w:r w:rsidRPr="00132A9E">
        <w:rPr>
          <w:rFonts w:ascii="Times New Roman" w:hAnsi="Times New Roman" w:cs="Times New Roman"/>
          <w:lang w:val="en-US"/>
        </w:rPr>
        <w:t>Pain level</w:t>
      </w:r>
      <w:r>
        <w:rPr>
          <w:rFonts w:ascii="Times New Roman" w:hAnsi="Times New Roman" w:cs="Times New Roman"/>
          <w:lang w:val="en-US"/>
        </w:rPr>
        <w:t>: 1.no pain; 2.mildly; 3.severely; 4.extremely.</w:t>
      </w: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 w:rsidRPr="000A62A8">
        <w:rPr>
          <w:rFonts w:ascii="Times New Roman" w:hAnsi="Times New Roman" w:cs="Times New Roman"/>
          <w:b/>
          <w:vertAlign w:val="superscript"/>
          <w:lang w:val="en-US"/>
        </w:rPr>
        <w:t>¶</w:t>
      </w:r>
      <w:r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Smoking level:</w:t>
      </w:r>
      <w:r>
        <w:rPr>
          <w:rFonts w:ascii="Times New Roman" w:hAnsi="Times New Roman" w:cs="Times New Roman"/>
          <w:lang w:val="en-US"/>
        </w:rPr>
        <w:t xml:space="preserve"> 1.</w:t>
      </w:r>
      <w:r w:rsidRPr="000A62A8">
        <w:rPr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No, I have never smoked</w:t>
      </w:r>
      <w:r>
        <w:rPr>
          <w:rFonts w:ascii="Times New Roman" w:hAnsi="Times New Roman" w:cs="Times New Roman"/>
          <w:lang w:val="en-US"/>
        </w:rPr>
        <w:t>; 2.</w:t>
      </w:r>
      <w:r w:rsidRPr="000A62A8">
        <w:rPr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No, but I used to smoke occasionally</w:t>
      </w:r>
      <w:r>
        <w:rPr>
          <w:rFonts w:ascii="Times New Roman" w:hAnsi="Times New Roman" w:cs="Times New Roman"/>
          <w:lang w:val="en-US"/>
        </w:rPr>
        <w:t>;3.</w:t>
      </w:r>
      <w:r w:rsidRPr="000A62A8">
        <w:rPr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No, but I used to smoke every day</w:t>
      </w:r>
      <w:r>
        <w:rPr>
          <w:rFonts w:ascii="Times New Roman" w:hAnsi="Times New Roman" w:cs="Times New Roman"/>
          <w:lang w:val="en-US"/>
        </w:rPr>
        <w:t>;4.</w:t>
      </w:r>
      <w:r w:rsidRPr="000A62A8">
        <w:rPr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Yes, I smoke occasionally</w:t>
      </w:r>
      <w:r>
        <w:rPr>
          <w:rFonts w:ascii="Times New Roman" w:hAnsi="Times New Roman" w:cs="Times New Roman"/>
          <w:lang w:val="en-US"/>
        </w:rPr>
        <w:t>;5.</w:t>
      </w:r>
      <w:r w:rsidRPr="00321544">
        <w:rPr>
          <w:lang w:val="en-US"/>
        </w:rPr>
        <w:t xml:space="preserve"> </w:t>
      </w:r>
      <w:r w:rsidRPr="000A62A8">
        <w:rPr>
          <w:rFonts w:ascii="Times New Roman" w:hAnsi="Times New Roman" w:cs="Times New Roman"/>
          <w:lang w:val="en-US"/>
        </w:rPr>
        <w:t>Yes, I smoke every day</w:t>
      </w:r>
      <w:r>
        <w:rPr>
          <w:rFonts w:ascii="Times New Roman" w:hAnsi="Times New Roman" w:cs="Times New Roman"/>
          <w:lang w:val="en-US"/>
        </w:rPr>
        <w:t>.</w:t>
      </w:r>
    </w:p>
    <w:p w:rsidR="00572EF0" w:rsidRDefault="00572EF0" w:rsidP="00572EF0">
      <w:pPr>
        <w:rPr>
          <w:rFonts w:ascii="Times New Roman" w:hAnsi="Times New Roman" w:cs="Times New Roman"/>
          <w:lang w:val="en-US"/>
        </w:rPr>
      </w:pPr>
      <w:r w:rsidRPr="00321544">
        <w:rPr>
          <w:rFonts w:ascii="Times New Roman" w:hAnsi="Times New Roman" w:cs="Times New Roman"/>
          <w:b/>
          <w:vertAlign w:val="superscript"/>
          <w:lang w:val="en-US"/>
        </w:rPr>
        <w:t>$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321544">
        <w:rPr>
          <w:rFonts w:ascii="Times New Roman" w:hAnsi="Times New Roman" w:cs="Times New Roman"/>
          <w:lang w:val="en-US"/>
        </w:rPr>
        <w:t>According to</w:t>
      </w:r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E202EA">
        <w:rPr>
          <w:rFonts w:ascii="Times New Roman" w:hAnsi="Times New Roman" w:cs="Times New Roman"/>
          <w:lang w:val="en-US"/>
        </w:rPr>
        <w:t>Kellgren</w:t>
      </w:r>
      <w:proofErr w:type="spellEnd"/>
      <w:r w:rsidRPr="00E202EA">
        <w:rPr>
          <w:rFonts w:ascii="Times New Roman" w:hAnsi="Times New Roman" w:cs="Times New Roman"/>
          <w:lang w:val="en-US"/>
        </w:rPr>
        <w:t xml:space="preserve"> &amp; Lawrence</w:t>
      </w:r>
      <w:r>
        <w:rPr>
          <w:rFonts w:ascii="Times New Roman" w:hAnsi="Times New Roman" w:cs="Times New Roman"/>
          <w:lang w:val="en-US"/>
        </w:rPr>
        <w:t xml:space="preserve"> scoring system.</w:t>
      </w:r>
    </w:p>
    <w:p w:rsidR="00CF4D75" w:rsidRPr="00572EF0" w:rsidRDefault="00CF4D75">
      <w:pPr>
        <w:rPr>
          <w:lang w:val="en-US"/>
        </w:rPr>
      </w:pPr>
    </w:p>
    <w:sectPr w:rsidR="00CF4D75" w:rsidRPr="00572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D8"/>
    <w:rsid w:val="00572EF0"/>
    <w:rsid w:val="00705247"/>
    <w:rsid w:val="009201D8"/>
    <w:rsid w:val="00C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3110B"/>
  <w15:chartTrackingRefBased/>
  <w15:docId w15:val="{F41999D8-0603-46B8-9B67-D0E216ED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572E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5028</Characters>
  <Application>Microsoft Office Word</Application>
  <DocSecurity>0</DocSecurity>
  <Lines>41</Lines>
  <Paragraphs>11</Paragraphs>
  <ScaleCrop>false</ScaleCrop>
  <Company>Erasmus MC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Q. Wang</dc:creator>
  <cp:keywords/>
  <dc:description/>
  <cp:lastModifiedBy>Q. Wang</cp:lastModifiedBy>
  <cp:revision>3</cp:revision>
  <dcterms:created xsi:type="dcterms:W3CDTF">2020-06-21T10:12:00Z</dcterms:created>
  <dcterms:modified xsi:type="dcterms:W3CDTF">2020-10-20T12:18:00Z</dcterms:modified>
</cp:coreProperties>
</file>