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C162B" w14:textId="2FAC6126" w:rsidR="005B2944" w:rsidRDefault="005B2944" w:rsidP="005B2944">
      <w:pPr>
        <w:pStyle w:val="MDPI21heading1"/>
      </w:pPr>
      <w:r>
        <w:t>Supplement</w:t>
      </w:r>
      <w:r w:rsidR="00C34049">
        <w:t>a</w:t>
      </w:r>
      <w:r w:rsidR="0002147C">
        <w:t>ry</w:t>
      </w:r>
      <w:bookmarkStart w:id="0" w:name="_GoBack"/>
      <w:bookmarkEnd w:id="0"/>
      <w:r w:rsidR="00C34049">
        <w:t xml:space="preserve"> File</w:t>
      </w:r>
      <w:r>
        <w:t xml:space="preserve"> 1 </w:t>
      </w:r>
    </w:p>
    <w:p w14:paraId="1FFB2E6A" w14:textId="77777777" w:rsidR="005B2944" w:rsidRPr="000244D6" w:rsidRDefault="005B2944" w:rsidP="005B2944">
      <w:pPr>
        <w:pStyle w:val="MDPI21heading1"/>
        <w:rPr>
          <w:lang w:val="en-GB"/>
        </w:rPr>
      </w:pPr>
      <w:r w:rsidRPr="000244D6">
        <w:rPr>
          <w:lang w:val="en-GB"/>
        </w:rPr>
        <w:t xml:space="preserve">Extended description of the methods used to quantify the number of </w:t>
      </w:r>
      <w:r w:rsidRPr="000244D6">
        <w:rPr>
          <w:iCs/>
          <w:lang w:val="en-GB"/>
        </w:rPr>
        <w:t>M. smithii</w:t>
      </w:r>
      <w:r w:rsidRPr="000244D6">
        <w:rPr>
          <w:lang w:val="en-GB"/>
        </w:rPr>
        <w:t xml:space="preserve"> in </w:t>
      </w:r>
      <w:proofErr w:type="spellStart"/>
      <w:r w:rsidRPr="000244D6">
        <w:rPr>
          <w:lang w:val="en-GB"/>
        </w:rPr>
        <w:t>fecal</w:t>
      </w:r>
      <w:proofErr w:type="spellEnd"/>
      <w:r w:rsidRPr="000244D6">
        <w:rPr>
          <w:lang w:val="en-GB"/>
        </w:rPr>
        <w:t xml:space="preserve"> samples. </w:t>
      </w:r>
    </w:p>
    <w:p w14:paraId="0230543B" w14:textId="77777777" w:rsidR="005B2944" w:rsidRPr="000244D6" w:rsidRDefault="005B2944" w:rsidP="005B2944">
      <w:pPr>
        <w:pStyle w:val="MDPI22heading2"/>
        <w:rPr>
          <w:lang w:val="en-GB"/>
        </w:rPr>
      </w:pPr>
      <w:r>
        <w:rPr>
          <w:color w:val="FFFFFF" w:themeColor="background1"/>
          <w:lang w:val="en-GB"/>
        </w:rPr>
        <w:t>3.1.1.</w:t>
      </w:r>
      <w:r w:rsidRPr="000244D6">
        <w:rPr>
          <w:lang w:val="en-GB"/>
        </w:rPr>
        <w:t>DNA isolation from faeces.</w:t>
      </w:r>
    </w:p>
    <w:p w14:paraId="131C05FF" w14:textId="42288609" w:rsidR="005B2944" w:rsidRPr="000244D6" w:rsidRDefault="005B2944" w:rsidP="005B2944">
      <w:pPr>
        <w:pStyle w:val="MDPI31text"/>
        <w:rPr>
          <w:lang w:val="en-GB"/>
        </w:rPr>
      </w:pPr>
      <w:r w:rsidRPr="000244D6">
        <w:rPr>
          <w:lang w:val="en-GB"/>
        </w:rPr>
        <w:t xml:space="preserve">DNA from faecal samples was isolated using the RBB and Qiagen method, also known as the double bead-beater method, it was adapted from Yu </w:t>
      </w:r>
      <w:r w:rsidRPr="000244D6">
        <w:rPr>
          <w:i/>
          <w:iCs/>
          <w:lang w:val="en-GB"/>
        </w:rPr>
        <w:t>et al</w:t>
      </w:r>
      <w:r w:rsidRPr="000244D6">
        <w:rPr>
          <w:lang w:val="en-GB"/>
        </w:rPr>
        <w:t xml:space="preserve">. </w:t>
      </w:r>
      <w:r w:rsidRPr="000244D6">
        <w:rPr>
          <w:rFonts w:cstheme="minorHAnsi"/>
          <w:lang w:val="en-GB" w:eastAsia="nl-NL"/>
        </w:rPr>
        <w:t xml:space="preserve">with modifications described by de </w:t>
      </w:r>
      <w:proofErr w:type="spellStart"/>
      <w:r w:rsidRPr="000244D6">
        <w:rPr>
          <w:rFonts w:cstheme="minorHAnsi"/>
          <w:lang w:val="en-GB" w:eastAsia="nl-NL"/>
        </w:rPr>
        <w:t>Goffau</w:t>
      </w:r>
      <w:proofErr w:type="spellEnd"/>
      <w:r w:rsidRPr="000244D6">
        <w:rPr>
          <w:rFonts w:cstheme="minorHAnsi"/>
          <w:lang w:val="en-GB" w:eastAsia="nl-NL"/>
        </w:rPr>
        <w:t xml:space="preserve"> </w:t>
      </w:r>
      <w:r w:rsidRPr="000244D6">
        <w:rPr>
          <w:rFonts w:cstheme="minorHAnsi"/>
          <w:i/>
          <w:iCs/>
          <w:lang w:val="en-GB" w:eastAsia="nl-NL"/>
        </w:rPr>
        <w:t>et al</w:t>
      </w:r>
      <w:r w:rsidRPr="000244D6">
        <w:rPr>
          <w:rFonts w:cstheme="minorHAnsi"/>
          <w:lang w:val="en-GB" w:eastAsia="nl-NL"/>
        </w:rPr>
        <w:t xml:space="preserve">. </w:t>
      </w:r>
      <w:r w:rsidRPr="000244D6">
        <w:rPr>
          <w:lang w:val="en-GB"/>
        </w:rPr>
        <w:fldChar w:fldCharType="begin" w:fldLock="1"/>
      </w:r>
      <w:r w:rsidR="009818F0">
        <w:rPr>
          <w:lang w:val="en-GB"/>
        </w:rPr>
        <w:instrText>ADDIN CSL_CITATION {"citationItems":[{"id":"ITEM-1","itemData":{"DOI":"10.2144/3605A0808","ISBN":"0736-6205 (Print)\\r0736-6205 (Linking)","ISSN":"07366205","PMID":"15152600","abstract":"Several DNA extraction methods have been reported for use with digesta or fecal samples, but problems are often encountered in terms of relatively low DNA yields and/or recovering DNA free of inhibitory substances. Here we report a modified method to extract PCR-quality microbial community DNA from these types of samples, which employs bead beating in the presence of high concentrations of sodium dodecyl sulfate (SDS), salt, and EDTA, and with subsequent DNA purification by QIAamp columns [referred to as repeated bead beating plus column (RBB + C) method]. The RBB + C method resulted in a 1.5- to 6-fold increase in DNA yield when compared to three other widely used methods. The community DNA prepared with the RBB + C method was also free of inhibitory substances and resulted in improved denaturing gradient gel electrophoresis (DGGE) profiles, which is indicative of a more complete lysis and representation of microbial diversity present in such samples.","author":[{"dropping-particle":"","family":"Yu","given":"Zhongtang","non-dropping-particle":"","parse-names":false,"suffix":""},{"dropping-particle":"","family":"Morrison","given":"Mark","non-dropping-particle":"","parse-names":false,"suffix":""}],"container-title":"BioTechniques","id":"ITEM-1","issue":"5","issued":{"date-parts":[["2004"]]},"page":"808-812","title":"Improved extraction of PCR-quality community DNA from digesta and fecal samples","type":"article-journal","volume":"36"},"uris":["http://www.mendeley.com/documents/?uuid=56aa78a1-df6a-4325-9077-3cf0e31a52ba"]},{"id":"ITEM-2","itemData":{"DOI":"10.2337/db12-0526.","author":[{"dropping-particle":"De","family":"Goffau","given":"Marcus C","non-dropping-particle":"","parse-names":false,"suffix":""},{"dropping-particle":"","family":"Luopajärvi","given":"Kristiina","non-dropping-particle":"","parse-names":false,"suffix":""},{"dropping-particle":"","family":"Knip","given":"Mikael","non-dropping-particle":"","parse-names":false,"suffix":""},{"dropping-particle":"","family":"Ilonen","given":"Jorma","non-dropping-particle":"","parse-names":false,"suffix":""},{"dropping-particle":"","family":"Ruohtula","given":"Terhi","non-dropping-particle":"","parse-names":false,"suffix":""},{"dropping-particle":"","family":"Härkönen","given":"Taina","non-dropping-particle":"","parse-names":false,"suffix":""},{"dropping-particle":"","family":"Orivuori","given":"Laura","non-dropping-particle":"","parse-names":false,"suffix":""},{"dropping-particle":"","family":"Hakala","given":"Saara","non-dropping-particle":"","parse-names":false,"suffix":""},{"dropping-particle":"","family":"Welling","given":"Gjalt W","non-dropping-particle":"","parse-names":false,"suffix":""},{"dropping-particle":"","family":"Harmsen","given":"Hermie J","non-dropping-particle":"","parse-names":false,"suffix":""}],"container-title":"Diabetes","id":"ITEM-2","issued":{"date-parts":[["2013"]]},"page":"1238-1244","title":"Fecal Microbiota Composition Differs Between Children With b -Cell Autoimmunity and Those Without","type":"article-journal","volume":"62"},"uris":["http://www.mendeley.com/documents/?uuid=908c7ceb-5e02-4279-a44b-709bc3e5c052"]}],"mendeley":{"formattedCitation":"[1,2]","plainTextFormattedCitation":"[1,2]","previouslyFormattedCitation":"[19,20]"},"properties":{"noteIndex":0},"schema":"https://github.com/citation-style-language/schema/raw/master/csl-citation.json"}</w:instrText>
      </w:r>
      <w:r w:rsidRPr="000244D6">
        <w:rPr>
          <w:lang w:val="en-GB"/>
        </w:rPr>
        <w:fldChar w:fldCharType="separate"/>
      </w:r>
      <w:r w:rsidR="009818F0" w:rsidRPr="009818F0">
        <w:rPr>
          <w:noProof/>
          <w:lang w:val="en-GB"/>
        </w:rPr>
        <w:t>[1,2]</w:t>
      </w:r>
      <w:r w:rsidRPr="000244D6">
        <w:rPr>
          <w:lang w:val="en-GB"/>
        </w:rPr>
        <w:fldChar w:fldCharType="end"/>
      </w:r>
      <w:r w:rsidRPr="000244D6">
        <w:rPr>
          <w:lang w:val="en-GB"/>
        </w:rPr>
        <w:t>. 0.25 g of faecal sample was weighed in a screw-cap tube with 4 glass beads of 4mm and a total of 0.5 gram of 0.1 and 0.5 mm Silica/Zirconia beads (</w:t>
      </w:r>
      <w:proofErr w:type="spellStart"/>
      <w:r w:rsidRPr="000244D6">
        <w:rPr>
          <w:lang w:val="en-GB"/>
        </w:rPr>
        <w:t>BioSpec</w:t>
      </w:r>
      <w:proofErr w:type="spellEnd"/>
      <w:r w:rsidRPr="000244D6">
        <w:rPr>
          <w:lang w:val="en-GB"/>
        </w:rPr>
        <w:t xml:space="preserve">), to which 1 ml of Lysis buffer(500mM NaCl, 50 mM Tris-HCL, 0.5 M EDTA, 10% SDS and </w:t>
      </w:r>
      <w:proofErr w:type="spellStart"/>
      <w:r w:rsidRPr="000244D6">
        <w:rPr>
          <w:lang w:val="en-GB"/>
        </w:rPr>
        <w:t>MilliQ</w:t>
      </w:r>
      <w:proofErr w:type="spellEnd"/>
      <w:r w:rsidRPr="000244D6">
        <w:rPr>
          <w:lang w:val="en-GB"/>
        </w:rPr>
        <w:t>) was added. Samples were treated by bead beating (</w:t>
      </w:r>
      <w:proofErr w:type="spellStart"/>
      <w:r w:rsidRPr="000244D6">
        <w:rPr>
          <w:lang w:val="en-GB"/>
        </w:rPr>
        <w:t>Precellys</w:t>
      </w:r>
      <w:proofErr w:type="spellEnd"/>
      <w:r w:rsidRPr="000244D6">
        <w:rPr>
          <w:lang w:val="en-GB"/>
        </w:rPr>
        <w:t xml:space="preserve"> 24, </w:t>
      </w:r>
      <w:proofErr w:type="spellStart"/>
      <w:r w:rsidRPr="000244D6">
        <w:rPr>
          <w:lang w:val="en-GB"/>
        </w:rPr>
        <w:t>Bertan</w:t>
      </w:r>
      <w:proofErr w:type="spellEnd"/>
      <w:r w:rsidRPr="000244D6">
        <w:rPr>
          <w:lang w:val="en-GB"/>
        </w:rPr>
        <w:t xml:space="preserve"> Technologies) at 5.5 </w:t>
      </w:r>
      <w:proofErr w:type="spellStart"/>
      <w:r w:rsidRPr="000244D6">
        <w:rPr>
          <w:lang w:val="en-GB"/>
        </w:rPr>
        <w:t>ms</w:t>
      </w:r>
      <w:proofErr w:type="spellEnd"/>
      <w:r w:rsidRPr="000244D6">
        <w:rPr>
          <w:lang w:val="en-GB"/>
        </w:rPr>
        <w:t xml:space="preserve"> for 3 times 1 minute, with 30 sec pauses in between. Afterwards the samples were heated at 95°C for 15 minutes and shaken every 5 minutes. The samples were then put on ice for 5 minutes and centrifuged at 4°C for 5 minutes at full speed. The supernatant was transferred into a new Eppendorf tube and 300 µl lysis buffer was added to the screw-cap tubes, after which the bead beating steps were repeated and the supernatants were pooled. The </w:t>
      </w:r>
      <w:proofErr w:type="spellStart"/>
      <w:r w:rsidRPr="000244D6">
        <w:rPr>
          <w:lang w:val="en-GB"/>
        </w:rPr>
        <w:t>QIAamp</w:t>
      </w:r>
      <w:proofErr w:type="spellEnd"/>
      <w:r w:rsidRPr="000244D6">
        <w:rPr>
          <w:lang w:val="en-GB"/>
        </w:rPr>
        <w:t xml:space="preserve"> DNA stool mini kit from Qiagen was used for the clean-up of the DNA combined with ammonium acetate precipitation of </w:t>
      </w:r>
      <w:proofErr w:type="spellStart"/>
      <w:r w:rsidRPr="000244D6">
        <w:rPr>
          <w:lang w:val="en-GB"/>
        </w:rPr>
        <w:t>debri</w:t>
      </w:r>
      <w:proofErr w:type="spellEnd"/>
      <w:r w:rsidRPr="000244D6">
        <w:rPr>
          <w:lang w:val="en-GB"/>
        </w:rPr>
        <w:t xml:space="preserve">. In every sample one </w:t>
      </w:r>
      <w:proofErr w:type="spellStart"/>
      <w:r w:rsidRPr="000244D6">
        <w:rPr>
          <w:lang w:val="en-GB"/>
        </w:rPr>
        <w:t>InhibitEx</w:t>
      </w:r>
      <w:proofErr w:type="spellEnd"/>
      <w:r w:rsidRPr="000244D6">
        <w:rPr>
          <w:lang w:val="en-GB"/>
        </w:rPr>
        <w:t xml:space="preserve"> tablet from the kit and 260 µl of 10M ammonium acetate was added (Sigma-Aldrich). The samples were vortexed and incubated on ice for 5 minutes. Afterwards the samples were centrifuged at 4°C at full speed for 10 minutes. The supernatant was transferred to a new Eppendorf tube. Again 260 µl of ammonium acetate was added to the supernatant and the previous 2 steps were repeated.</w:t>
      </w:r>
    </w:p>
    <w:p w14:paraId="351EC1B6" w14:textId="44C001EA" w:rsidR="005B2944" w:rsidRPr="000244D6" w:rsidRDefault="005B2944" w:rsidP="005B2944">
      <w:pPr>
        <w:pStyle w:val="MDPI31text"/>
        <w:rPr>
          <w:lang w:val="en-GB"/>
        </w:rPr>
      </w:pPr>
      <w:r w:rsidRPr="000244D6">
        <w:rPr>
          <w:lang w:val="en-GB"/>
        </w:rPr>
        <w:t xml:space="preserve">The supernatant that was obtained was transferred to two Eppendorf tubes and the same volume of cold isopropanol was added. This was mixed and incubated on ice for 30 minutes. The samples were then centrifuged for 15 minutes at 4°C at full speed. The supernatant was removed by decanting and most of the moisture was removed by tapping. The pellet was washed with 500µl 70 % cold ethanol EtOH for 2 minutes. Afterwards, the pellet was dried to air with the cups upside down. Each pellet was dissolved in 100 µl of AE buffer from the kit and stored overnight at 4°C. The pellets are pooled together and two µl of DNase free RNase (500u Roche) was added to every sample. Secondly, they were incubated for 15 minutes at 37°C. Then 15 µl of proteinase K was added to every sample and mixed well. Afterwards 200 µl of Buffer AL was added and mixed and the samples were incubated at 70°C for 10 minutes thereafter the samples were then put on ice for 1 minute. Then 200 µl of -80°C 100% ETOH were added and mixed well. The samples were transferred to a </w:t>
      </w:r>
      <w:proofErr w:type="spellStart"/>
      <w:r w:rsidRPr="000244D6">
        <w:rPr>
          <w:lang w:val="en-GB"/>
        </w:rPr>
        <w:t>QIAmp</w:t>
      </w:r>
      <w:proofErr w:type="spellEnd"/>
      <w:r w:rsidRPr="000244D6">
        <w:rPr>
          <w:lang w:val="en-GB"/>
        </w:rPr>
        <w:t xml:space="preserve"> column and centrifuged for 1 minute at 4°C at full speed. The column was put in a new collection tube and 500 µl of Buffer AW1 was added. Again, the samples were centrifuged for 1 minute at 4°C at full speed. After this, the column was put in a new collection tube and 500 µl of Buffer AW2 was added and centrifuged for 1 minute at 4°C at full speed. The column was dried by centrifugation for 1 minute at 4°C and further dried by air for 1 minute Next 100 µl of Buffer AE was added to the columns and incubated for 1 minute. Afterwards the samples were centrifuged at full speed for 1 minute at 4°C. The elute was re-used by decanting back in the column and incubated for 1 minute and then centrifuged at full speed for 1 minute. The elute was put in an Eppendorf tube and the concentration of the DNA was measured with the Nanodrop-ND2000 (Thermo Scientific). The DNA was stored at -25°C </w:t>
      </w:r>
      <w:r w:rsidRPr="000244D6">
        <w:rPr>
          <w:lang w:val="en-GB"/>
        </w:rPr>
        <w:fldChar w:fldCharType="begin" w:fldLock="1"/>
      </w:r>
      <w:r w:rsidR="009818F0">
        <w:rPr>
          <w:lang w:val="en-GB"/>
        </w:rPr>
        <w:instrText>ADDIN CSL_CITATION {"citationItems":[{"id":"ITEM-1","itemData":{"DOI":"10.1128/genomea.00073-14","ISBN":"1471216497","ISSN":"2169-8287","abstract":"Methanobrevibacter oralis, an anaerobic methanogenic archaeon, has been previously isolated from the human oral cavity. Here, sequencing a stool isolate (strain JMR01) yielded a 2.065-Mb genome with a 27.78% G+C content containing a total of 2,042 open reading frames and 3 clusters of regularly interspaced short palindromic repeat (CRISPR) loci with associated Cas proteins.","author":[{"dropping-particle":"","family":"Khelaifia","given":"S.","non-dropping-particle":"","parse-names":false,"suffix":""},{"dropping-particle":"","family":"Garibal","given":"M.","non-dropping-particle":"","parse-names":false,"suffix":""},{"dropping-particle":"","family":"Robert","given":"C.","non-dropping-particle":"","parse-names":false,"suffix":""},{"dropping-particle":"","family":"Raoult","given":"D.","non-dropping-particle":"","parse-names":false,"suffix":""},{"dropping-particle":"","family":"Drancourt","given":"M.","non-dropping-particle":"","parse-names":false,"suffix":""}],"container-title":"Genome Announcements","id":"ITEM-1","issue":"1","issued":{"date-parts":[["2014"]]},"page":"2013-2014","title":"Draft Genome Sequencing of Methanobrevibacter oralis Strain JMR01, Isolated from the Human Intestinal Microbiota","type":"article-journal","volume":"2"},"uris":["http://www.mendeley.com/documents/?uuid=0f12848f-8eaa-47a0-8a95-eba7cdc470df"]}],"mendeley":{"formattedCitation":"[3]","plainTextFormattedCitation":"[3]","previouslyFormattedCitation":"[44]"},"properties":{"noteIndex":0},"schema":"https://github.com/citation-style-language/schema/raw/master/csl-citation.json"}</w:instrText>
      </w:r>
      <w:r w:rsidRPr="000244D6">
        <w:rPr>
          <w:lang w:val="en-GB"/>
        </w:rPr>
        <w:fldChar w:fldCharType="separate"/>
      </w:r>
      <w:r w:rsidR="009818F0" w:rsidRPr="009818F0">
        <w:rPr>
          <w:noProof/>
          <w:lang w:val="en-GB"/>
        </w:rPr>
        <w:t>[3]</w:t>
      </w:r>
      <w:r w:rsidRPr="000244D6">
        <w:rPr>
          <w:lang w:val="en-GB"/>
        </w:rPr>
        <w:fldChar w:fldCharType="end"/>
      </w:r>
      <w:r w:rsidRPr="000244D6">
        <w:rPr>
          <w:lang w:val="en-GB"/>
        </w:rPr>
        <w:t>.</w:t>
      </w:r>
    </w:p>
    <w:p w14:paraId="77FA24D4" w14:textId="77777777" w:rsidR="005B2944" w:rsidRPr="000244D6" w:rsidRDefault="005B2944" w:rsidP="005B2944">
      <w:pPr>
        <w:pStyle w:val="MDPI22heading2"/>
        <w:rPr>
          <w:lang w:val="en-GB"/>
        </w:rPr>
      </w:pPr>
      <w:r w:rsidRPr="000244D6">
        <w:rPr>
          <w:color w:val="FFFFFF" w:themeColor="background1"/>
          <w:lang w:val="en-GB"/>
        </w:rPr>
        <w:t xml:space="preserve">3.1.1. </w:t>
      </w:r>
      <w:r w:rsidRPr="000244D6">
        <w:rPr>
          <w:lang w:val="en-GB"/>
        </w:rPr>
        <w:t>Real-time quantitative PCR assay development</w:t>
      </w:r>
    </w:p>
    <w:p w14:paraId="5263BE51" w14:textId="377AA091" w:rsidR="005B2944" w:rsidRPr="000244D6" w:rsidRDefault="005B2944" w:rsidP="005B2944">
      <w:pPr>
        <w:pStyle w:val="MDPI31text"/>
        <w:rPr>
          <w:lang w:val="en-GB"/>
        </w:rPr>
      </w:pPr>
      <w:r w:rsidRPr="000244D6">
        <w:rPr>
          <w:lang w:val="en-GB"/>
        </w:rPr>
        <w:t xml:space="preserve">To find the range of quantification, first the standard curve was made. A set of primers was designed to detect the </w:t>
      </w:r>
      <w:proofErr w:type="spellStart"/>
      <w:r w:rsidRPr="000244D6">
        <w:rPr>
          <w:lang w:val="en-GB"/>
        </w:rPr>
        <w:t>nif</w:t>
      </w:r>
      <w:r w:rsidRPr="000244D6">
        <w:rPr>
          <w:i/>
          <w:iCs/>
          <w:lang w:val="en-GB"/>
        </w:rPr>
        <w:t>H</w:t>
      </w:r>
      <w:proofErr w:type="spellEnd"/>
      <w:r w:rsidRPr="000244D6">
        <w:rPr>
          <w:lang w:val="en-GB"/>
        </w:rPr>
        <w:t xml:space="preserve"> gene of the M. smithii in the total DNA of the sample. A second set of primers and a probe taken from a published article by Johnston et al. were used to target a 151 segment of the </w:t>
      </w:r>
      <w:proofErr w:type="spellStart"/>
      <w:r w:rsidRPr="000244D6">
        <w:rPr>
          <w:lang w:val="en-GB"/>
        </w:rPr>
        <w:t>nif</w:t>
      </w:r>
      <w:r w:rsidRPr="000244D6">
        <w:rPr>
          <w:i/>
          <w:iCs/>
          <w:lang w:val="en-GB"/>
        </w:rPr>
        <w:t>H</w:t>
      </w:r>
      <w:proofErr w:type="spellEnd"/>
      <w:r w:rsidRPr="000244D6">
        <w:rPr>
          <w:lang w:val="en-GB"/>
        </w:rPr>
        <w:t xml:space="preserve"> gene </w:t>
      </w:r>
      <w:r w:rsidRPr="000244D6">
        <w:rPr>
          <w:lang w:val="en-GB"/>
        </w:rPr>
        <w:fldChar w:fldCharType="begin" w:fldLock="1"/>
      </w:r>
      <w:r w:rsidR="009818F0">
        <w:rPr>
          <w:lang w:val="en-GB"/>
        </w:rPr>
        <w:instrText>ADDIN CSL_CITATION {"citationItems":[{"id":"ITEM-1","itemData":{"DOI":"10.1111/j.1365-2672.2010.04824.x","ISBN":"1365-2672 (Electronic)\\n1364-5072 (Linking)","ISSN":"13645072","PMID":"21070516","abstract":"To develop a quantitative, real-time PCR assay to detect the nifH gene of Methanobrevibacter smithii. Methanobrevibacter smithii is a methanogenic archaea found in the intestinal tract of humans that may be a useful indicator of sewage pollution in water.","author":[{"dropping-particle":"","family":"Johnston","given":"C.","non-dropping-particle":"","parse-names":false,"suffix":""},{"dropping-particle":"","family":"Ufnar","given":"J. A.","non-dropping-particle":"","parse-names":false,"suffix":""},{"dropping-particle":"","family":"Griffith","given":"J. F.","non-dropping-particle":"","parse-names":false,"suffix":""},{"dropping-particle":"","family":"Gooch","given":"J. A.","non-dropping-particle":"","parse-names":false,"suffix":""},{"dropping-particle":"","family":"Stewart","given":"J. R.","non-dropping-particle":"","parse-names":false,"suffix":""}],"container-title":"Journal of Applied Microbiology","id":"ITEM-1","issue":"6","issued":{"date-parts":[["2010"]]},"page":"1946-1956","title":"A real-time qPCR assay for the detection of the nifH gene of Methanobrevibacter smithii, a potential indicator of sewage pollution","type":"article-journal","volume":"109"},"uris":["http://www.mendeley.com/documents/?uuid=5c8c9d53-f488-4aab-8d74-83ba0962859d"]}],"mendeley":{"formattedCitation":"[4]","plainTextFormattedCitation":"[4]","previouslyFormattedCitation":"[21]"},"properties":{"noteIndex":0},"schema":"https://github.com/citation-style-language/schema/raw/master/csl-citation.json"}</w:instrText>
      </w:r>
      <w:r w:rsidRPr="000244D6">
        <w:rPr>
          <w:lang w:val="en-GB"/>
        </w:rPr>
        <w:fldChar w:fldCharType="separate"/>
      </w:r>
      <w:r w:rsidR="009818F0" w:rsidRPr="009818F0">
        <w:rPr>
          <w:noProof/>
          <w:lang w:val="en-GB"/>
        </w:rPr>
        <w:t>[4]</w:t>
      </w:r>
      <w:r w:rsidRPr="000244D6">
        <w:rPr>
          <w:lang w:val="en-GB"/>
        </w:rPr>
        <w:fldChar w:fldCharType="end"/>
      </w:r>
      <w:r w:rsidRPr="000244D6">
        <w:rPr>
          <w:lang w:val="en-GB"/>
        </w:rPr>
        <w:t>. Both sets of primers are described in Table A1. This second set of primers was applied to the sample with a normal PCR and from these the PCR results a standard curve was diluted to form a standard curve with log dilutions ranging from 10-1000000 ag.</w:t>
      </w:r>
    </w:p>
    <w:p w14:paraId="57891971" w14:textId="77777777" w:rsidR="005B2944" w:rsidRPr="000244D6" w:rsidRDefault="005B2944" w:rsidP="005B2944">
      <w:pPr>
        <w:pStyle w:val="MDPI31text"/>
        <w:rPr>
          <w:lang w:val="en-GB"/>
        </w:rPr>
      </w:pPr>
      <w:r w:rsidRPr="000244D6">
        <w:rPr>
          <w:lang w:val="en-GB"/>
        </w:rPr>
        <w:lastRenderedPageBreak/>
        <w:t xml:space="preserve">Table </w:t>
      </w:r>
      <w:r w:rsidR="004F66EC">
        <w:rPr>
          <w:lang w:val="en-GB"/>
        </w:rPr>
        <w:t>S</w:t>
      </w:r>
      <w:r w:rsidRPr="000244D6">
        <w:rPr>
          <w:lang w:val="en-GB"/>
        </w:rPr>
        <w:t xml:space="preserve">1: Primer and probe sequences. </w:t>
      </w:r>
    </w:p>
    <w:tbl>
      <w:tblPr>
        <w:tblW w:w="9606" w:type="dxa"/>
        <w:tblInd w:w="-108" w:type="dxa"/>
        <w:tblBorders>
          <w:top w:val="nil"/>
          <w:left w:val="nil"/>
          <w:bottom w:val="nil"/>
          <w:right w:val="nil"/>
        </w:tblBorders>
        <w:tblLayout w:type="fixed"/>
        <w:tblLook w:val="0000" w:firstRow="0" w:lastRow="0" w:firstColumn="0" w:lastColumn="0" w:noHBand="0" w:noVBand="0"/>
      </w:tblPr>
      <w:tblGrid>
        <w:gridCol w:w="2847"/>
        <w:gridCol w:w="5058"/>
        <w:gridCol w:w="1701"/>
      </w:tblGrid>
      <w:tr w:rsidR="005B2944" w:rsidRPr="000244D6" w14:paraId="4BF95A70" w14:textId="77777777" w:rsidTr="00AD26CC">
        <w:trPr>
          <w:trHeight w:val="129"/>
        </w:trPr>
        <w:tc>
          <w:tcPr>
            <w:tcW w:w="2847" w:type="dxa"/>
            <w:tcBorders>
              <w:bottom w:val="single" w:sz="4" w:space="0" w:color="auto"/>
            </w:tcBorders>
          </w:tcPr>
          <w:p w14:paraId="41A1F318" w14:textId="77777777" w:rsidR="005B2944" w:rsidRPr="000244D6" w:rsidRDefault="005B2944" w:rsidP="00AD26CC">
            <w:pPr>
              <w:pStyle w:val="Default"/>
              <w:rPr>
                <w:b/>
                <w:bCs/>
                <w:color w:val="auto"/>
                <w:sz w:val="22"/>
                <w:szCs w:val="22"/>
                <w:lang w:val="en-GB"/>
              </w:rPr>
            </w:pPr>
            <w:r w:rsidRPr="000244D6">
              <w:rPr>
                <w:b/>
                <w:bCs/>
                <w:sz w:val="22"/>
                <w:szCs w:val="26"/>
                <w:lang w:val="en-GB"/>
              </w:rPr>
              <w:t>Oligonucleotide</w:t>
            </w:r>
          </w:p>
        </w:tc>
        <w:tc>
          <w:tcPr>
            <w:tcW w:w="5058" w:type="dxa"/>
            <w:tcBorders>
              <w:bottom w:val="single" w:sz="4" w:space="0" w:color="auto"/>
            </w:tcBorders>
          </w:tcPr>
          <w:p w14:paraId="7CF7C0E6" w14:textId="77777777" w:rsidR="005B2944" w:rsidRPr="000244D6" w:rsidRDefault="005B2944" w:rsidP="00AD26CC">
            <w:pPr>
              <w:pStyle w:val="Default"/>
              <w:rPr>
                <w:b/>
                <w:bCs/>
                <w:sz w:val="22"/>
                <w:szCs w:val="26"/>
                <w:lang w:val="en-GB"/>
              </w:rPr>
            </w:pPr>
            <w:r w:rsidRPr="000244D6">
              <w:rPr>
                <w:b/>
                <w:bCs/>
                <w:sz w:val="22"/>
                <w:szCs w:val="26"/>
                <w:lang w:val="en-GB"/>
              </w:rPr>
              <w:t>Sequence</w:t>
            </w:r>
          </w:p>
        </w:tc>
        <w:tc>
          <w:tcPr>
            <w:tcW w:w="1701" w:type="dxa"/>
            <w:tcBorders>
              <w:bottom w:val="single" w:sz="4" w:space="0" w:color="auto"/>
            </w:tcBorders>
          </w:tcPr>
          <w:p w14:paraId="47B027F2" w14:textId="77777777" w:rsidR="005B2944" w:rsidRPr="000244D6" w:rsidRDefault="005B2944" w:rsidP="00AD26CC">
            <w:pPr>
              <w:pStyle w:val="Default"/>
              <w:rPr>
                <w:b/>
                <w:bCs/>
                <w:sz w:val="22"/>
                <w:szCs w:val="26"/>
                <w:lang w:val="en-GB"/>
              </w:rPr>
            </w:pPr>
            <w:r w:rsidRPr="000244D6">
              <w:rPr>
                <w:b/>
                <w:bCs/>
                <w:sz w:val="22"/>
                <w:szCs w:val="26"/>
                <w:lang w:val="en-GB"/>
              </w:rPr>
              <w:t>Location*</w:t>
            </w:r>
          </w:p>
        </w:tc>
      </w:tr>
      <w:tr w:rsidR="005B2944" w:rsidRPr="000244D6" w14:paraId="2004E659" w14:textId="77777777" w:rsidTr="00AD26CC">
        <w:trPr>
          <w:trHeight w:val="134"/>
        </w:trPr>
        <w:tc>
          <w:tcPr>
            <w:tcW w:w="2847" w:type="dxa"/>
            <w:tcBorders>
              <w:top w:val="single" w:sz="4" w:space="0" w:color="auto"/>
            </w:tcBorders>
          </w:tcPr>
          <w:p w14:paraId="380F4744" w14:textId="77777777" w:rsidR="005B2944" w:rsidRPr="000244D6" w:rsidRDefault="005B2944" w:rsidP="00AD26CC">
            <w:pPr>
              <w:pStyle w:val="Default"/>
              <w:rPr>
                <w:sz w:val="20"/>
                <w:szCs w:val="26"/>
                <w:lang w:val="en-GB"/>
              </w:rPr>
            </w:pPr>
            <w:proofErr w:type="spellStart"/>
            <w:r w:rsidRPr="000244D6">
              <w:rPr>
                <w:sz w:val="20"/>
                <w:szCs w:val="26"/>
                <w:lang w:val="en-GB"/>
              </w:rPr>
              <w:t>NifH</w:t>
            </w:r>
            <w:proofErr w:type="spellEnd"/>
            <w:r w:rsidRPr="000244D6">
              <w:rPr>
                <w:sz w:val="20"/>
                <w:szCs w:val="26"/>
                <w:lang w:val="en-GB"/>
              </w:rPr>
              <w:t xml:space="preserve"> forward† </w:t>
            </w:r>
          </w:p>
        </w:tc>
        <w:tc>
          <w:tcPr>
            <w:tcW w:w="5058" w:type="dxa"/>
            <w:tcBorders>
              <w:top w:val="single" w:sz="4" w:space="0" w:color="auto"/>
            </w:tcBorders>
          </w:tcPr>
          <w:p w14:paraId="3D2DC79B" w14:textId="77777777" w:rsidR="005B2944" w:rsidRPr="000244D6" w:rsidRDefault="005B2944" w:rsidP="00AD26CC">
            <w:pPr>
              <w:pStyle w:val="Default"/>
              <w:rPr>
                <w:sz w:val="20"/>
                <w:szCs w:val="22"/>
                <w:lang w:val="en-GB"/>
              </w:rPr>
            </w:pPr>
            <w:r w:rsidRPr="000244D6">
              <w:rPr>
                <w:sz w:val="20"/>
                <w:szCs w:val="22"/>
                <w:lang w:val="en-GB"/>
              </w:rPr>
              <w:t xml:space="preserve">5’-CAC GTA CAT TGT GCG GTA GA-3’ </w:t>
            </w:r>
          </w:p>
        </w:tc>
        <w:tc>
          <w:tcPr>
            <w:tcW w:w="1701" w:type="dxa"/>
            <w:tcBorders>
              <w:top w:val="single" w:sz="4" w:space="0" w:color="auto"/>
            </w:tcBorders>
          </w:tcPr>
          <w:p w14:paraId="204F5F3A" w14:textId="77777777" w:rsidR="005B2944" w:rsidRPr="000244D6" w:rsidRDefault="005B2944" w:rsidP="00AD26CC">
            <w:pPr>
              <w:pStyle w:val="Default"/>
              <w:rPr>
                <w:sz w:val="20"/>
                <w:szCs w:val="22"/>
                <w:lang w:val="en-GB"/>
              </w:rPr>
            </w:pPr>
            <w:r w:rsidRPr="000244D6">
              <w:rPr>
                <w:sz w:val="20"/>
                <w:szCs w:val="22"/>
                <w:lang w:val="en-GB"/>
              </w:rPr>
              <w:t xml:space="preserve">64-83 </w:t>
            </w:r>
          </w:p>
        </w:tc>
      </w:tr>
      <w:tr w:rsidR="005B2944" w:rsidRPr="000244D6" w14:paraId="2AF415F7" w14:textId="77777777" w:rsidTr="00AD26CC">
        <w:trPr>
          <w:trHeight w:val="134"/>
        </w:trPr>
        <w:tc>
          <w:tcPr>
            <w:tcW w:w="2847" w:type="dxa"/>
          </w:tcPr>
          <w:p w14:paraId="7705B999" w14:textId="77777777" w:rsidR="005B2944" w:rsidRPr="000244D6" w:rsidRDefault="005B2944" w:rsidP="00AD26CC">
            <w:pPr>
              <w:pStyle w:val="Default"/>
              <w:rPr>
                <w:sz w:val="20"/>
                <w:szCs w:val="26"/>
                <w:lang w:val="en-GB"/>
              </w:rPr>
            </w:pPr>
            <w:proofErr w:type="spellStart"/>
            <w:r w:rsidRPr="000244D6">
              <w:rPr>
                <w:sz w:val="20"/>
                <w:szCs w:val="26"/>
                <w:lang w:val="en-GB"/>
              </w:rPr>
              <w:t>NifH</w:t>
            </w:r>
            <w:proofErr w:type="spellEnd"/>
            <w:r w:rsidRPr="000244D6">
              <w:rPr>
                <w:sz w:val="20"/>
                <w:szCs w:val="26"/>
                <w:lang w:val="en-GB"/>
              </w:rPr>
              <w:t xml:space="preserve"> Reverse† </w:t>
            </w:r>
          </w:p>
        </w:tc>
        <w:tc>
          <w:tcPr>
            <w:tcW w:w="5058" w:type="dxa"/>
          </w:tcPr>
          <w:p w14:paraId="31AE178C" w14:textId="77777777" w:rsidR="005B2944" w:rsidRPr="000244D6" w:rsidRDefault="005B2944" w:rsidP="00AD26CC">
            <w:pPr>
              <w:pStyle w:val="Default"/>
              <w:rPr>
                <w:sz w:val="20"/>
                <w:szCs w:val="22"/>
                <w:lang w:val="en-GB"/>
              </w:rPr>
            </w:pPr>
            <w:r w:rsidRPr="000244D6">
              <w:rPr>
                <w:sz w:val="20"/>
                <w:szCs w:val="22"/>
                <w:lang w:val="en-GB"/>
              </w:rPr>
              <w:t xml:space="preserve">5’-TCC ATA GGT TCC GGT GTT GTG-3’ </w:t>
            </w:r>
          </w:p>
        </w:tc>
        <w:tc>
          <w:tcPr>
            <w:tcW w:w="1701" w:type="dxa"/>
          </w:tcPr>
          <w:p w14:paraId="7ECA1E29" w14:textId="77777777" w:rsidR="005B2944" w:rsidRPr="000244D6" w:rsidRDefault="005B2944" w:rsidP="00AD26CC">
            <w:pPr>
              <w:pStyle w:val="Default"/>
              <w:rPr>
                <w:sz w:val="20"/>
                <w:szCs w:val="22"/>
                <w:lang w:val="en-GB"/>
              </w:rPr>
            </w:pPr>
            <w:r w:rsidRPr="000244D6">
              <w:rPr>
                <w:sz w:val="20"/>
                <w:szCs w:val="22"/>
                <w:lang w:val="en-GB"/>
              </w:rPr>
              <w:t xml:space="preserve">685-665 </w:t>
            </w:r>
          </w:p>
        </w:tc>
      </w:tr>
      <w:tr w:rsidR="005B2944" w:rsidRPr="000244D6" w14:paraId="6AC8296D" w14:textId="77777777" w:rsidTr="00AD26CC">
        <w:trPr>
          <w:trHeight w:val="134"/>
        </w:trPr>
        <w:tc>
          <w:tcPr>
            <w:tcW w:w="2847" w:type="dxa"/>
          </w:tcPr>
          <w:p w14:paraId="70FB5D00" w14:textId="77777777" w:rsidR="005B2944" w:rsidRPr="000244D6" w:rsidRDefault="005B2944" w:rsidP="00AD26CC">
            <w:pPr>
              <w:pStyle w:val="Default"/>
              <w:rPr>
                <w:sz w:val="20"/>
                <w:szCs w:val="26"/>
                <w:lang w:val="en-GB"/>
              </w:rPr>
            </w:pPr>
            <w:proofErr w:type="spellStart"/>
            <w:r w:rsidRPr="000244D6">
              <w:rPr>
                <w:sz w:val="20"/>
                <w:szCs w:val="26"/>
                <w:lang w:val="en-GB"/>
              </w:rPr>
              <w:t>Mnif</w:t>
            </w:r>
            <w:proofErr w:type="spellEnd"/>
            <w:r w:rsidRPr="000244D6">
              <w:rPr>
                <w:sz w:val="20"/>
                <w:szCs w:val="26"/>
                <w:lang w:val="en-GB"/>
              </w:rPr>
              <w:t xml:space="preserve"> 202F‡ </w:t>
            </w:r>
          </w:p>
        </w:tc>
        <w:tc>
          <w:tcPr>
            <w:tcW w:w="5058" w:type="dxa"/>
          </w:tcPr>
          <w:p w14:paraId="762BB2A5" w14:textId="77777777" w:rsidR="005B2944" w:rsidRPr="009818F0" w:rsidRDefault="005B2944" w:rsidP="00AD26CC">
            <w:pPr>
              <w:pStyle w:val="Default"/>
              <w:rPr>
                <w:sz w:val="20"/>
                <w:szCs w:val="22"/>
              </w:rPr>
            </w:pPr>
            <w:r w:rsidRPr="009818F0">
              <w:rPr>
                <w:sz w:val="20"/>
                <w:szCs w:val="22"/>
              </w:rPr>
              <w:t xml:space="preserve">5’-GAA AGC GGA GGT CCT GAA-3’ </w:t>
            </w:r>
          </w:p>
        </w:tc>
        <w:tc>
          <w:tcPr>
            <w:tcW w:w="1701" w:type="dxa"/>
          </w:tcPr>
          <w:p w14:paraId="057168A5" w14:textId="77777777" w:rsidR="005B2944" w:rsidRPr="000244D6" w:rsidRDefault="005B2944" w:rsidP="00AD26CC">
            <w:pPr>
              <w:pStyle w:val="Default"/>
              <w:rPr>
                <w:sz w:val="20"/>
                <w:szCs w:val="22"/>
                <w:lang w:val="en-GB"/>
              </w:rPr>
            </w:pPr>
            <w:r w:rsidRPr="000244D6">
              <w:rPr>
                <w:sz w:val="20"/>
                <w:szCs w:val="22"/>
                <w:lang w:val="en-GB"/>
              </w:rPr>
              <w:t xml:space="preserve">202-219 </w:t>
            </w:r>
          </w:p>
        </w:tc>
      </w:tr>
      <w:tr w:rsidR="005B2944" w:rsidRPr="000244D6" w14:paraId="7E2C30CB" w14:textId="77777777" w:rsidTr="00AD26CC">
        <w:trPr>
          <w:trHeight w:val="134"/>
        </w:trPr>
        <w:tc>
          <w:tcPr>
            <w:tcW w:w="2847" w:type="dxa"/>
          </w:tcPr>
          <w:p w14:paraId="1BEA303D" w14:textId="77777777" w:rsidR="005B2944" w:rsidRPr="000244D6" w:rsidRDefault="005B2944" w:rsidP="00AD26CC">
            <w:pPr>
              <w:pStyle w:val="Default"/>
              <w:rPr>
                <w:sz w:val="20"/>
                <w:szCs w:val="26"/>
                <w:lang w:val="en-GB"/>
              </w:rPr>
            </w:pPr>
            <w:proofErr w:type="spellStart"/>
            <w:r w:rsidRPr="000244D6">
              <w:rPr>
                <w:sz w:val="20"/>
                <w:szCs w:val="26"/>
                <w:lang w:val="en-GB"/>
              </w:rPr>
              <w:t>Mnif</w:t>
            </w:r>
            <w:proofErr w:type="spellEnd"/>
            <w:r w:rsidRPr="000244D6">
              <w:rPr>
                <w:sz w:val="20"/>
                <w:szCs w:val="26"/>
                <w:lang w:val="en-GB"/>
              </w:rPr>
              <w:t xml:space="preserve"> 353R‡ </w:t>
            </w:r>
          </w:p>
        </w:tc>
        <w:tc>
          <w:tcPr>
            <w:tcW w:w="5058" w:type="dxa"/>
          </w:tcPr>
          <w:p w14:paraId="02494E89" w14:textId="77777777" w:rsidR="005B2944" w:rsidRPr="000244D6" w:rsidRDefault="005B2944" w:rsidP="00AD26CC">
            <w:pPr>
              <w:pStyle w:val="Default"/>
              <w:rPr>
                <w:sz w:val="20"/>
                <w:szCs w:val="22"/>
                <w:lang w:val="en-GB"/>
              </w:rPr>
            </w:pPr>
            <w:r w:rsidRPr="000244D6">
              <w:rPr>
                <w:sz w:val="20"/>
                <w:szCs w:val="22"/>
                <w:lang w:val="en-GB"/>
              </w:rPr>
              <w:t xml:space="preserve">5’-ACT GAA AAA CCT CCG CAA AC-3’ </w:t>
            </w:r>
          </w:p>
        </w:tc>
        <w:tc>
          <w:tcPr>
            <w:tcW w:w="1701" w:type="dxa"/>
          </w:tcPr>
          <w:p w14:paraId="51567DFD" w14:textId="77777777" w:rsidR="005B2944" w:rsidRPr="000244D6" w:rsidRDefault="005B2944" w:rsidP="00AD26CC">
            <w:pPr>
              <w:pStyle w:val="Default"/>
              <w:rPr>
                <w:sz w:val="20"/>
                <w:szCs w:val="22"/>
                <w:lang w:val="en-GB"/>
              </w:rPr>
            </w:pPr>
            <w:r w:rsidRPr="000244D6">
              <w:rPr>
                <w:sz w:val="20"/>
                <w:szCs w:val="22"/>
                <w:lang w:val="en-GB"/>
              </w:rPr>
              <w:t xml:space="preserve">334-353 </w:t>
            </w:r>
          </w:p>
        </w:tc>
      </w:tr>
      <w:tr w:rsidR="005B2944" w:rsidRPr="000244D6" w14:paraId="291E2BE7" w14:textId="77777777" w:rsidTr="00AD26CC">
        <w:trPr>
          <w:trHeight w:val="70"/>
        </w:trPr>
        <w:tc>
          <w:tcPr>
            <w:tcW w:w="2847" w:type="dxa"/>
          </w:tcPr>
          <w:p w14:paraId="0058E372" w14:textId="77777777" w:rsidR="005B2944" w:rsidRPr="000244D6" w:rsidRDefault="005B2944" w:rsidP="00AD26CC">
            <w:pPr>
              <w:pStyle w:val="Default"/>
              <w:rPr>
                <w:sz w:val="20"/>
                <w:szCs w:val="26"/>
                <w:lang w:val="en-GB"/>
              </w:rPr>
            </w:pPr>
            <w:proofErr w:type="spellStart"/>
            <w:r w:rsidRPr="000244D6">
              <w:rPr>
                <w:sz w:val="20"/>
                <w:szCs w:val="26"/>
                <w:lang w:val="en-GB"/>
              </w:rPr>
              <w:t>Mnif</w:t>
            </w:r>
            <w:proofErr w:type="spellEnd"/>
            <w:r w:rsidRPr="000244D6">
              <w:rPr>
                <w:sz w:val="20"/>
                <w:szCs w:val="26"/>
                <w:lang w:val="en-GB"/>
              </w:rPr>
              <w:t xml:space="preserve"> Probe‡ </w:t>
            </w:r>
          </w:p>
        </w:tc>
        <w:tc>
          <w:tcPr>
            <w:tcW w:w="5058" w:type="dxa"/>
          </w:tcPr>
          <w:p w14:paraId="6D1A3E17" w14:textId="77777777" w:rsidR="005B2944" w:rsidRPr="000244D6" w:rsidRDefault="005B2944" w:rsidP="00AD26CC">
            <w:pPr>
              <w:pStyle w:val="Default"/>
              <w:rPr>
                <w:sz w:val="20"/>
                <w:szCs w:val="22"/>
                <w:lang w:val="en-GB"/>
              </w:rPr>
            </w:pPr>
            <w:r w:rsidRPr="000244D6">
              <w:rPr>
                <w:sz w:val="20"/>
                <w:szCs w:val="22"/>
                <w:lang w:val="en-GB"/>
              </w:rPr>
              <w:t xml:space="preserve">5’-[FAM]- CCG GAC GTG </w:t>
            </w:r>
            <w:proofErr w:type="spellStart"/>
            <w:r w:rsidRPr="000244D6">
              <w:rPr>
                <w:sz w:val="20"/>
                <w:szCs w:val="22"/>
                <w:lang w:val="en-GB"/>
              </w:rPr>
              <w:t>GTG</w:t>
            </w:r>
            <w:proofErr w:type="spellEnd"/>
            <w:r w:rsidRPr="000244D6">
              <w:rPr>
                <w:sz w:val="20"/>
                <w:szCs w:val="22"/>
                <w:lang w:val="en-GB"/>
              </w:rPr>
              <w:t xml:space="preserve"> TAA CAG TAG CTA-[BHQ-1]-3’ </w:t>
            </w:r>
          </w:p>
        </w:tc>
        <w:tc>
          <w:tcPr>
            <w:tcW w:w="1701" w:type="dxa"/>
          </w:tcPr>
          <w:p w14:paraId="22CCE29B" w14:textId="77777777" w:rsidR="005B2944" w:rsidRPr="000244D6" w:rsidRDefault="005B2944" w:rsidP="00AD26CC">
            <w:pPr>
              <w:pStyle w:val="Default"/>
              <w:rPr>
                <w:sz w:val="20"/>
                <w:szCs w:val="22"/>
                <w:lang w:val="en-GB"/>
              </w:rPr>
            </w:pPr>
            <w:r w:rsidRPr="000244D6">
              <w:rPr>
                <w:sz w:val="20"/>
                <w:szCs w:val="22"/>
                <w:lang w:val="en-GB"/>
              </w:rPr>
              <w:t xml:space="preserve">236-259 </w:t>
            </w:r>
          </w:p>
        </w:tc>
      </w:tr>
    </w:tbl>
    <w:p w14:paraId="0586FD5C" w14:textId="36C9B669" w:rsidR="005B2944" w:rsidRPr="000244D6" w:rsidRDefault="005B2944" w:rsidP="005B2944">
      <w:pPr>
        <w:pStyle w:val="MDPI31text"/>
        <w:rPr>
          <w:sz w:val="18"/>
          <w:szCs w:val="20"/>
          <w:lang w:val="en-GB"/>
        </w:rPr>
      </w:pPr>
      <w:r w:rsidRPr="000244D6">
        <w:rPr>
          <w:sz w:val="18"/>
          <w:szCs w:val="20"/>
          <w:lang w:val="en-GB"/>
        </w:rPr>
        <w:t xml:space="preserve">BHQ-1=black hole quencher 1. * The nucleotide position in reference to the </w:t>
      </w:r>
      <w:r w:rsidRPr="000244D6">
        <w:rPr>
          <w:i/>
          <w:iCs/>
          <w:sz w:val="18"/>
          <w:szCs w:val="20"/>
          <w:lang w:val="en-GB"/>
        </w:rPr>
        <w:t>M. smithii</w:t>
      </w:r>
      <w:r w:rsidRPr="000244D6">
        <w:rPr>
          <w:sz w:val="18"/>
          <w:szCs w:val="20"/>
          <w:lang w:val="en-GB"/>
        </w:rPr>
        <w:t xml:space="preserve"> gene sequence (accession no. CP000678, region 1752235 … 1753032). † Sequences that are designed in this study. ‡ Sequences taken from Johnston </w:t>
      </w:r>
      <w:r w:rsidRPr="000244D6">
        <w:rPr>
          <w:i/>
          <w:iCs/>
          <w:sz w:val="18"/>
          <w:szCs w:val="20"/>
          <w:lang w:val="en-GB"/>
        </w:rPr>
        <w:t>et al</w:t>
      </w:r>
      <w:r w:rsidRPr="000244D6">
        <w:rPr>
          <w:sz w:val="18"/>
          <w:szCs w:val="20"/>
          <w:lang w:val="en-GB"/>
        </w:rPr>
        <w:t xml:space="preserve"> </w:t>
      </w:r>
      <w:r w:rsidRPr="000244D6">
        <w:rPr>
          <w:sz w:val="18"/>
          <w:szCs w:val="20"/>
          <w:lang w:val="en-GB"/>
        </w:rPr>
        <w:fldChar w:fldCharType="begin" w:fldLock="1"/>
      </w:r>
      <w:r w:rsidR="009818F0">
        <w:rPr>
          <w:sz w:val="18"/>
          <w:szCs w:val="20"/>
          <w:lang w:val="en-GB"/>
        </w:rPr>
        <w:instrText>ADDIN CSL_CITATION {"citationItems":[{"id":"ITEM-1","itemData":{"DOI":"10.1111/j.1365-2672.2010.04824.x","ISBN":"1365-2672 (Electronic)\\n1364-5072 (Linking)","ISSN":"13645072","PMID":"21070516","abstract":"To develop a quantitative, real-time PCR assay to detect the nifH gene of Methanobrevibacter smithii. Methanobrevibacter smithii is a methanogenic archaea found in the intestinal tract of humans that may be a useful indicator of sewage pollution in water.","author":[{"dropping-particle":"","family":"Johnston","given":"C.","non-dropping-particle":"","parse-names":false,"suffix":""},{"dropping-particle":"","family":"Ufnar","given":"J. A.","non-dropping-particle":"","parse-names":false,"suffix":""},{"dropping-particle":"","family":"Griffith","given":"J. F.","non-dropping-particle":"","parse-names":false,"suffix":""},{"dropping-particle":"","family":"Gooch","given":"J. A.","non-dropping-particle":"","parse-names":false,"suffix":""},{"dropping-particle":"","family":"Stewart","given":"J. R.","non-dropping-particle":"","parse-names":false,"suffix":""}],"container-title":"Journal of Applied Microbiology","id":"ITEM-1","issue":"6","issued":{"date-parts":[["2010"]]},"page":"1946-1956","title":"A real-time qPCR assay for the detection of the nifH gene of Methanobrevibacter smithii, a potential indicator of sewage pollution","type":"article-journal","volume":"109"},"uris":["http://www.mendeley.com/documents/?uuid=5c8c9d53-f488-4aab-8d74-83ba0962859d"]}],"mendeley":{"formattedCitation":"[4]","plainTextFormattedCitation":"[4]","previouslyFormattedCitation":"[21]"},"properties":{"noteIndex":0},"schema":"https://github.com/citation-style-language/schema/raw/master/csl-citation.json"}</w:instrText>
      </w:r>
      <w:r w:rsidRPr="000244D6">
        <w:rPr>
          <w:sz w:val="18"/>
          <w:szCs w:val="20"/>
          <w:lang w:val="en-GB"/>
        </w:rPr>
        <w:fldChar w:fldCharType="separate"/>
      </w:r>
      <w:r w:rsidR="009818F0" w:rsidRPr="009818F0">
        <w:rPr>
          <w:noProof/>
          <w:sz w:val="18"/>
          <w:szCs w:val="20"/>
          <w:lang w:val="en-GB"/>
        </w:rPr>
        <w:t>[4]</w:t>
      </w:r>
      <w:r w:rsidRPr="000244D6">
        <w:rPr>
          <w:sz w:val="18"/>
          <w:szCs w:val="20"/>
          <w:lang w:val="en-GB"/>
        </w:rPr>
        <w:fldChar w:fldCharType="end"/>
      </w:r>
      <w:r w:rsidRPr="000244D6">
        <w:rPr>
          <w:sz w:val="18"/>
          <w:szCs w:val="20"/>
          <w:lang w:val="en-GB"/>
        </w:rPr>
        <w:t>.</w:t>
      </w:r>
    </w:p>
    <w:tbl>
      <w:tblPr>
        <w:tblW w:w="0" w:type="auto"/>
        <w:tblLook w:val="04A0" w:firstRow="1" w:lastRow="0" w:firstColumn="1" w:lastColumn="0" w:noHBand="0" w:noVBand="1"/>
      </w:tblPr>
      <w:tblGrid>
        <w:gridCol w:w="8844"/>
      </w:tblGrid>
      <w:tr w:rsidR="005B2944" w:rsidRPr="000244D6" w14:paraId="26326C43" w14:textId="77777777" w:rsidTr="00AD26CC">
        <w:tc>
          <w:tcPr>
            <w:tcW w:w="8844" w:type="dxa"/>
            <w:shd w:val="clear" w:color="auto" w:fill="auto"/>
          </w:tcPr>
          <w:p w14:paraId="26B26DFE" w14:textId="77777777" w:rsidR="005B2944" w:rsidRPr="000244D6" w:rsidRDefault="005B2944" w:rsidP="00AD26CC">
            <w:pPr>
              <w:pStyle w:val="MDPI32textnoindent"/>
              <w:spacing w:before="240"/>
              <w:jc w:val="center"/>
              <w:rPr>
                <w:lang w:val="en-GB"/>
              </w:rPr>
            </w:pPr>
            <w:r w:rsidRPr="000244D6">
              <w:rPr>
                <w:noProof/>
                <w:snapToGrid/>
                <w:lang w:val="en-GB" w:eastAsia="en-GB" w:bidi="ar-SA"/>
              </w:rPr>
              <w:drawing>
                <wp:inline distT="0" distB="0" distL="0" distR="0" wp14:anchorId="0B48EC64" wp14:editId="1DA5FC05">
                  <wp:extent cx="4724400" cy="1955144"/>
                  <wp:effectExtent l="0" t="0" r="0" b="7620"/>
                  <wp:docPr id="8" name="Afbeelding 8"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gure A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47629" cy="1964757"/>
                          </a:xfrm>
                          <a:prstGeom prst="rect">
                            <a:avLst/>
                          </a:prstGeom>
                        </pic:spPr>
                      </pic:pic>
                    </a:graphicData>
                  </a:graphic>
                </wp:inline>
              </w:drawing>
            </w:r>
          </w:p>
        </w:tc>
      </w:tr>
    </w:tbl>
    <w:p w14:paraId="777008A6" w14:textId="77777777" w:rsidR="005B2944" w:rsidRDefault="004F66EC" w:rsidP="005B2944">
      <w:pPr>
        <w:pStyle w:val="MDPI31text"/>
        <w:ind w:left="420" w:firstLine="5"/>
        <w:jc w:val="left"/>
        <w:rPr>
          <w:bCs/>
          <w:sz w:val="18"/>
          <w:szCs w:val="18"/>
          <w:lang w:val="en-GB"/>
        </w:rPr>
      </w:pPr>
      <w:r>
        <w:rPr>
          <w:b/>
          <w:sz w:val="18"/>
          <w:szCs w:val="18"/>
          <w:lang w:val="en-GB"/>
        </w:rPr>
        <w:t>Figure S</w:t>
      </w:r>
      <w:r w:rsidR="005B2944" w:rsidRPr="000244D6">
        <w:rPr>
          <w:b/>
          <w:sz w:val="18"/>
          <w:szCs w:val="18"/>
          <w:lang w:val="en-GB"/>
        </w:rPr>
        <w:t xml:space="preserve">1. </w:t>
      </w:r>
      <w:r w:rsidR="005B2944" w:rsidRPr="000244D6">
        <w:rPr>
          <w:bCs/>
          <w:sz w:val="18"/>
          <w:szCs w:val="18"/>
          <w:lang w:val="en-GB"/>
        </w:rPr>
        <w:t xml:space="preserve">Standard curve. Relationship between the initial DNA and the Cycle </w:t>
      </w:r>
      <w:proofErr w:type="spellStart"/>
      <w:r w:rsidR="005B2944" w:rsidRPr="000244D6">
        <w:rPr>
          <w:bCs/>
          <w:sz w:val="18"/>
          <w:szCs w:val="18"/>
          <w:lang w:val="en-GB"/>
        </w:rPr>
        <w:t>treshold</w:t>
      </w:r>
      <w:proofErr w:type="spellEnd"/>
      <w:r w:rsidR="005B2944" w:rsidRPr="000244D6">
        <w:rPr>
          <w:bCs/>
          <w:sz w:val="18"/>
          <w:szCs w:val="18"/>
          <w:lang w:val="en-GB"/>
        </w:rPr>
        <w:t xml:space="preserve"> values from each standard. In the graph that can be made using our results, the linear part is the range in which samples can be quantified. The linear part ranging from a cycle threshold value of 17 to 40, with a R</w:t>
      </w:r>
      <w:r w:rsidR="005B2944" w:rsidRPr="000244D6">
        <w:rPr>
          <w:bCs/>
          <w:sz w:val="18"/>
          <w:szCs w:val="18"/>
          <w:vertAlign w:val="superscript"/>
          <w:lang w:val="en-GB"/>
        </w:rPr>
        <w:t>2</w:t>
      </w:r>
      <w:r w:rsidR="005B2944" w:rsidRPr="000244D6">
        <w:rPr>
          <w:bCs/>
          <w:sz w:val="18"/>
          <w:szCs w:val="18"/>
          <w:lang w:val="en-GB"/>
        </w:rPr>
        <w:t xml:space="preserve"> of 0.99.</w:t>
      </w:r>
    </w:p>
    <w:p w14:paraId="2008BEFE" w14:textId="77777777" w:rsidR="00C73BCF" w:rsidRDefault="005B2944" w:rsidP="005B2944">
      <w:pPr>
        <w:pStyle w:val="MDPI31text"/>
        <w:ind w:firstLine="420"/>
        <w:jc w:val="left"/>
        <w:rPr>
          <w:lang w:val="en-GB"/>
        </w:rPr>
      </w:pPr>
      <w:r w:rsidRPr="000244D6">
        <w:rPr>
          <w:lang w:val="en-GB"/>
        </w:rPr>
        <w:t xml:space="preserve">The thermal cycling and fluorescence detection were carried out in the 7500 Fast real-time PCR system (Applied Biosystems). The reaction was performed with a total volume of 25 µl containing 12.5 µl of the 2x universal </w:t>
      </w:r>
      <w:proofErr w:type="spellStart"/>
      <w:r w:rsidRPr="000244D6">
        <w:rPr>
          <w:lang w:val="en-GB"/>
        </w:rPr>
        <w:t>mastermix</w:t>
      </w:r>
      <w:proofErr w:type="spellEnd"/>
      <w:r w:rsidRPr="000244D6">
        <w:rPr>
          <w:lang w:val="en-GB"/>
        </w:rPr>
        <w:t xml:space="preserve"> (containing ROX reference dye ,</w:t>
      </w:r>
      <w:proofErr w:type="spellStart"/>
      <w:r w:rsidRPr="000244D6">
        <w:rPr>
          <w:lang w:val="en-GB"/>
        </w:rPr>
        <w:t>Taqman</w:t>
      </w:r>
      <w:proofErr w:type="spellEnd"/>
      <w:r w:rsidRPr="000244D6">
        <w:rPr>
          <w:lang w:val="en-GB"/>
        </w:rPr>
        <w:t xml:space="preserve">), 0.5 µl of BSA was added with 8.5 µl of RNA und DNA free water,300 </w:t>
      </w:r>
      <w:proofErr w:type="spellStart"/>
      <w:r w:rsidRPr="000244D6">
        <w:rPr>
          <w:lang w:val="en-GB"/>
        </w:rPr>
        <w:t>nM</w:t>
      </w:r>
      <w:proofErr w:type="spellEnd"/>
      <w:r w:rsidRPr="000244D6">
        <w:rPr>
          <w:lang w:val="en-GB"/>
        </w:rPr>
        <w:t xml:space="preserve"> of both the </w:t>
      </w:r>
      <w:proofErr w:type="spellStart"/>
      <w:r w:rsidRPr="000244D6">
        <w:rPr>
          <w:lang w:val="en-GB"/>
        </w:rPr>
        <w:t>Nif</w:t>
      </w:r>
      <w:r w:rsidRPr="000244D6">
        <w:rPr>
          <w:i/>
          <w:iCs/>
          <w:lang w:val="en-GB"/>
        </w:rPr>
        <w:t>H</w:t>
      </w:r>
      <w:proofErr w:type="spellEnd"/>
      <w:r w:rsidRPr="000244D6">
        <w:rPr>
          <w:lang w:val="en-GB"/>
        </w:rPr>
        <w:t xml:space="preserve"> and </w:t>
      </w:r>
      <w:proofErr w:type="spellStart"/>
      <w:r w:rsidRPr="000244D6">
        <w:rPr>
          <w:lang w:val="en-GB"/>
        </w:rPr>
        <w:t>Mnif</w:t>
      </w:r>
      <w:proofErr w:type="spellEnd"/>
      <w:r w:rsidRPr="000244D6">
        <w:rPr>
          <w:lang w:val="en-GB"/>
        </w:rPr>
        <w:t xml:space="preserve"> primers, 100 </w:t>
      </w:r>
      <w:proofErr w:type="spellStart"/>
      <w:r w:rsidRPr="000244D6">
        <w:rPr>
          <w:lang w:val="en-GB"/>
        </w:rPr>
        <w:t>nM</w:t>
      </w:r>
      <w:proofErr w:type="spellEnd"/>
      <w:r w:rsidRPr="000244D6">
        <w:rPr>
          <w:lang w:val="en-GB"/>
        </w:rPr>
        <w:t xml:space="preserve"> probe and between 13 to 300 ng of DNA from the faecal sample or 3 µl of the quantification standard. All samples were run in threefold with a 7 point standard curve which served as a positive control, with a blanc also in threefold. The final cycling conditions were an initial step of 95º Celsius for 10 minute, and with a 50 times repeated cycle starting with 10 seconds at 95º degrees and then for 30 seconds at 57º degrees Celsius. The data from the RT-PCR was processed with the use of the program </w:t>
      </w:r>
      <w:proofErr w:type="spellStart"/>
      <w:r w:rsidRPr="000244D6">
        <w:rPr>
          <w:lang w:val="en-GB"/>
        </w:rPr>
        <w:t>SDSShell</w:t>
      </w:r>
      <w:proofErr w:type="spellEnd"/>
      <w:r w:rsidRPr="000244D6">
        <w:rPr>
          <w:lang w:val="en-GB"/>
        </w:rPr>
        <w:t xml:space="preserve"> (Applied Biosystems). This is linked with the </w:t>
      </w:r>
      <w:proofErr w:type="spellStart"/>
      <w:r w:rsidRPr="000244D6">
        <w:rPr>
          <w:lang w:val="en-GB"/>
        </w:rPr>
        <w:t>Taqman</w:t>
      </w:r>
      <w:proofErr w:type="spellEnd"/>
      <w:r w:rsidRPr="000244D6">
        <w:rPr>
          <w:lang w:val="en-GB"/>
        </w:rPr>
        <w:t xml:space="preserve"> machine that has been used (7500 fast real time PCR system, Applied Biosystems).The baseline and threshold were set automatically by the </w:t>
      </w:r>
      <w:proofErr w:type="spellStart"/>
      <w:r w:rsidRPr="000244D6">
        <w:rPr>
          <w:lang w:val="en-GB"/>
        </w:rPr>
        <w:t>SDSShell</w:t>
      </w:r>
      <w:proofErr w:type="spellEnd"/>
      <w:r w:rsidRPr="000244D6">
        <w:rPr>
          <w:lang w:val="en-GB"/>
        </w:rPr>
        <w:t xml:space="preserve"> software. The Cycle threshold (Ct) where the fluorescence of the sample exceeded the background fluorescence were recorded. The numbers of M. smithii were calculated from the standard curve. This standard curve was produced by the quantification standard in relation to their Ct value</w:t>
      </w:r>
      <w:r>
        <w:rPr>
          <w:lang w:val="en-GB"/>
        </w:rPr>
        <w:t>.</w:t>
      </w:r>
    </w:p>
    <w:p w14:paraId="0A93E554" w14:textId="23B332DB" w:rsidR="00CE17BC" w:rsidRDefault="00CE17BC" w:rsidP="00CE17BC">
      <w:pPr>
        <w:pStyle w:val="MDPI31text"/>
        <w:ind w:firstLine="0"/>
        <w:jc w:val="left"/>
        <w:rPr>
          <w:lang w:val="en-GB"/>
        </w:rPr>
      </w:pPr>
    </w:p>
    <w:p w14:paraId="2CB2B93A" w14:textId="7DB4C93B" w:rsidR="009818F0" w:rsidRPr="009818F0" w:rsidRDefault="009818F0" w:rsidP="00CE17BC">
      <w:pPr>
        <w:pStyle w:val="MDPI31text"/>
        <w:ind w:firstLine="0"/>
        <w:jc w:val="left"/>
        <w:rPr>
          <w:b/>
          <w:bCs/>
          <w:lang w:val="en-GB"/>
        </w:rPr>
      </w:pPr>
      <w:r>
        <w:rPr>
          <w:b/>
          <w:bCs/>
          <w:lang w:val="en-GB"/>
        </w:rPr>
        <w:t>References</w:t>
      </w:r>
    </w:p>
    <w:p w14:paraId="3BEE3EA8" w14:textId="777D79B6" w:rsidR="009818F0" w:rsidRPr="009818F0" w:rsidRDefault="009818F0" w:rsidP="009818F0">
      <w:pPr>
        <w:widowControl w:val="0"/>
        <w:autoSpaceDE w:val="0"/>
        <w:autoSpaceDN w:val="0"/>
        <w:adjustRightInd w:val="0"/>
        <w:spacing w:line="240" w:lineRule="atLeast"/>
        <w:ind w:left="640" w:hanging="640"/>
        <w:rPr>
          <w:rFonts w:ascii="Palatino Linotype" w:hAnsi="Palatino Linotype"/>
          <w:noProof/>
          <w:sz w:val="20"/>
          <w:szCs w:val="24"/>
        </w:rPr>
      </w:pPr>
      <w:r>
        <w:rPr>
          <w:highlight w:val="yellow"/>
        </w:rPr>
        <w:fldChar w:fldCharType="begin" w:fldLock="1"/>
      </w:r>
      <w:r>
        <w:rPr>
          <w:highlight w:val="yellow"/>
        </w:rPr>
        <w:instrText xml:space="preserve">ADDIN Mendeley Bibliography CSL_BIBLIOGRAPHY </w:instrText>
      </w:r>
      <w:r>
        <w:rPr>
          <w:highlight w:val="yellow"/>
        </w:rPr>
        <w:fldChar w:fldCharType="separate"/>
      </w:r>
      <w:r w:rsidRPr="009818F0">
        <w:rPr>
          <w:rFonts w:ascii="Palatino Linotype" w:hAnsi="Palatino Linotype"/>
          <w:noProof/>
          <w:sz w:val="20"/>
          <w:szCs w:val="24"/>
        </w:rPr>
        <w:t xml:space="preserve">1. </w:t>
      </w:r>
      <w:r w:rsidRPr="009818F0">
        <w:rPr>
          <w:rFonts w:ascii="Palatino Linotype" w:hAnsi="Palatino Linotype"/>
          <w:noProof/>
          <w:sz w:val="20"/>
          <w:szCs w:val="24"/>
        </w:rPr>
        <w:tab/>
        <w:t xml:space="preserve">Yu, Z.; Morrison, M. Improved extraction of PCR-quality community DNA from digesta and fecal samples. </w:t>
      </w:r>
      <w:r w:rsidRPr="009818F0">
        <w:rPr>
          <w:rFonts w:ascii="Palatino Linotype" w:hAnsi="Palatino Linotype"/>
          <w:i/>
          <w:iCs/>
          <w:noProof/>
          <w:sz w:val="20"/>
          <w:szCs w:val="24"/>
        </w:rPr>
        <w:t>Biotechniques</w:t>
      </w:r>
      <w:r w:rsidRPr="009818F0">
        <w:rPr>
          <w:rFonts w:ascii="Palatino Linotype" w:hAnsi="Palatino Linotype"/>
          <w:noProof/>
          <w:sz w:val="20"/>
          <w:szCs w:val="24"/>
        </w:rPr>
        <w:t xml:space="preserve"> </w:t>
      </w:r>
      <w:r w:rsidRPr="009818F0">
        <w:rPr>
          <w:rFonts w:ascii="Palatino Linotype" w:hAnsi="Palatino Linotype"/>
          <w:b/>
          <w:bCs/>
          <w:noProof/>
          <w:sz w:val="20"/>
          <w:szCs w:val="24"/>
        </w:rPr>
        <w:t>2004</w:t>
      </w:r>
      <w:r w:rsidRPr="009818F0">
        <w:rPr>
          <w:rFonts w:ascii="Palatino Linotype" w:hAnsi="Palatino Linotype"/>
          <w:noProof/>
          <w:sz w:val="20"/>
          <w:szCs w:val="24"/>
        </w:rPr>
        <w:t xml:space="preserve">, </w:t>
      </w:r>
      <w:r w:rsidRPr="009818F0">
        <w:rPr>
          <w:rFonts w:ascii="Palatino Linotype" w:hAnsi="Palatino Linotype"/>
          <w:i/>
          <w:iCs/>
          <w:noProof/>
          <w:sz w:val="20"/>
          <w:szCs w:val="24"/>
        </w:rPr>
        <w:t>36</w:t>
      </w:r>
      <w:r w:rsidRPr="009818F0">
        <w:rPr>
          <w:rFonts w:ascii="Palatino Linotype" w:hAnsi="Palatino Linotype"/>
          <w:noProof/>
          <w:sz w:val="20"/>
          <w:szCs w:val="24"/>
        </w:rPr>
        <w:t>, 808–812.</w:t>
      </w:r>
    </w:p>
    <w:p w14:paraId="3DE68CB9" w14:textId="77777777" w:rsidR="009818F0" w:rsidRPr="009818F0" w:rsidRDefault="009818F0" w:rsidP="009818F0">
      <w:pPr>
        <w:widowControl w:val="0"/>
        <w:autoSpaceDE w:val="0"/>
        <w:autoSpaceDN w:val="0"/>
        <w:adjustRightInd w:val="0"/>
        <w:spacing w:line="240" w:lineRule="atLeast"/>
        <w:ind w:left="640" w:hanging="640"/>
        <w:rPr>
          <w:rFonts w:ascii="Palatino Linotype" w:hAnsi="Palatino Linotype"/>
          <w:noProof/>
          <w:sz w:val="20"/>
          <w:szCs w:val="24"/>
        </w:rPr>
      </w:pPr>
      <w:r w:rsidRPr="009818F0">
        <w:rPr>
          <w:rFonts w:ascii="Palatino Linotype" w:hAnsi="Palatino Linotype"/>
          <w:noProof/>
          <w:sz w:val="20"/>
          <w:szCs w:val="24"/>
        </w:rPr>
        <w:t xml:space="preserve">2. </w:t>
      </w:r>
      <w:r w:rsidRPr="009818F0">
        <w:rPr>
          <w:rFonts w:ascii="Palatino Linotype" w:hAnsi="Palatino Linotype"/>
          <w:noProof/>
          <w:sz w:val="20"/>
          <w:szCs w:val="24"/>
        </w:rPr>
        <w:tab/>
        <w:t xml:space="preserve">Goffau, M.C. De; Luopajärvi, K.; Knip, M.; Ilonen, J.; Ruohtula, T.; Härkönen, T.; Orivuori, L.; Hakala, S.; Welling, G.W.; Harmsen, H.J. Fecal Microbiota Composition Differs Between Children With b -Cell Autoimmunity and Those Without. </w:t>
      </w:r>
      <w:r w:rsidRPr="009818F0">
        <w:rPr>
          <w:rFonts w:ascii="Palatino Linotype" w:hAnsi="Palatino Linotype"/>
          <w:i/>
          <w:iCs/>
          <w:noProof/>
          <w:sz w:val="20"/>
          <w:szCs w:val="24"/>
        </w:rPr>
        <w:t>Diabetes</w:t>
      </w:r>
      <w:r w:rsidRPr="009818F0">
        <w:rPr>
          <w:rFonts w:ascii="Palatino Linotype" w:hAnsi="Palatino Linotype"/>
          <w:noProof/>
          <w:sz w:val="20"/>
          <w:szCs w:val="24"/>
        </w:rPr>
        <w:t xml:space="preserve"> </w:t>
      </w:r>
      <w:r w:rsidRPr="009818F0">
        <w:rPr>
          <w:rFonts w:ascii="Palatino Linotype" w:hAnsi="Palatino Linotype"/>
          <w:b/>
          <w:bCs/>
          <w:noProof/>
          <w:sz w:val="20"/>
          <w:szCs w:val="24"/>
        </w:rPr>
        <w:t>2013</w:t>
      </w:r>
      <w:r w:rsidRPr="009818F0">
        <w:rPr>
          <w:rFonts w:ascii="Palatino Linotype" w:hAnsi="Palatino Linotype"/>
          <w:noProof/>
          <w:sz w:val="20"/>
          <w:szCs w:val="24"/>
        </w:rPr>
        <w:t xml:space="preserve">, </w:t>
      </w:r>
      <w:r w:rsidRPr="009818F0">
        <w:rPr>
          <w:rFonts w:ascii="Palatino Linotype" w:hAnsi="Palatino Linotype"/>
          <w:i/>
          <w:iCs/>
          <w:noProof/>
          <w:sz w:val="20"/>
          <w:szCs w:val="24"/>
        </w:rPr>
        <w:t>62</w:t>
      </w:r>
      <w:r w:rsidRPr="009818F0">
        <w:rPr>
          <w:rFonts w:ascii="Palatino Linotype" w:hAnsi="Palatino Linotype"/>
          <w:noProof/>
          <w:sz w:val="20"/>
          <w:szCs w:val="24"/>
        </w:rPr>
        <w:t>, 1238–1244.</w:t>
      </w:r>
    </w:p>
    <w:p w14:paraId="50B158F1" w14:textId="77777777" w:rsidR="009818F0" w:rsidRPr="009818F0" w:rsidRDefault="009818F0" w:rsidP="009818F0">
      <w:pPr>
        <w:widowControl w:val="0"/>
        <w:autoSpaceDE w:val="0"/>
        <w:autoSpaceDN w:val="0"/>
        <w:adjustRightInd w:val="0"/>
        <w:spacing w:line="240" w:lineRule="atLeast"/>
        <w:ind w:left="640" w:hanging="640"/>
        <w:rPr>
          <w:rFonts w:ascii="Palatino Linotype" w:hAnsi="Palatino Linotype"/>
          <w:noProof/>
          <w:sz w:val="20"/>
          <w:szCs w:val="24"/>
        </w:rPr>
      </w:pPr>
      <w:r w:rsidRPr="009818F0">
        <w:rPr>
          <w:rFonts w:ascii="Palatino Linotype" w:hAnsi="Palatino Linotype"/>
          <w:noProof/>
          <w:sz w:val="20"/>
          <w:szCs w:val="24"/>
        </w:rPr>
        <w:t xml:space="preserve">3. </w:t>
      </w:r>
      <w:r w:rsidRPr="009818F0">
        <w:rPr>
          <w:rFonts w:ascii="Palatino Linotype" w:hAnsi="Palatino Linotype"/>
          <w:noProof/>
          <w:sz w:val="20"/>
          <w:szCs w:val="24"/>
        </w:rPr>
        <w:tab/>
        <w:t xml:space="preserve">Khelaifia, S.; Garibal, M.; Robert, C.; Raoult, D.; Drancourt, M. Draft Genome Sequencing of Methanobrevibacter oralis Strain JMR01, Isolated from the Human Intestinal Microbiota. </w:t>
      </w:r>
      <w:r w:rsidRPr="009818F0">
        <w:rPr>
          <w:rFonts w:ascii="Palatino Linotype" w:hAnsi="Palatino Linotype"/>
          <w:i/>
          <w:iCs/>
          <w:noProof/>
          <w:sz w:val="20"/>
          <w:szCs w:val="24"/>
        </w:rPr>
        <w:t>Genome Announc.</w:t>
      </w:r>
      <w:r w:rsidRPr="009818F0">
        <w:rPr>
          <w:rFonts w:ascii="Palatino Linotype" w:hAnsi="Palatino Linotype"/>
          <w:noProof/>
          <w:sz w:val="20"/>
          <w:szCs w:val="24"/>
        </w:rPr>
        <w:t xml:space="preserve"> </w:t>
      </w:r>
      <w:r w:rsidRPr="009818F0">
        <w:rPr>
          <w:rFonts w:ascii="Palatino Linotype" w:hAnsi="Palatino Linotype"/>
          <w:b/>
          <w:bCs/>
          <w:noProof/>
          <w:sz w:val="20"/>
          <w:szCs w:val="24"/>
        </w:rPr>
        <w:t>2014</w:t>
      </w:r>
      <w:r w:rsidRPr="009818F0">
        <w:rPr>
          <w:rFonts w:ascii="Palatino Linotype" w:hAnsi="Palatino Linotype"/>
          <w:noProof/>
          <w:sz w:val="20"/>
          <w:szCs w:val="24"/>
        </w:rPr>
        <w:t xml:space="preserve">, </w:t>
      </w:r>
      <w:r w:rsidRPr="009818F0">
        <w:rPr>
          <w:rFonts w:ascii="Palatino Linotype" w:hAnsi="Palatino Linotype"/>
          <w:i/>
          <w:iCs/>
          <w:noProof/>
          <w:sz w:val="20"/>
          <w:szCs w:val="24"/>
        </w:rPr>
        <w:t>2</w:t>
      </w:r>
      <w:r w:rsidRPr="009818F0">
        <w:rPr>
          <w:rFonts w:ascii="Palatino Linotype" w:hAnsi="Palatino Linotype"/>
          <w:noProof/>
          <w:sz w:val="20"/>
          <w:szCs w:val="24"/>
        </w:rPr>
        <w:t>, 2013–2014.</w:t>
      </w:r>
    </w:p>
    <w:p w14:paraId="66D16CD4" w14:textId="03C2142A" w:rsidR="00CE17BC" w:rsidRPr="009818F0" w:rsidRDefault="009818F0" w:rsidP="009818F0">
      <w:pPr>
        <w:widowControl w:val="0"/>
        <w:autoSpaceDE w:val="0"/>
        <w:autoSpaceDN w:val="0"/>
        <w:adjustRightInd w:val="0"/>
        <w:spacing w:line="240" w:lineRule="atLeast"/>
        <w:ind w:left="640" w:hanging="640"/>
        <w:rPr>
          <w:highlight w:val="yellow"/>
        </w:rPr>
      </w:pPr>
      <w:r w:rsidRPr="009818F0">
        <w:rPr>
          <w:rFonts w:ascii="Palatino Linotype" w:hAnsi="Palatino Linotype"/>
          <w:noProof/>
          <w:sz w:val="20"/>
          <w:szCs w:val="24"/>
        </w:rPr>
        <w:t xml:space="preserve">4. </w:t>
      </w:r>
      <w:r w:rsidRPr="009818F0">
        <w:rPr>
          <w:rFonts w:ascii="Palatino Linotype" w:hAnsi="Palatino Linotype"/>
          <w:noProof/>
          <w:sz w:val="20"/>
          <w:szCs w:val="24"/>
        </w:rPr>
        <w:tab/>
        <w:t xml:space="preserve">Johnston, C.; Ufnar, J.A.; Griffith, J.F.; Gooch, J.A.; Stewart, J.R. A real-time qPCR assay for the detection of the nifH gene of Methanobrevibacter smithii, a potential indicator of sewage pollution. </w:t>
      </w:r>
      <w:r w:rsidRPr="009818F0">
        <w:rPr>
          <w:rFonts w:ascii="Palatino Linotype" w:hAnsi="Palatino Linotype"/>
          <w:i/>
          <w:iCs/>
          <w:noProof/>
          <w:sz w:val="20"/>
          <w:szCs w:val="24"/>
        </w:rPr>
        <w:t>J. Appl. Microbiol.</w:t>
      </w:r>
      <w:r w:rsidRPr="009818F0">
        <w:rPr>
          <w:rFonts w:ascii="Palatino Linotype" w:hAnsi="Palatino Linotype"/>
          <w:noProof/>
          <w:sz w:val="20"/>
          <w:szCs w:val="24"/>
        </w:rPr>
        <w:t xml:space="preserve"> </w:t>
      </w:r>
      <w:r w:rsidRPr="009818F0">
        <w:rPr>
          <w:rFonts w:ascii="Palatino Linotype" w:hAnsi="Palatino Linotype"/>
          <w:b/>
          <w:bCs/>
          <w:noProof/>
          <w:sz w:val="20"/>
          <w:szCs w:val="24"/>
        </w:rPr>
        <w:t>2010</w:t>
      </w:r>
      <w:r w:rsidRPr="009818F0">
        <w:rPr>
          <w:rFonts w:ascii="Palatino Linotype" w:hAnsi="Palatino Linotype"/>
          <w:noProof/>
          <w:sz w:val="20"/>
          <w:szCs w:val="24"/>
        </w:rPr>
        <w:t xml:space="preserve">, </w:t>
      </w:r>
      <w:r w:rsidRPr="009818F0">
        <w:rPr>
          <w:rFonts w:ascii="Palatino Linotype" w:hAnsi="Palatino Linotype"/>
          <w:i/>
          <w:iCs/>
          <w:noProof/>
          <w:sz w:val="20"/>
          <w:szCs w:val="24"/>
        </w:rPr>
        <w:t>109</w:t>
      </w:r>
      <w:r w:rsidRPr="009818F0">
        <w:rPr>
          <w:rFonts w:ascii="Palatino Linotype" w:hAnsi="Palatino Linotype"/>
          <w:noProof/>
          <w:sz w:val="20"/>
          <w:szCs w:val="24"/>
        </w:rPr>
        <w:t>, 1946–1956.</w:t>
      </w:r>
      <w:r>
        <w:rPr>
          <w:highlight w:val="yellow"/>
        </w:rPr>
        <w:fldChar w:fldCharType="end"/>
      </w:r>
    </w:p>
    <w:sectPr w:rsidR="00CE17BC" w:rsidRPr="009818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944"/>
    <w:rsid w:val="0002147C"/>
    <w:rsid w:val="000A22BD"/>
    <w:rsid w:val="00157357"/>
    <w:rsid w:val="001D0E77"/>
    <w:rsid w:val="00283AFD"/>
    <w:rsid w:val="00411022"/>
    <w:rsid w:val="004B7D68"/>
    <w:rsid w:val="004F66EC"/>
    <w:rsid w:val="00553470"/>
    <w:rsid w:val="005A3262"/>
    <w:rsid w:val="005B2944"/>
    <w:rsid w:val="005E217F"/>
    <w:rsid w:val="009818F0"/>
    <w:rsid w:val="00A500A2"/>
    <w:rsid w:val="00AB0EAC"/>
    <w:rsid w:val="00BE4F17"/>
    <w:rsid w:val="00C34049"/>
    <w:rsid w:val="00C612BB"/>
    <w:rsid w:val="00C73BCF"/>
    <w:rsid w:val="00CE0810"/>
    <w:rsid w:val="00CE17BC"/>
    <w:rsid w:val="00EA2152"/>
    <w:rsid w:val="00F76C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6E954"/>
  <w15:docId w15:val="{F9EF28B3-448E-4FDC-9D2C-3F15CAE1B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B2944"/>
    <w:pPr>
      <w:spacing w:after="0" w:line="340" w:lineRule="atLeast"/>
      <w:jc w:val="both"/>
    </w:pPr>
    <w:rPr>
      <w:rFonts w:ascii="Times New Roman" w:eastAsia="Times New Roman" w:hAnsi="Times New Roman" w:cs="Times New Roman"/>
      <w:color w:val="000000"/>
      <w:sz w:val="24"/>
      <w:szCs w:val="20"/>
      <w:lang w:val="en-US" w:eastAsia="de-D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DPI32textnoindent">
    <w:name w:val="MDPI_3.2_text_no_indent"/>
    <w:basedOn w:val="MDPI31text"/>
    <w:qFormat/>
    <w:rsid w:val="005B2944"/>
    <w:pPr>
      <w:ind w:firstLine="0"/>
    </w:pPr>
  </w:style>
  <w:style w:type="paragraph" w:customStyle="1" w:styleId="MDPI31text">
    <w:name w:val="MDPI_3.1_text"/>
    <w:qFormat/>
    <w:rsid w:val="005B2944"/>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21heading1">
    <w:name w:val="MDPI_2.1_heading1"/>
    <w:basedOn w:val="Standaard"/>
    <w:qFormat/>
    <w:rsid w:val="005B2944"/>
    <w:pPr>
      <w:adjustRightInd w:val="0"/>
      <w:snapToGrid w:val="0"/>
      <w:spacing w:before="240" w:after="120" w:line="260" w:lineRule="atLeast"/>
      <w:jc w:val="left"/>
      <w:outlineLvl w:val="0"/>
    </w:pPr>
    <w:rPr>
      <w:rFonts w:ascii="Palatino Linotype" w:hAnsi="Palatino Linotype"/>
      <w:b/>
      <w:snapToGrid w:val="0"/>
      <w:sz w:val="20"/>
      <w:szCs w:val="22"/>
      <w:lang w:bidi="en-US"/>
    </w:rPr>
  </w:style>
  <w:style w:type="paragraph" w:customStyle="1" w:styleId="MDPI22heading2">
    <w:name w:val="MDPI_2.2_heading2"/>
    <w:basedOn w:val="Standaard"/>
    <w:qFormat/>
    <w:rsid w:val="005B2944"/>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character" w:styleId="Verwijzingopmerking">
    <w:name w:val="annotation reference"/>
    <w:basedOn w:val="Standaardalinea-lettertype"/>
    <w:uiPriority w:val="99"/>
    <w:semiHidden/>
    <w:unhideWhenUsed/>
    <w:rsid w:val="005B2944"/>
    <w:rPr>
      <w:sz w:val="16"/>
      <w:szCs w:val="16"/>
    </w:rPr>
  </w:style>
  <w:style w:type="paragraph" w:styleId="Tekstopmerking">
    <w:name w:val="annotation text"/>
    <w:basedOn w:val="Standaard"/>
    <w:link w:val="TekstopmerkingChar"/>
    <w:uiPriority w:val="99"/>
    <w:unhideWhenUsed/>
    <w:rsid w:val="005B2944"/>
    <w:pPr>
      <w:spacing w:line="240" w:lineRule="auto"/>
    </w:pPr>
    <w:rPr>
      <w:sz w:val="20"/>
    </w:rPr>
  </w:style>
  <w:style w:type="character" w:customStyle="1" w:styleId="TekstopmerkingChar">
    <w:name w:val="Tekst opmerking Char"/>
    <w:basedOn w:val="Standaardalinea-lettertype"/>
    <w:link w:val="Tekstopmerking"/>
    <w:uiPriority w:val="99"/>
    <w:rsid w:val="005B2944"/>
    <w:rPr>
      <w:rFonts w:ascii="Times New Roman" w:eastAsia="Times New Roman" w:hAnsi="Times New Roman" w:cs="Times New Roman"/>
      <w:color w:val="000000"/>
      <w:sz w:val="20"/>
      <w:szCs w:val="20"/>
      <w:lang w:val="en-US" w:eastAsia="de-DE"/>
    </w:rPr>
  </w:style>
  <w:style w:type="paragraph" w:customStyle="1" w:styleId="Default">
    <w:name w:val="Default"/>
    <w:rsid w:val="005B2944"/>
    <w:pPr>
      <w:autoSpaceDE w:val="0"/>
      <w:autoSpaceDN w:val="0"/>
      <w:adjustRightInd w:val="0"/>
      <w:spacing w:after="0" w:line="240" w:lineRule="auto"/>
    </w:pPr>
    <w:rPr>
      <w:rFonts w:ascii="Calibri" w:hAnsi="Calibri" w:cs="Calibri"/>
      <w:color w:val="000000"/>
      <w:sz w:val="24"/>
      <w:szCs w:val="24"/>
      <w:lang w:val="nl-NL"/>
    </w:rPr>
  </w:style>
  <w:style w:type="paragraph" w:styleId="Ballontekst">
    <w:name w:val="Balloon Text"/>
    <w:basedOn w:val="Standaard"/>
    <w:link w:val="BallontekstChar"/>
    <w:uiPriority w:val="99"/>
    <w:semiHidden/>
    <w:unhideWhenUsed/>
    <w:rsid w:val="005B2944"/>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B2944"/>
    <w:rPr>
      <w:rFonts w:ascii="Tahoma" w:eastAsia="Times New Roman" w:hAnsi="Tahoma" w:cs="Tahoma"/>
      <w:color w:val="000000"/>
      <w:sz w:val="16"/>
      <w:szCs w:val="16"/>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6AD82-5F99-46D4-8068-1F7582201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2492</Words>
  <Characters>13709</Characters>
  <Application>Microsoft Office Word</Application>
  <DocSecurity>0</DocSecurity>
  <Lines>114</Lines>
  <Paragraphs>32</Paragraphs>
  <ScaleCrop>false</ScaleCrop>
  <HeadingPairs>
    <vt:vector size="2" baseType="variant">
      <vt:variant>
        <vt:lpstr>Titel</vt:lpstr>
      </vt:variant>
      <vt:variant>
        <vt:i4>1</vt:i4>
      </vt:variant>
    </vt:vector>
  </HeadingPairs>
  <TitlesOfParts>
    <vt:vector size="1" baseType="lpstr">
      <vt:lpstr/>
    </vt:vector>
  </TitlesOfParts>
  <Company>Universitair Medisch Centrum Groningen</Company>
  <LinksUpToDate>false</LinksUpToDate>
  <CharactersWithSpaces>16169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Knobbe, TJ (int)</dc:creator>
  <cp:lastModifiedBy>Tim Knobbe</cp:lastModifiedBy>
  <cp:revision>6</cp:revision>
  <dcterms:created xsi:type="dcterms:W3CDTF">2020-01-28T19:55:00Z</dcterms:created>
  <dcterms:modified xsi:type="dcterms:W3CDTF">2020-02-01T13:17:00Z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(deprecated)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http://www.zotero.org/styles/journal-of-clinical-medicine</vt:lpwstr>
  </property>
  <property fmtid="{D5CDD505-2E9C-101B-9397-08002B2CF9AE}" pid="15" name="Mendeley Recent Style Name 6_1">
    <vt:lpwstr>Journal of Clinical Medicine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47f9619b-db1b-3de8-842d-3d58bae92853</vt:lpwstr>
  </property>
  <property fmtid="{D5CDD505-2E9C-101B-9397-08002B2CF9AE}" pid="24" name="Mendeley Citation Style_1">
    <vt:lpwstr>http://www.zotero.org/styles/journal-of-clinical-medicine</vt:lpwstr>
  </property>
</Properties>
</file>