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1945015" w14:textId="58EA67F1" w:rsidR="00EE212B" w:rsidRPr="0081105E" w:rsidRDefault="004B6D5F" w:rsidP="0081105E">
      <w:pPr>
        <w:wordWrap/>
        <w:jc w:val="center"/>
        <w:rPr>
          <w:rFonts w:ascii="Palatino Linotype" w:hAnsi="Palatino Linotype" w:cs="Times New Roman"/>
          <w:b/>
          <w:szCs w:val="20"/>
        </w:rPr>
      </w:pPr>
      <w:r w:rsidRPr="0081105E">
        <w:rPr>
          <w:rFonts w:ascii="Palatino Linotype" w:hAnsi="Palatino Linotype" w:cs="Times New Roman"/>
          <w:b/>
          <w:szCs w:val="20"/>
        </w:rPr>
        <w:t>P</w:t>
      </w:r>
      <w:r w:rsidR="00EE212B" w:rsidRPr="0081105E">
        <w:rPr>
          <w:rFonts w:ascii="Palatino Linotype" w:hAnsi="Palatino Linotype" w:cs="Times New Roman"/>
          <w:b/>
          <w:szCs w:val="20"/>
        </w:rPr>
        <w:t xml:space="preserve">lasma </w:t>
      </w:r>
      <w:proofErr w:type="spellStart"/>
      <w:r w:rsidR="00F62259">
        <w:rPr>
          <w:rFonts w:ascii="Palatino Linotype" w:hAnsi="Palatino Linotype" w:cs="Times New Roman"/>
          <w:b/>
          <w:szCs w:val="20"/>
        </w:rPr>
        <w:t>L</w:t>
      </w:r>
      <w:r w:rsidR="00EE212B" w:rsidRPr="0081105E">
        <w:rPr>
          <w:rFonts w:ascii="Palatino Linotype" w:hAnsi="Palatino Linotype" w:cs="Times New Roman"/>
          <w:b/>
          <w:szCs w:val="20"/>
        </w:rPr>
        <w:t>ysyl</w:t>
      </w:r>
      <w:proofErr w:type="spellEnd"/>
      <w:r w:rsidR="00EE212B" w:rsidRPr="0081105E">
        <w:rPr>
          <w:rFonts w:ascii="Palatino Linotype" w:hAnsi="Palatino Linotype" w:cs="Times New Roman"/>
          <w:b/>
          <w:szCs w:val="20"/>
        </w:rPr>
        <w:t xml:space="preserve">-tRNA </w:t>
      </w:r>
      <w:r w:rsidR="00F62259">
        <w:rPr>
          <w:rFonts w:ascii="Palatino Linotype" w:hAnsi="Palatino Linotype" w:cs="Times New Roman"/>
          <w:b/>
          <w:szCs w:val="20"/>
        </w:rPr>
        <w:t>S</w:t>
      </w:r>
      <w:r w:rsidR="00EE212B" w:rsidRPr="0081105E">
        <w:rPr>
          <w:rFonts w:ascii="Palatino Linotype" w:hAnsi="Palatino Linotype" w:cs="Times New Roman"/>
          <w:b/>
          <w:szCs w:val="20"/>
        </w:rPr>
        <w:t>ynthetase</w:t>
      </w:r>
      <w:r w:rsidR="00F658CA" w:rsidRPr="0081105E">
        <w:rPr>
          <w:rFonts w:ascii="Palatino Linotype" w:hAnsi="Palatino Linotype" w:cs="Times New Roman"/>
          <w:b/>
          <w:szCs w:val="20"/>
        </w:rPr>
        <w:t xml:space="preserve"> 1</w:t>
      </w:r>
      <w:r w:rsidR="00C93D79">
        <w:rPr>
          <w:rFonts w:ascii="Palatino Linotype" w:hAnsi="Palatino Linotype" w:cs="Times New Roman"/>
          <w:b/>
          <w:szCs w:val="20"/>
        </w:rPr>
        <w:t xml:space="preserve"> (KARS1)</w:t>
      </w:r>
      <w:r w:rsidR="00E43040" w:rsidRPr="0081105E">
        <w:rPr>
          <w:rFonts w:ascii="Palatino Linotype" w:hAnsi="Palatino Linotype" w:cs="Times New Roman"/>
          <w:b/>
          <w:szCs w:val="20"/>
        </w:rPr>
        <w:t xml:space="preserve"> as </w:t>
      </w:r>
      <w:r w:rsidR="00EE212B" w:rsidRPr="0081105E">
        <w:rPr>
          <w:rFonts w:ascii="Palatino Linotype" w:hAnsi="Palatino Linotype" w:cs="Times New Roman"/>
          <w:b/>
          <w:szCs w:val="20"/>
        </w:rPr>
        <w:t xml:space="preserve">a </w:t>
      </w:r>
      <w:r w:rsidR="00F62259">
        <w:rPr>
          <w:rFonts w:ascii="Palatino Linotype" w:hAnsi="Palatino Linotype" w:cs="Times New Roman"/>
          <w:b/>
          <w:szCs w:val="20"/>
        </w:rPr>
        <w:t>N</w:t>
      </w:r>
      <w:r w:rsidR="00EE212B" w:rsidRPr="0081105E">
        <w:rPr>
          <w:rFonts w:ascii="Palatino Linotype" w:hAnsi="Palatino Linotype" w:cs="Times New Roman"/>
          <w:b/>
          <w:szCs w:val="20"/>
        </w:rPr>
        <w:t xml:space="preserve">ovel </w:t>
      </w:r>
      <w:r w:rsidR="00F62259">
        <w:rPr>
          <w:rFonts w:ascii="Palatino Linotype" w:hAnsi="Palatino Linotype" w:cs="Times New Roman"/>
          <w:b/>
          <w:szCs w:val="20"/>
        </w:rPr>
        <w:t>D</w:t>
      </w:r>
      <w:r w:rsidR="00EE212B" w:rsidRPr="0081105E">
        <w:rPr>
          <w:rFonts w:ascii="Palatino Linotype" w:hAnsi="Palatino Linotype" w:cs="Times New Roman"/>
          <w:b/>
          <w:szCs w:val="20"/>
        </w:rPr>
        <w:t>iagnostic</w:t>
      </w:r>
      <w:r w:rsidR="00F62259">
        <w:rPr>
          <w:rFonts w:ascii="Palatino Linotype" w:hAnsi="Palatino Linotype" w:cs="Times New Roman"/>
          <w:b/>
          <w:szCs w:val="20"/>
        </w:rPr>
        <w:t xml:space="preserve"> a</w:t>
      </w:r>
      <w:r w:rsidR="00EE212B" w:rsidRPr="0081105E">
        <w:rPr>
          <w:rFonts w:ascii="Palatino Linotype" w:hAnsi="Palatino Linotype" w:cs="Times New Roman"/>
          <w:b/>
          <w:szCs w:val="20"/>
        </w:rPr>
        <w:t xml:space="preserve">nd </w:t>
      </w:r>
      <w:r w:rsidR="00F62259">
        <w:rPr>
          <w:rFonts w:ascii="Palatino Linotype" w:hAnsi="Palatino Linotype" w:cs="Times New Roman"/>
          <w:b/>
          <w:szCs w:val="20"/>
        </w:rPr>
        <w:t>M</w:t>
      </w:r>
      <w:r w:rsidR="00002F55">
        <w:rPr>
          <w:rFonts w:ascii="Palatino Linotype" w:hAnsi="Palatino Linotype" w:cs="Times New Roman"/>
          <w:b/>
          <w:szCs w:val="20"/>
        </w:rPr>
        <w:t>onitoring</w:t>
      </w:r>
      <w:r w:rsidR="00EE212B" w:rsidRPr="0081105E">
        <w:rPr>
          <w:rFonts w:ascii="Palatino Linotype" w:hAnsi="Palatino Linotype" w:cs="Times New Roman"/>
          <w:b/>
          <w:szCs w:val="20"/>
        </w:rPr>
        <w:t xml:space="preserve"> </w:t>
      </w:r>
      <w:r w:rsidR="00F62259">
        <w:rPr>
          <w:rFonts w:ascii="Palatino Linotype" w:hAnsi="Palatino Linotype" w:cs="Times New Roman"/>
          <w:b/>
          <w:szCs w:val="20"/>
        </w:rPr>
        <w:t>B</w:t>
      </w:r>
      <w:r w:rsidR="00EE212B" w:rsidRPr="0081105E">
        <w:rPr>
          <w:rFonts w:ascii="Palatino Linotype" w:hAnsi="Palatino Linotype" w:cs="Times New Roman"/>
          <w:b/>
          <w:szCs w:val="20"/>
        </w:rPr>
        <w:t xml:space="preserve">iomarker for </w:t>
      </w:r>
      <w:r w:rsidR="00F62259">
        <w:rPr>
          <w:rFonts w:ascii="Palatino Linotype" w:hAnsi="Palatino Linotype" w:cs="Times New Roman"/>
          <w:b/>
          <w:szCs w:val="20"/>
        </w:rPr>
        <w:t>C</w:t>
      </w:r>
      <w:r w:rsidR="00EE212B" w:rsidRPr="0081105E">
        <w:rPr>
          <w:rFonts w:ascii="Palatino Linotype" w:hAnsi="Palatino Linotype" w:cs="Times New Roman"/>
          <w:b/>
          <w:szCs w:val="20"/>
        </w:rPr>
        <w:t xml:space="preserve">olorectal </w:t>
      </w:r>
      <w:r w:rsidR="00F62259">
        <w:rPr>
          <w:rFonts w:ascii="Palatino Linotype" w:hAnsi="Palatino Linotype" w:cs="Times New Roman"/>
          <w:b/>
          <w:szCs w:val="20"/>
        </w:rPr>
        <w:t>C</w:t>
      </w:r>
      <w:r w:rsidR="00EE212B" w:rsidRPr="0081105E">
        <w:rPr>
          <w:rFonts w:ascii="Palatino Linotype" w:hAnsi="Palatino Linotype" w:cs="Times New Roman"/>
          <w:b/>
          <w:szCs w:val="20"/>
        </w:rPr>
        <w:t>ancer</w:t>
      </w:r>
    </w:p>
    <w:p w14:paraId="51D10B6C" w14:textId="3161A708" w:rsidR="00EE212B" w:rsidRPr="0081105E" w:rsidRDefault="00EE212B" w:rsidP="0081105E">
      <w:pPr>
        <w:wordWrap/>
        <w:rPr>
          <w:rFonts w:ascii="Palatino Linotype" w:hAnsi="Palatino Linotype"/>
          <w:bCs/>
          <w:color w:val="000000" w:themeColor="text1"/>
          <w:szCs w:val="20"/>
          <w:vertAlign w:val="superscript"/>
        </w:rPr>
      </w:pPr>
      <w:r w:rsidRPr="0081105E">
        <w:rPr>
          <w:rFonts w:ascii="Palatino Linotype" w:hAnsi="Palatino Linotype"/>
          <w:bCs/>
          <w:color w:val="000000" w:themeColor="text1"/>
          <w:szCs w:val="20"/>
        </w:rPr>
        <w:t>Ji Hun Suh</w:t>
      </w:r>
      <w:r w:rsidRPr="0081105E">
        <w:rPr>
          <w:rFonts w:ascii="Palatino Linotype" w:hAnsi="Palatino Linotype"/>
          <w:bCs/>
          <w:color w:val="000000" w:themeColor="text1"/>
          <w:szCs w:val="20"/>
          <w:vertAlign w:val="superscript"/>
        </w:rPr>
        <w:t>1,2</w:t>
      </w:r>
      <w:r w:rsidRPr="0081105E">
        <w:rPr>
          <w:rFonts w:ascii="Palatino Linotype" w:hAnsi="Palatino Linotype"/>
          <w:bCs/>
          <w:szCs w:val="20"/>
          <w:vertAlign w:val="superscript"/>
        </w:rPr>
        <w:t>§</w:t>
      </w:r>
      <w:r w:rsidRPr="0081105E">
        <w:rPr>
          <w:rFonts w:ascii="Palatino Linotype" w:hAnsi="Palatino Linotype"/>
          <w:bCs/>
          <w:color w:val="000000" w:themeColor="text1"/>
          <w:szCs w:val="20"/>
        </w:rPr>
        <w:t xml:space="preserve">, Min </w:t>
      </w:r>
      <w:proofErr w:type="spellStart"/>
      <w:r w:rsidRPr="0081105E">
        <w:rPr>
          <w:rFonts w:ascii="Palatino Linotype" w:hAnsi="Palatino Linotype"/>
          <w:bCs/>
          <w:color w:val="000000" w:themeColor="text1"/>
          <w:szCs w:val="20"/>
        </w:rPr>
        <w:t>Chul</w:t>
      </w:r>
      <w:proofErr w:type="spellEnd"/>
      <w:r w:rsidRPr="0081105E">
        <w:rPr>
          <w:rFonts w:ascii="Palatino Linotype" w:hAnsi="Palatino Linotype"/>
          <w:bCs/>
          <w:color w:val="000000" w:themeColor="text1"/>
          <w:szCs w:val="20"/>
        </w:rPr>
        <w:t xml:space="preserve"> Park</w:t>
      </w:r>
      <w:r w:rsidRPr="0081105E">
        <w:rPr>
          <w:rFonts w:ascii="Palatino Linotype" w:hAnsi="Palatino Linotype"/>
          <w:bCs/>
          <w:color w:val="000000" w:themeColor="text1"/>
          <w:szCs w:val="20"/>
          <w:vertAlign w:val="superscript"/>
        </w:rPr>
        <w:t>1</w:t>
      </w:r>
      <w:r w:rsidRPr="0081105E">
        <w:rPr>
          <w:rFonts w:ascii="Palatino Linotype" w:hAnsi="Palatino Linotype"/>
          <w:bCs/>
          <w:szCs w:val="20"/>
          <w:vertAlign w:val="superscript"/>
        </w:rPr>
        <w:t>§</w:t>
      </w:r>
      <w:r w:rsidRPr="0081105E">
        <w:rPr>
          <w:rFonts w:ascii="Palatino Linotype" w:hAnsi="Palatino Linotype"/>
          <w:bCs/>
          <w:szCs w:val="20"/>
        </w:rPr>
        <w:t xml:space="preserve">, </w:t>
      </w:r>
      <w:r w:rsidRPr="0081105E">
        <w:rPr>
          <w:rFonts w:ascii="Palatino Linotype" w:hAnsi="Palatino Linotype"/>
          <w:bCs/>
          <w:color w:val="000000" w:themeColor="text1"/>
          <w:szCs w:val="20"/>
        </w:rPr>
        <w:t>Peter C. Goughnour</w:t>
      </w:r>
      <w:r w:rsidRPr="0081105E">
        <w:rPr>
          <w:rFonts w:ascii="Palatino Linotype" w:hAnsi="Palatino Linotype"/>
          <w:bCs/>
          <w:color w:val="000000" w:themeColor="text1"/>
          <w:szCs w:val="20"/>
          <w:vertAlign w:val="superscript"/>
        </w:rPr>
        <w:t>1,2</w:t>
      </w:r>
      <w:r w:rsidRPr="0081105E">
        <w:rPr>
          <w:rFonts w:ascii="Palatino Linotype" w:hAnsi="Palatino Linotype"/>
          <w:bCs/>
          <w:szCs w:val="20"/>
          <w:vertAlign w:val="superscript"/>
        </w:rPr>
        <w:t>§</w:t>
      </w:r>
      <w:r w:rsidRPr="0081105E">
        <w:rPr>
          <w:rFonts w:ascii="Palatino Linotype" w:hAnsi="Palatino Linotype"/>
          <w:bCs/>
          <w:color w:val="000000" w:themeColor="text1"/>
          <w:szCs w:val="20"/>
        </w:rPr>
        <w:t>, Byung Soh Min</w:t>
      </w:r>
      <w:r w:rsidRPr="0081105E">
        <w:rPr>
          <w:rFonts w:ascii="Palatino Linotype" w:hAnsi="Palatino Linotype"/>
          <w:bCs/>
          <w:szCs w:val="20"/>
          <w:vertAlign w:val="superscript"/>
        </w:rPr>
        <w:t>3</w:t>
      </w:r>
      <w:r w:rsidRPr="0081105E">
        <w:rPr>
          <w:rFonts w:ascii="Palatino Linotype" w:hAnsi="Palatino Linotype"/>
          <w:bCs/>
          <w:color w:val="000000" w:themeColor="text1"/>
          <w:szCs w:val="20"/>
        </w:rPr>
        <w:t>, Sang</w:t>
      </w:r>
      <w:r w:rsidR="00081A6C">
        <w:rPr>
          <w:rFonts w:ascii="Palatino Linotype" w:hAnsi="Palatino Linotype"/>
          <w:bCs/>
          <w:color w:val="000000" w:themeColor="text1"/>
          <w:szCs w:val="20"/>
        </w:rPr>
        <w:t xml:space="preserve"> </w:t>
      </w:r>
      <w:r w:rsidRPr="0081105E">
        <w:rPr>
          <w:rFonts w:ascii="Palatino Linotype" w:hAnsi="Palatino Linotype"/>
          <w:bCs/>
          <w:color w:val="000000" w:themeColor="text1"/>
          <w:szCs w:val="20"/>
        </w:rPr>
        <w:t>Bum Kim</w:t>
      </w:r>
      <w:r w:rsidRPr="0081105E">
        <w:rPr>
          <w:rFonts w:ascii="Palatino Linotype" w:hAnsi="Palatino Linotype"/>
          <w:bCs/>
          <w:color w:val="000000" w:themeColor="text1"/>
          <w:szCs w:val="20"/>
          <w:vertAlign w:val="superscript"/>
        </w:rPr>
        <w:t>1</w:t>
      </w:r>
      <w:r w:rsidRPr="0081105E">
        <w:rPr>
          <w:rFonts w:ascii="Palatino Linotype" w:hAnsi="Palatino Linotype"/>
          <w:bCs/>
          <w:szCs w:val="20"/>
        </w:rPr>
        <w:t>,</w:t>
      </w:r>
      <w:r w:rsidRPr="0081105E">
        <w:rPr>
          <w:rFonts w:ascii="Palatino Linotype" w:hAnsi="Palatino Linotype"/>
          <w:bCs/>
          <w:szCs w:val="20"/>
          <w:vertAlign w:val="superscript"/>
        </w:rPr>
        <w:t xml:space="preserve"> </w:t>
      </w:r>
      <w:r w:rsidRPr="0081105E">
        <w:rPr>
          <w:rFonts w:ascii="Palatino Linotype" w:hAnsi="Palatino Linotype"/>
          <w:bCs/>
          <w:szCs w:val="20"/>
        </w:rPr>
        <w:t>Woo Yong Lee</w:t>
      </w:r>
      <w:r w:rsidRPr="0081105E">
        <w:rPr>
          <w:rFonts w:ascii="Palatino Linotype" w:hAnsi="Palatino Linotype"/>
          <w:bCs/>
          <w:szCs w:val="20"/>
          <w:vertAlign w:val="superscript"/>
        </w:rPr>
        <w:t>4,5</w:t>
      </w:r>
      <w:r w:rsidRPr="0081105E">
        <w:rPr>
          <w:rFonts w:ascii="Palatino Linotype" w:hAnsi="Palatino Linotype"/>
          <w:bCs/>
          <w:szCs w:val="20"/>
        </w:rPr>
        <w:t xml:space="preserve">, Yong </w:t>
      </w:r>
      <w:proofErr w:type="spellStart"/>
      <w:r w:rsidRPr="0081105E">
        <w:rPr>
          <w:rFonts w:ascii="Palatino Linotype" w:hAnsi="Palatino Linotype"/>
          <w:bCs/>
          <w:szCs w:val="20"/>
        </w:rPr>
        <w:t>Beom</w:t>
      </w:r>
      <w:proofErr w:type="spellEnd"/>
      <w:r w:rsidRPr="0081105E">
        <w:rPr>
          <w:rFonts w:ascii="Palatino Linotype" w:hAnsi="Palatino Linotype"/>
          <w:bCs/>
          <w:szCs w:val="20"/>
        </w:rPr>
        <w:t xml:space="preserve"> Cho</w:t>
      </w:r>
      <w:r w:rsidRPr="0081105E">
        <w:rPr>
          <w:rFonts w:ascii="Palatino Linotype" w:hAnsi="Palatino Linotype"/>
          <w:bCs/>
          <w:szCs w:val="20"/>
          <w:vertAlign w:val="superscript"/>
        </w:rPr>
        <w:t>4,5</w:t>
      </w:r>
      <w:r w:rsidRPr="0081105E">
        <w:rPr>
          <w:rFonts w:ascii="Palatino Linotype" w:hAnsi="Palatino Linotype"/>
          <w:bCs/>
          <w:color w:val="000000" w:themeColor="text1"/>
          <w:szCs w:val="20"/>
        </w:rPr>
        <w:t xml:space="preserve">, Jae </w:t>
      </w:r>
      <w:proofErr w:type="spellStart"/>
      <w:r w:rsidRPr="0081105E">
        <w:rPr>
          <w:rFonts w:ascii="Palatino Linotype" w:hAnsi="Palatino Linotype"/>
          <w:bCs/>
          <w:color w:val="000000" w:themeColor="text1"/>
          <w:szCs w:val="20"/>
        </w:rPr>
        <w:t>Hee</w:t>
      </w:r>
      <w:proofErr w:type="spellEnd"/>
      <w:r w:rsidRPr="0081105E">
        <w:rPr>
          <w:rFonts w:ascii="Palatino Linotype" w:hAnsi="Palatino Linotype"/>
          <w:bCs/>
          <w:color w:val="000000" w:themeColor="text1"/>
          <w:szCs w:val="20"/>
        </w:rPr>
        <w:t xml:space="preserve"> Cheon</w:t>
      </w:r>
      <w:r w:rsidR="00B36F6C">
        <w:rPr>
          <w:rFonts w:ascii="Palatino Linotype" w:hAnsi="Palatino Linotype"/>
          <w:bCs/>
          <w:szCs w:val="20"/>
          <w:vertAlign w:val="superscript"/>
        </w:rPr>
        <w:t>6</w:t>
      </w:r>
      <w:r w:rsidRPr="0081105E">
        <w:rPr>
          <w:rFonts w:ascii="Palatino Linotype" w:hAnsi="Palatino Linotype"/>
          <w:bCs/>
          <w:color w:val="000000" w:themeColor="text1"/>
          <w:szCs w:val="20"/>
        </w:rPr>
        <w:t>, Kang Young Lee</w:t>
      </w:r>
      <w:r w:rsidRPr="0081105E">
        <w:rPr>
          <w:rFonts w:ascii="Palatino Linotype" w:hAnsi="Palatino Linotype"/>
          <w:bCs/>
          <w:szCs w:val="20"/>
          <w:vertAlign w:val="superscript"/>
        </w:rPr>
        <w:t>3</w:t>
      </w:r>
      <w:r w:rsidRPr="0081105E">
        <w:rPr>
          <w:rFonts w:ascii="Palatino Linotype" w:hAnsi="Palatino Linotype"/>
          <w:bCs/>
          <w:szCs w:val="20"/>
        </w:rPr>
        <w:t>, Do-Hyun Nam</w:t>
      </w:r>
      <w:r w:rsidR="00B36F6C">
        <w:rPr>
          <w:rFonts w:ascii="Palatino Linotype" w:hAnsi="Palatino Linotype"/>
          <w:bCs/>
          <w:szCs w:val="20"/>
          <w:vertAlign w:val="superscript"/>
        </w:rPr>
        <w:t>5</w:t>
      </w:r>
      <w:r w:rsidRPr="0081105E">
        <w:rPr>
          <w:rFonts w:ascii="Palatino Linotype" w:hAnsi="Palatino Linotype"/>
          <w:bCs/>
          <w:szCs w:val="20"/>
          <w:vertAlign w:val="superscript"/>
        </w:rPr>
        <w:t>,</w:t>
      </w:r>
      <w:r w:rsidR="00B36F6C">
        <w:rPr>
          <w:rFonts w:ascii="Palatino Linotype" w:hAnsi="Palatino Linotype"/>
          <w:bCs/>
          <w:szCs w:val="20"/>
          <w:vertAlign w:val="superscript"/>
        </w:rPr>
        <w:t>7</w:t>
      </w:r>
      <w:r w:rsidRPr="0081105E">
        <w:rPr>
          <w:rFonts w:ascii="Palatino Linotype" w:hAnsi="Palatino Linotype"/>
          <w:bCs/>
          <w:szCs w:val="20"/>
          <w:vertAlign w:val="superscript"/>
        </w:rPr>
        <w:t>,</w:t>
      </w:r>
      <w:r w:rsidR="00B36F6C">
        <w:rPr>
          <w:rFonts w:ascii="Palatino Linotype" w:hAnsi="Palatino Linotype"/>
          <w:bCs/>
          <w:szCs w:val="20"/>
          <w:vertAlign w:val="superscript"/>
        </w:rPr>
        <w:t>8</w:t>
      </w:r>
      <w:r w:rsidRPr="0081105E">
        <w:rPr>
          <w:rFonts w:ascii="Palatino Linotype" w:hAnsi="Palatino Linotype"/>
          <w:bCs/>
          <w:color w:val="000000" w:themeColor="text1"/>
          <w:szCs w:val="20"/>
        </w:rPr>
        <w:t xml:space="preserve"> and </w:t>
      </w:r>
      <w:proofErr w:type="spellStart"/>
      <w:r w:rsidRPr="0081105E">
        <w:rPr>
          <w:rFonts w:ascii="Palatino Linotype" w:hAnsi="Palatino Linotype"/>
          <w:bCs/>
          <w:color w:val="000000" w:themeColor="text1"/>
          <w:szCs w:val="20"/>
        </w:rPr>
        <w:t>Sunghoon</w:t>
      </w:r>
      <w:proofErr w:type="spellEnd"/>
      <w:r w:rsidRPr="0081105E">
        <w:rPr>
          <w:rFonts w:ascii="Palatino Linotype" w:hAnsi="Palatino Linotype"/>
          <w:bCs/>
          <w:color w:val="000000" w:themeColor="text1"/>
          <w:szCs w:val="20"/>
        </w:rPr>
        <w:t xml:space="preserve"> Kim</w:t>
      </w:r>
      <w:r w:rsidRPr="0081105E">
        <w:rPr>
          <w:rFonts w:ascii="Palatino Linotype" w:hAnsi="Palatino Linotype"/>
          <w:bCs/>
          <w:color w:val="000000" w:themeColor="text1"/>
          <w:szCs w:val="20"/>
          <w:vertAlign w:val="superscript"/>
        </w:rPr>
        <w:t>1,2*</w:t>
      </w:r>
    </w:p>
    <w:p w14:paraId="017E654D" w14:textId="77777777" w:rsidR="00EE212B" w:rsidRPr="0081105E" w:rsidRDefault="00EE212B" w:rsidP="0081105E">
      <w:pPr>
        <w:wordWrap/>
        <w:rPr>
          <w:rFonts w:ascii="Palatino Linotype" w:hAnsi="Palatino Linotype"/>
          <w:bCs/>
          <w:szCs w:val="20"/>
        </w:rPr>
      </w:pPr>
    </w:p>
    <w:p w14:paraId="67F37FE3" w14:textId="5E2735C2" w:rsidR="00260C75" w:rsidRDefault="00260C75" w:rsidP="0081105E">
      <w:pPr>
        <w:rPr>
          <w:rFonts w:ascii="Palatino Linotype" w:hAnsi="Palatino Linotype" w:cs="Times New Roman"/>
          <w:b/>
          <w:szCs w:val="20"/>
        </w:rPr>
      </w:pPr>
      <w:r w:rsidRPr="0081105E">
        <w:rPr>
          <w:rFonts w:ascii="Palatino Linotype" w:hAnsi="Palatino Linotype" w:cs="Times New Roman"/>
          <w:b/>
          <w:szCs w:val="20"/>
        </w:rPr>
        <w:t>Supplementary figure legends</w:t>
      </w:r>
    </w:p>
    <w:p w14:paraId="21462946" w14:textId="77777777" w:rsidR="008C7900" w:rsidRPr="008C7900" w:rsidRDefault="008C7900" w:rsidP="0081105E">
      <w:pPr>
        <w:rPr>
          <w:rFonts w:ascii="Palatino Linotype" w:hAnsi="Palatino Linotype" w:cs="Times New Roman"/>
          <w:b/>
          <w:szCs w:val="20"/>
        </w:rPr>
      </w:pPr>
    </w:p>
    <w:p w14:paraId="34CC1122" w14:textId="5AFFD5D4" w:rsidR="00127C49" w:rsidRPr="0081105E" w:rsidRDefault="00127C49" w:rsidP="0081105E">
      <w:pPr>
        <w:rPr>
          <w:rFonts w:ascii="Palatino Linotype" w:hAnsi="Palatino Linotype" w:cs="Times New Roman"/>
          <w:bCs/>
          <w:szCs w:val="20"/>
        </w:rPr>
      </w:pPr>
      <w:r w:rsidRPr="0081105E">
        <w:rPr>
          <w:rFonts w:ascii="Palatino Linotype" w:hAnsi="Palatino Linotype" w:cs="Times New Roman"/>
          <w:b/>
          <w:szCs w:val="20"/>
        </w:rPr>
        <w:t>Supplementary Table S1</w:t>
      </w:r>
      <w:r w:rsidRPr="0081105E">
        <w:rPr>
          <w:rFonts w:ascii="Palatino Linotype" w:hAnsi="Palatino Linotype" w:cs="Times New Roman"/>
          <w:b/>
          <w:iCs/>
          <w:color w:val="000000" w:themeColor="text1"/>
          <w:szCs w:val="20"/>
        </w:rPr>
        <w:t xml:space="preserve">. Comparison of the plasma levels of ARSs and cancer biomarkers between healthy controls and CRC patients. </w:t>
      </w:r>
      <w:r w:rsidRPr="0081105E">
        <w:rPr>
          <w:rFonts w:ascii="Palatino Linotype" w:hAnsi="Palatino Linotype" w:cs="Times New Roman"/>
          <w:iCs/>
          <w:color w:val="000000" w:themeColor="text1"/>
          <w:szCs w:val="20"/>
        </w:rPr>
        <w:t xml:space="preserve">Plasma levels were presented as mean </w:t>
      </w:r>
      <w:r w:rsidRPr="0081105E">
        <w:rPr>
          <w:rFonts w:ascii="Palatino Linotype" w:hAnsi="Palatino Linotype" w:cs="Times New Roman"/>
          <w:szCs w:val="20"/>
        </w:rPr>
        <w:t>±</w:t>
      </w:r>
      <w:r w:rsidRPr="0081105E">
        <w:rPr>
          <w:rFonts w:ascii="Palatino Linotype" w:hAnsi="Palatino Linotype" w:cs="Times New Roman"/>
          <w:iCs/>
          <w:color w:val="000000" w:themeColor="text1"/>
          <w:szCs w:val="20"/>
        </w:rPr>
        <w:t xml:space="preserve"> </w:t>
      </w:r>
      <w:r w:rsidRPr="0081105E">
        <w:rPr>
          <w:rFonts w:ascii="Palatino Linotype" w:hAnsi="Palatino Linotype" w:cs="Times New Roman"/>
          <w:bCs/>
          <w:szCs w:val="20"/>
        </w:rPr>
        <w:t>SEM</w:t>
      </w:r>
      <w:r w:rsidRPr="0081105E">
        <w:rPr>
          <w:rFonts w:ascii="Palatino Linotype" w:hAnsi="Palatino Linotype" w:cs="Times New Roman"/>
          <w:iCs/>
          <w:color w:val="000000" w:themeColor="text1"/>
          <w:szCs w:val="20"/>
        </w:rPr>
        <w:t xml:space="preserve">. Except for CA 19-9 (U/mL), </w:t>
      </w:r>
      <w:proofErr w:type="spellStart"/>
      <w:r w:rsidRPr="0081105E">
        <w:rPr>
          <w:rFonts w:ascii="Palatino Linotype" w:hAnsi="Palatino Linotype" w:cs="Times New Roman"/>
          <w:iCs/>
          <w:color w:val="000000" w:themeColor="text1"/>
          <w:szCs w:val="20"/>
        </w:rPr>
        <w:t>pg</w:t>
      </w:r>
      <w:proofErr w:type="spellEnd"/>
      <w:r w:rsidRPr="0081105E">
        <w:rPr>
          <w:rFonts w:ascii="Palatino Linotype" w:hAnsi="Palatino Linotype" w:cs="Times New Roman"/>
          <w:iCs/>
          <w:color w:val="000000" w:themeColor="text1"/>
          <w:szCs w:val="20"/>
        </w:rPr>
        <w:t>/mL was used as the unit for concentration.</w:t>
      </w:r>
    </w:p>
    <w:p w14:paraId="13BA1C92" w14:textId="77777777" w:rsidR="00127C49" w:rsidRPr="0081105E" w:rsidRDefault="00127C49" w:rsidP="0081105E">
      <w:pPr>
        <w:rPr>
          <w:rFonts w:ascii="Palatino Linotype" w:hAnsi="Palatino Linotype" w:cs="Times New Roman"/>
          <w:b/>
          <w:iCs/>
          <w:color w:val="000000" w:themeColor="text1"/>
          <w:szCs w:val="20"/>
        </w:rPr>
      </w:pPr>
    </w:p>
    <w:p w14:paraId="65E6D0FF" w14:textId="121E3ABF" w:rsidR="00127C49" w:rsidRPr="0081105E" w:rsidRDefault="00127C49" w:rsidP="0081105E">
      <w:pPr>
        <w:rPr>
          <w:rFonts w:ascii="Palatino Linotype" w:hAnsi="Palatino Linotype" w:cs="Times New Roman"/>
          <w:iCs/>
          <w:color w:val="000000" w:themeColor="text1"/>
          <w:szCs w:val="20"/>
        </w:rPr>
      </w:pPr>
      <w:r w:rsidRPr="0081105E">
        <w:rPr>
          <w:rFonts w:ascii="Palatino Linotype" w:hAnsi="Palatino Linotype" w:cs="Times New Roman"/>
          <w:b/>
          <w:szCs w:val="20"/>
        </w:rPr>
        <w:t>Supplementary Table S2</w:t>
      </w:r>
      <w:r w:rsidRPr="0081105E">
        <w:rPr>
          <w:rFonts w:ascii="Palatino Linotype" w:hAnsi="Palatino Linotype" w:cs="Times New Roman"/>
          <w:b/>
          <w:bCs/>
          <w:iCs/>
          <w:color w:val="000000" w:themeColor="text1"/>
          <w:szCs w:val="20"/>
        </w:rPr>
        <w:t>. Statistical summary for ROC</w:t>
      </w:r>
      <w:r w:rsidR="00D90C4E">
        <w:rPr>
          <w:rFonts w:ascii="Palatino Linotype" w:hAnsi="Palatino Linotype" w:cs="Times New Roman"/>
          <w:b/>
          <w:bCs/>
          <w:iCs/>
          <w:color w:val="000000" w:themeColor="text1"/>
          <w:szCs w:val="20"/>
        </w:rPr>
        <w:t xml:space="preserve"> analysis</w:t>
      </w:r>
      <w:r w:rsidR="000131B4" w:rsidRPr="000131B4">
        <w:rPr>
          <w:rFonts w:ascii="Palatino Linotype" w:hAnsi="Palatino Linotype" w:cs="Times New Roman"/>
          <w:b/>
          <w:bCs/>
          <w:iCs/>
          <w:color w:val="000000" w:themeColor="text1"/>
          <w:szCs w:val="20"/>
        </w:rPr>
        <w:t xml:space="preserve"> </w:t>
      </w:r>
      <w:r w:rsidR="000131B4" w:rsidRPr="0081105E">
        <w:rPr>
          <w:rFonts w:ascii="Palatino Linotype" w:hAnsi="Palatino Linotype" w:cs="Times New Roman"/>
          <w:b/>
          <w:bCs/>
          <w:iCs/>
          <w:color w:val="000000" w:themeColor="text1"/>
          <w:szCs w:val="20"/>
        </w:rPr>
        <w:t>of plasma proteins</w:t>
      </w:r>
      <w:r w:rsidRPr="0081105E">
        <w:rPr>
          <w:rFonts w:ascii="Palatino Linotype" w:hAnsi="Palatino Linotype" w:cs="Times New Roman"/>
          <w:iCs/>
          <w:color w:val="000000" w:themeColor="text1"/>
          <w:szCs w:val="20"/>
        </w:rPr>
        <w:t>. Statistical values of plasma protein levels were summarized</w:t>
      </w:r>
    </w:p>
    <w:p w14:paraId="7609F9D0" w14:textId="654EA717" w:rsidR="00127C49" w:rsidRDefault="00127C49" w:rsidP="0081105E">
      <w:pPr>
        <w:rPr>
          <w:rFonts w:ascii="Palatino Linotype" w:hAnsi="Palatino Linotype" w:cs="Times New Roman"/>
          <w:b/>
          <w:szCs w:val="20"/>
        </w:rPr>
      </w:pPr>
    </w:p>
    <w:p w14:paraId="4AAAE8DC" w14:textId="6281815F" w:rsidR="000131B4" w:rsidRPr="0081105E" w:rsidRDefault="000131B4" w:rsidP="000131B4">
      <w:pPr>
        <w:rPr>
          <w:rFonts w:ascii="Palatino Linotype" w:hAnsi="Palatino Linotype" w:cs="Times New Roman"/>
          <w:iCs/>
          <w:color w:val="000000" w:themeColor="text1"/>
          <w:szCs w:val="20"/>
        </w:rPr>
      </w:pPr>
      <w:r w:rsidRPr="0081105E">
        <w:rPr>
          <w:rFonts w:ascii="Palatino Linotype" w:hAnsi="Palatino Linotype" w:cs="Times New Roman"/>
          <w:b/>
          <w:szCs w:val="20"/>
        </w:rPr>
        <w:t>Supplementary Table S</w:t>
      </w:r>
      <w:r>
        <w:rPr>
          <w:rFonts w:ascii="Palatino Linotype" w:hAnsi="Palatino Linotype" w:cs="Times New Roman"/>
          <w:b/>
          <w:szCs w:val="20"/>
        </w:rPr>
        <w:t>3</w:t>
      </w:r>
      <w:r w:rsidRPr="0081105E">
        <w:rPr>
          <w:rFonts w:ascii="Palatino Linotype" w:hAnsi="Palatino Linotype" w:cs="Times New Roman"/>
          <w:b/>
          <w:bCs/>
          <w:iCs/>
          <w:color w:val="000000" w:themeColor="text1"/>
          <w:szCs w:val="20"/>
        </w:rPr>
        <w:t>. Statistical summary for Pearson correlation coefficient (Pearson r) of plasma proteins</w:t>
      </w:r>
      <w:r w:rsidRPr="0081105E">
        <w:rPr>
          <w:rFonts w:ascii="Palatino Linotype" w:hAnsi="Palatino Linotype" w:cs="Times New Roman"/>
          <w:iCs/>
          <w:color w:val="000000" w:themeColor="text1"/>
          <w:szCs w:val="20"/>
        </w:rPr>
        <w:t>. Statistical values of plasma protein levels were summarized</w:t>
      </w:r>
    </w:p>
    <w:p w14:paraId="156D0715" w14:textId="77777777" w:rsidR="000131B4" w:rsidRPr="000131B4" w:rsidRDefault="000131B4" w:rsidP="0081105E">
      <w:pPr>
        <w:rPr>
          <w:rFonts w:ascii="Palatino Linotype" w:hAnsi="Palatino Linotype" w:cs="Times New Roman"/>
          <w:b/>
          <w:szCs w:val="20"/>
        </w:rPr>
      </w:pPr>
    </w:p>
    <w:p w14:paraId="037E05F4" w14:textId="3619F9EE" w:rsidR="00260C75" w:rsidRPr="0081105E" w:rsidRDefault="00260C75" w:rsidP="0081105E">
      <w:pPr>
        <w:rPr>
          <w:rFonts w:ascii="Palatino Linotype" w:hAnsi="Palatino Linotype"/>
          <w:szCs w:val="20"/>
        </w:rPr>
      </w:pPr>
      <w:r w:rsidRPr="0081105E">
        <w:rPr>
          <w:rFonts w:ascii="Palatino Linotype" w:hAnsi="Palatino Linotype" w:cs="Times New Roman"/>
          <w:b/>
          <w:szCs w:val="20"/>
        </w:rPr>
        <w:t xml:space="preserve">Supplementary Table </w:t>
      </w:r>
      <w:r w:rsidR="00127C49" w:rsidRPr="0081105E">
        <w:rPr>
          <w:rFonts w:ascii="Palatino Linotype" w:hAnsi="Palatino Linotype" w:cs="Times New Roman"/>
          <w:b/>
          <w:szCs w:val="20"/>
        </w:rPr>
        <w:t>S</w:t>
      </w:r>
      <w:r w:rsidR="000131B4">
        <w:rPr>
          <w:rFonts w:ascii="Palatino Linotype" w:hAnsi="Palatino Linotype" w:cs="Times New Roman"/>
          <w:b/>
          <w:szCs w:val="20"/>
        </w:rPr>
        <w:t>4</w:t>
      </w:r>
      <w:r w:rsidRPr="0081105E">
        <w:rPr>
          <w:rFonts w:ascii="Palatino Linotype" w:hAnsi="Palatino Linotype" w:cs="Times New Roman"/>
          <w:b/>
          <w:szCs w:val="20"/>
        </w:rPr>
        <w:t xml:space="preserve">. Comparison of the plasma level of KARS1 and CEA in paired pre- and post-surgery CRC patients. </w:t>
      </w:r>
      <w:r w:rsidRPr="0081105E">
        <w:rPr>
          <w:rFonts w:ascii="Palatino Linotype" w:hAnsi="Palatino Linotype" w:cs="Times New Roman"/>
          <w:szCs w:val="20"/>
        </w:rPr>
        <w:t>Values were presented as</w:t>
      </w:r>
      <w:bookmarkStart w:id="0" w:name="_GoBack"/>
      <w:bookmarkEnd w:id="0"/>
      <w:r w:rsidRPr="0081105E">
        <w:rPr>
          <w:rFonts w:ascii="Palatino Linotype" w:hAnsi="Palatino Linotype" w:cs="Times New Roman"/>
          <w:szCs w:val="20"/>
        </w:rPr>
        <w:t xml:space="preserve"> mean ± </w:t>
      </w:r>
      <w:r w:rsidRPr="0081105E">
        <w:rPr>
          <w:rFonts w:ascii="Palatino Linotype" w:hAnsi="Palatino Linotype" w:cs="Times New Roman"/>
          <w:bCs/>
          <w:szCs w:val="20"/>
        </w:rPr>
        <w:t>SEM</w:t>
      </w:r>
      <w:r w:rsidRPr="0081105E">
        <w:rPr>
          <w:rFonts w:ascii="Palatino Linotype" w:hAnsi="Palatino Linotype" w:cs="Times New Roman"/>
          <w:szCs w:val="20"/>
        </w:rPr>
        <w:t xml:space="preserve">. The unit used for concentration was </w:t>
      </w:r>
      <w:proofErr w:type="spellStart"/>
      <w:r w:rsidRPr="0081105E">
        <w:rPr>
          <w:rFonts w:ascii="Palatino Linotype" w:hAnsi="Palatino Linotype" w:cs="Times New Roman"/>
          <w:szCs w:val="20"/>
        </w:rPr>
        <w:t>pg</w:t>
      </w:r>
      <w:proofErr w:type="spellEnd"/>
      <w:r w:rsidRPr="0081105E">
        <w:rPr>
          <w:rFonts w:ascii="Palatino Linotype" w:hAnsi="Palatino Linotype" w:cs="Times New Roman"/>
          <w:szCs w:val="20"/>
        </w:rPr>
        <w:t>/</w:t>
      </w:r>
      <w:proofErr w:type="spellStart"/>
      <w:r w:rsidRPr="0081105E">
        <w:rPr>
          <w:rFonts w:ascii="Palatino Linotype" w:hAnsi="Palatino Linotype" w:cs="Times New Roman"/>
          <w:szCs w:val="20"/>
        </w:rPr>
        <w:t>mL.</w:t>
      </w:r>
      <w:proofErr w:type="spellEnd"/>
      <w:r w:rsidRPr="0081105E">
        <w:rPr>
          <w:rFonts w:ascii="Palatino Linotype" w:hAnsi="Palatino Linotype"/>
          <w:szCs w:val="20"/>
        </w:rPr>
        <w:t xml:space="preserve"> </w:t>
      </w:r>
    </w:p>
    <w:p w14:paraId="14B716FE" w14:textId="77777777" w:rsidR="00260C75" w:rsidRPr="0081105E" w:rsidRDefault="00260C75" w:rsidP="0081105E">
      <w:pPr>
        <w:rPr>
          <w:rFonts w:ascii="Palatino Linotype" w:hAnsi="Palatino Linotype" w:cs="Times New Roman"/>
          <w:szCs w:val="20"/>
        </w:rPr>
      </w:pPr>
    </w:p>
    <w:p w14:paraId="4EF9CE56" w14:textId="77777777" w:rsidR="00260C75" w:rsidRPr="0081105E" w:rsidRDefault="00260C75" w:rsidP="0081105E">
      <w:pPr>
        <w:rPr>
          <w:rFonts w:ascii="Palatino Linotype" w:hAnsi="Palatino Linotype" w:cs="Times New Roman"/>
          <w:color w:val="000000" w:themeColor="text1"/>
          <w:szCs w:val="20"/>
        </w:rPr>
      </w:pPr>
      <w:r w:rsidRPr="0081105E">
        <w:rPr>
          <w:rFonts w:ascii="Palatino Linotype" w:hAnsi="Palatino Linotype" w:cs="Times New Roman"/>
          <w:b/>
          <w:bCs/>
          <w:color w:val="000000" w:themeColor="text1"/>
          <w:szCs w:val="20"/>
        </w:rPr>
        <w:t xml:space="preserve">Supplementary Figure S1. CRC specificity of plasma KARS1 as biomarker. (A) </w:t>
      </w:r>
      <w:r w:rsidRPr="0081105E">
        <w:rPr>
          <w:rFonts w:ascii="Palatino Linotype" w:hAnsi="Palatino Linotype" w:cs="Times New Roman"/>
          <w:szCs w:val="20"/>
        </w:rPr>
        <w:t xml:space="preserve">Clinical features of pancreatic cancer (PC) patients. Plasma levels of </w:t>
      </w:r>
      <w:r w:rsidRPr="0081105E">
        <w:rPr>
          <w:rFonts w:ascii="Palatino Linotype" w:hAnsi="Palatino Linotype" w:cs="Times New Roman"/>
          <w:color w:val="000000" w:themeColor="text1"/>
          <w:szCs w:val="20"/>
        </w:rPr>
        <w:t xml:space="preserve">KARS1 </w:t>
      </w:r>
      <w:r w:rsidRPr="0081105E">
        <w:rPr>
          <w:rFonts w:ascii="Palatino Linotype" w:hAnsi="Palatino Linotype" w:cs="Times New Roman"/>
          <w:b/>
          <w:color w:val="000000" w:themeColor="text1"/>
          <w:szCs w:val="20"/>
        </w:rPr>
        <w:t>(B)</w:t>
      </w:r>
      <w:r w:rsidRPr="0081105E">
        <w:rPr>
          <w:rFonts w:ascii="Palatino Linotype" w:hAnsi="Palatino Linotype" w:cs="Times New Roman"/>
          <w:color w:val="000000" w:themeColor="text1"/>
          <w:szCs w:val="20"/>
        </w:rPr>
        <w:t xml:space="preserve">, CEA </w:t>
      </w:r>
      <w:r w:rsidRPr="0081105E">
        <w:rPr>
          <w:rFonts w:ascii="Palatino Linotype" w:hAnsi="Palatino Linotype" w:cs="Times New Roman"/>
          <w:b/>
          <w:color w:val="000000" w:themeColor="text1"/>
          <w:szCs w:val="20"/>
        </w:rPr>
        <w:t>(C)</w:t>
      </w:r>
      <w:r w:rsidRPr="0081105E">
        <w:rPr>
          <w:rFonts w:ascii="Palatino Linotype" w:hAnsi="Palatino Linotype" w:cs="Times New Roman"/>
          <w:color w:val="000000" w:themeColor="text1"/>
          <w:szCs w:val="20"/>
        </w:rPr>
        <w:t xml:space="preserve"> and CA-19-9 </w:t>
      </w:r>
      <w:r w:rsidRPr="0081105E">
        <w:rPr>
          <w:rFonts w:ascii="Palatino Linotype" w:hAnsi="Palatino Linotype" w:cs="Times New Roman"/>
          <w:b/>
          <w:color w:val="000000" w:themeColor="text1"/>
          <w:szCs w:val="20"/>
        </w:rPr>
        <w:t>(D)</w:t>
      </w:r>
      <w:r w:rsidRPr="0081105E">
        <w:rPr>
          <w:rFonts w:ascii="Palatino Linotype" w:hAnsi="Palatino Linotype" w:cs="Times New Roman"/>
          <w:color w:val="000000" w:themeColor="text1"/>
          <w:szCs w:val="20"/>
        </w:rPr>
        <w:t xml:space="preserve"> were determined in PC patients and compared with the CRC as well as healthy group </w:t>
      </w:r>
      <w:r w:rsidRPr="0081105E">
        <w:rPr>
          <w:rFonts w:ascii="Palatino Linotype" w:hAnsi="Palatino Linotype" w:cs="Times New Roman"/>
          <w:b/>
          <w:color w:val="000000" w:themeColor="text1"/>
          <w:szCs w:val="20"/>
        </w:rPr>
        <w:t>(E)</w:t>
      </w:r>
      <w:r w:rsidRPr="0081105E">
        <w:rPr>
          <w:rFonts w:ascii="Palatino Linotype" w:hAnsi="Palatino Linotype" w:cs="Times New Roman"/>
          <w:color w:val="000000" w:themeColor="text1"/>
          <w:szCs w:val="20"/>
        </w:rPr>
        <w:t xml:space="preserve">. </w:t>
      </w:r>
      <w:r w:rsidRPr="0081105E">
        <w:rPr>
          <w:rFonts w:ascii="Palatino Linotype" w:hAnsi="Palatino Linotype" w:cs="Times New Roman"/>
          <w:i/>
          <w:iCs/>
          <w:color w:val="000000" w:themeColor="text1"/>
          <w:szCs w:val="20"/>
        </w:rPr>
        <w:t xml:space="preserve">P </w:t>
      </w:r>
      <w:r w:rsidRPr="0081105E">
        <w:rPr>
          <w:rFonts w:ascii="Palatino Linotype" w:hAnsi="Palatino Linotype" w:cs="Times New Roman"/>
          <w:color w:val="000000" w:themeColor="text1"/>
          <w:szCs w:val="20"/>
        </w:rPr>
        <w:t>values were analyzed using Mann-Whitney U test.</w:t>
      </w:r>
    </w:p>
    <w:p w14:paraId="606D9EB2" w14:textId="77777777" w:rsidR="00260C75" w:rsidRPr="0081105E" w:rsidRDefault="00260C75" w:rsidP="0081105E">
      <w:pPr>
        <w:rPr>
          <w:rFonts w:ascii="Palatino Linotype" w:hAnsi="Palatino Linotype" w:cs="Times New Roman"/>
          <w:szCs w:val="20"/>
        </w:rPr>
      </w:pPr>
    </w:p>
    <w:p w14:paraId="795E7E8E" w14:textId="5AFCC416" w:rsidR="00B522AD" w:rsidRPr="0081105E" w:rsidRDefault="00260C75" w:rsidP="0081105E">
      <w:pPr>
        <w:rPr>
          <w:rFonts w:ascii="Palatino Linotype" w:hAnsi="Palatino Linotype" w:cs="Times New Roman"/>
          <w:bCs/>
          <w:color w:val="000000" w:themeColor="text1"/>
          <w:szCs w:val="20"/>
        </w:rPr>
      </w:pPr>
      <w:r w:rsidRPr="0081105E">
        <w:rPr>
          <w:rFonts w:ascii="Palatino Linotype" w:hAnsi="Palatino Linotype" w:cs="Times New Roman"/>
          <w:b/>
          <w:bCs/>
          <w:color w:val="000000" w:themeColor="text1"/>
          <w:szCs w:val="20"/>
        </w:rPr>
        <w:t>Supplementary Figure S2. Pearson correlation coefficient of AIMP1, GARS1 and IL-10</w:t>
      </w:r>
      <w:r w:rsidRPr="0081105E">
        <w:rPr>
          <w:rFonts w:ascii="Palatino Linotype" w:hAnsi="Palatino Linotype" w:cs="Times New Roman"/>
          <w:color w:val="000000" w:themeColor="text1"/>
          <w:szCs w:val="20"/>
        </w:rPr>
        <w:t xml:space="preserve">. </w:t>
      </w:r>
      <w:r w:rsidRPr="0081105E">
        <w:rPr>
          <w:rFonts w:ascii="Palatino Linotype" w:hAnsi="Palatino Linotype" w:cs="Times New Roman"/>
          <w:bCs/>
          <w:color w:val="000000" w:themeColor="text1"/>
          <w:szCs w:val="20"/>
        </w:rPr>
        <w:t xml:space="preserve">Correlation of the plasma protein levels in CRC patients, including AIMP1 </w:t>
      </w:r>
      <w:r w:rsidRPr="0081105E">
        <w:rPr>
          <w:rFonts w:ascii="Palatino Linotype" w:hAnsi="Palatino Linotype" w:cs="Times New Roman"/>
          <w:b/>
          <w:bCs/>
          <w:color w:val="000000" w:themeColor="text1"/>
          <w:szCs w:val="20"/>
        </w:rPr>
        <w:t>(A)</w:t>
      </w:r>
      <w:r w:rsidRPr="0081105E">
        <w:rPr>
          <w:rFonts w:ascii="Palatino Linotype" w:hAnsi="Palatino Linotype" w:cs="Times New Roman"/>
          <w:bCs/>
          <w:color w:val="000000" w:themeColor="text1"/>
          <w:szCs w:val="20"/>
        </w:rPr>
        <w:t xml:space="preserve">, GARS1 </w:t>
      </w:r>
      <w:r w:rsidRPr="0081105E">
        <w:rPr>
          <w:rFonts w:ascii="Palatino Linotype" w:hAnsi="Palatino Linotype" w:cs="Times New Roman"/>
          <w:b/>
          <w:bCs/>
          <w:color w:val="000000" w:themeColor="text1"/>
          <w:szCs w:val="20"/>
        </w:rPr>
        <w:t>(B)</w:t>
      </w:r>
      <w:r w:rsidRPr="0081105E">
        <w:rPr>
          <w:rFonts w:ascii="Palatino Linotype" w:hAnsi="Palatino Linotype" w:cs="Times New Roman"/>
          <w:bCs/>
          <w:color w:val="000000" w:themeColor="text1"/>
          <w:szCs w:val="20"/>
        </w:rPr>
        <w:t xml:space="preserve"> and IL-10 </w:t>
      </w:r>
      <w:r w:rsidRPr="0081105E">
        <w:rPr>
          <w:rFonts w:ascii="Palatino Linotype" w:hAnsi="Palatino Linotype" w:cs="Times New Roman"/>
          <w:b/>
          <w:bCs/>
          <w:color w:val="000000" w:themeColor="text1"/>
          <w:szCs w:val="20"/>
        </w:rPr>
        <w:t>(C)</w:t>
      </w:r>
      <w:r w:rsidRPr="0081105E">
        <w:rPr>
          <w:rFonts w:ascii="Palatino Linotype" w:hAnsi="Palatino Linotype" w:cs="Times New Roman"/>
          <w:bCs/>
          <w:color w:val="000000" w:themeColor="text1"/>
          <w:szCs w:val="20"/>
        </w:rPr>
        <w:t>, with tumor size was analyzed by Pearson correlation coefficient.</w:t>
      </w:r>
    </w:p>
    <w:sectPr w:rsidR="00B522AD" w:rsidRPr="0081105E" w:rsidSect="00F37817">
      <w:footerReference w:type="default" r:id="rId7"/>
      <w:type w:val="continuous"/>
      <w:pgSz w:w="11906" w:h="16838"/>
      <w:pgMar w:top="1701" w:right="1440" w:bottom="1440" w:left="1440" w:header="851" w:footer="992" w:gutter="0"/>
      <w:lnNumType w:countBy="1" w:restart="continuous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4175B8D" w14:textId="77777777" w:rsidR="002C3557" w:rsidRDefault="002C3557" w:rsidP="005D6FA2">
      <w:r>
        <w:separator/>
      </w:r>
    </w:p>
  </w:endnote>
  <w:endnote w:type="continuationSeparator" w:id="0">
    <w:p w14:paraId="66A58DBB" w14:textId="77777777" w:rsidR="002C3557" w:rsidRDefault="002C3557" w:rsidP="005D6F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127659589"/>
      <w:docPartObj>
        <w:docPartGallery w:val="Page Numbers (Bottom of Page)"/>
        <w:docPartUnique/>
      </w:docPartObj>
    </w:sdtPr>
    <w:sdtEndPr/>
    <w:sdtContent>
      <w:p w14:paraId="5EE132BD" w14:textId="26B8A2C2" w:rsidR="00B4159B" w:rsidRDefault="00B4159B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ko-KR"/>
          </w:rPr>
          <w:t>2</w:t>
        </w:r>
        <w:r>
          <w:fldChar w:fldCharType="end"/>
        </w:r>
      </w:p>
    </w:sdtContent>
  </w:sdt>
  <w:p w14:paraId="5B4BD060" w14:textId="77777777" w:rsidR="00B4159B" w:rsidRDefault="00B4159B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E058480" w14:textId="77777777" w:rsidR="002C3557" w:rsidRDefault="002C3557" w:rsidP="005D6FA2">
      <w:r>
        <w:separator/>
      </w:r>
    </w:p>
  </w:footnote>
  <w:footnote w:type="continuationSeparator" w:id="0">
    <w:p w14:paraId="43D893C4" w14:textId="77777777" w:rsidR="002C3557" w:rsidRDefault="002C3557" w:rsidP="005D6FA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Clinical Cancer Research Copy&lt;/Style&gt;&lt;LeftDelim&gt;{&lt;/LeftDelim&gt;&lt;RightDelim&gt;}&lt;/RightDelim&gt;&lt;FontName&gt;Malgun Gothic&lt;/FontName&gt;&lt;FontSize&gt;10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wzv0rt55w0as0ue9tt2vs5eb9vefs5sz5p5f&quot;&gt;My EndNote Library Copy&lt;record-ids&gt;&lt;item&gt;11&lt;/item&gt;&lt;item&gt;12&lt;/item&gt;&lt;item&gt;33&lt;/item&gt;&lt;item&gt;65&lt;/item&gt;&lt;item&gt;135&lt;/item&gt;&lt;item&gt;178&lt;/item&gt;&lt;item&gt;181&lt;/item&gt;&lt;item&gt;189&lt;/item&gt;&lt;item&gt;191&lt;/item&gt;&lt;item&gt;192&lt;/item&gt;&lt;item&gt;197&lt;/item&gt;&lt;item&gt;199&lt;/item&gt;&lt;item&gt;200&lt;/item&gt;&lt;item&gt;201&lt;/item&gt;&lt;item&gt;202&lt;/item&gt;&lt;item&gt;203&lt;/item&gt;&lt;item&gt;208&lt;/item&gt;&lt;item&gt;209&lt;/item&gt;&lt;item&gt;210&lt;/item&gt;&lt;item&gt;211&lt;/item&gt;&lt;item&gt;214&lt;/item&gt;&lt;item&gt;215&lt;/item&gt;&lt;item&gt;216&lt;/item&gt;&lt;item&gt;217&lt;/item&gt;&lt;item&gt;218&lt;/item&gt;&lt;item&gt;219&lt;/item&gt;&lt;item&gt;220&lt;/item&gt;&lt;item&gt;222&lt;/item&gt;&lt;item&gt;223&lt;/item&gt;&lt;item&gt;224&lt;/item&gt;&lt;item&gt;225&lt;/item&gt;&lt;item&gt;226&lt;/item&gt;&lt;item&gt;227&lt;/item&gt;&lt;item&gt;228&lt;/item&gt;&lt;item&gt;229&lt;/item&gt;&lt;/record-ids&gt;&lt;/item&gt;&lt;/Libraries&gt;"/>
  </w:docVars>
  <w:rsids>
    <w:rsidRoot w:val="000E6E87"/>
    <w:rsid w:val="0000257C"/>
    <w:rsid w:val="00002B6D"/>
    <w:rsid w:val="00002F55"/>
    <w:rsid w:val="000127CF"/>
    <w:rsid w:val="000131B4"/>
    <w:rsid w:val="00014320"/>
    <w:rsid w:val="000169B3"/>
    <w:rsid w:val="00021DB4"/>
    <w:rsid w:val="00027223"/>
    <w:rsid w:val="00034CF5"/>
    <w:rsid w:val="00040C53"/>
    <w:rsid w:val="000421C8"/>
    <w:rsid w:val="000460C0"/>
    <w:rsid w:val="0005672D"/>
    <w:rsid w:val="0006535E"/>
    <w:rsid w:val="00081A6C"/>
    <w:rsid w:val="0009795D"/>
    <w:rsid w:val="000A25C9"/>
    <w:rsid w:val="000B1E44"/>
    <w:rsid w:val="000B5695"/>
    <w:rsid w:val="000C3260"/>
    <w:rsid w:val="000C50C2"/>
    <w:rsid w:val="000C54E5"/>
    <w:rsid w:val="000D4D90"/>
    <w:rsid w:val="000E427F"/>
    <w:rsid w:val="000E6E87"/>
    <w:rsid w:val="00110612"/>
    <w:rsid w:val="00120E42"/>
    <w:rsid w:val="0012461D"/>
    <w:rsid w:val="001277A6"/>
    <w:rsid w:val="00127C49"/>
    <w:rsid w:val="00132693"/>
    <w:rsid w:val="00133E07"/>
    <w:rsid w:val="00136A6D"/>
    <w:rsid w:val="00137D41"/>
    <w:rsid w:val="00145AC3"/>
    <w:rsid w:val="00147D20"/>
    <w:rsid w:val="00147FB6"/>
    <w:rsid w:val="00150AAC"/>
    <w:rsid w:val="001530B9"/>
    <w:rsid w:val="00166CE0"/>
    <w:rsid w:val="00170A77"/>
    <w:rsid w:val="00170ED2"/>
    <w:rsid w:val="00171D2E"/>
    <w:rsid w:val="0017472A"/>
    <w:rsid w:val="00184C9A"/>
    <w:rsid w:val="00194AFD"/>
    <w:rsid w:val="00194E58"/>
    <w:rsid w:val="001A2A18"/>
    <w:rsid w:val="001A3B3E"/>
    <w:rsid w:val="001B751E"/>
    <w:rsid w:val="001B7C41"/>
    <w:rsid w:val="001C19D1"/>
    <w:rsid w:val="001C3D9A"/>
    <w:rsid w:val="001E27FF"/>
    <w:rsid w:val="001E381B"/>
    <w:rsid w:val="001E724D"/>
    <w:rsid w:val="001F3533"/>
    <w:rsid w:val="001F75C8"/>
    <w:rsid w:val="00200045"/>
    <w:rsid w:val="00205CD1"/>
    <w:rsid w:val="002175D3"/>
    <w:rsid w:val="00222967"/>
    <w:rsid w:val="0023664E"/>
    <w:rsid w:val="00241B50"/>
    <w:rsid w:val="00241D73"/>
    <w:rsid w:val="002451BD"/>
    <w:rsid w:val="00247A5A"/>
    <w:rsid w:val="002533E7"/>
    <w:rsid w:val="002540E6"/>
    <w:rsid w:val="002544F7"/>
    <w:rsid w:val="00255202"/>
    <w:rsid w:val="002575E8"/>
    <w:rsid w:val="00260C75"/>
    <w:rsid w:val="00267FEA"/>
    <w:rsid w:val="00280295"/>
    <w:rsid w:val="00293E74"/>
    <w:rsid w:val="0029458D"/>
    <w:rsid w:val="002962E8"/>
    <w:rsid w:val="00296361"/>
    <w:rsid w:val="002976C5"/>
    <w:rsid w:val="002978DF"/>
    <w:rsid w:val="002A1D95"/>
    <w:rsid w:val="002B15AC"/>
    <w:rsid w:val="002B1964"/>
    <w:rsid w:val="002B5945"/>
    <w:rsid w:val="002C3557"/>
    <w:rsid w:val="002C3DB4"/>
    <w:rsid w:val="002C4BA7"/>
    <w:rsid w:val="002C6D98"/>
    <w:rsid w:val="002E2AFC"/>
    <w:rsid w:val="002E3041"/>
    <w:rsid w:val="002E39F0"/>
    <w:rsid w:val="002E5432"/>
    <w:rsid w:val="002F32E7"/>
    <w:rsid w:val="002F7682"/>
    <w:rsid w:val="002F7686"/>
    <w:rsid w:val="002F7909"/>
    <w:rsid w:val="002F7F64"/>
    <w:rsid w:val="00300964"/>
    <w:rsid w:val="00314332"/>
    <w:rsid w:val="00316B9E"/>
    <w:rsid w:val="00323217"/>
    <w:rsid w:val="003237B9"/>
    <w:rsid w:val="0032618F"/>
    <w:rsid w:val="00327149"/>
    <w:rsid w:val="00337C46"/>
    <w:rsid w:val="00346BDF"/>
    <w:rsid w:val="003506BB"/>
    <w:rsid w:val="00350F84"/>
    <w:rsid w:val="00352A77"/>
    <w:rsid w:val="003628A6"/>
    <w:rsid w:val="00365FCC"/>
    <w:rsid w:val="0036609F"/>
    <w:rsid w:val="00366B77"/>
    <w:rsid w:val="00370F36"/>
    <w:rsid w:val="00371F34"/>
    <w:rsid w:val="00372E51"/>
    <w:rsid w:val="003733F5"/>
    <w:rsid w:val="00376CD3"/>
    <w:rsid w:val="00380FB8"/>
    <w:rsid w:val="00380FF0"/>
    <w:rsid w:val="0038388C"/>
    <w:rsid w:val="00386518"/>
    <w:rsid w:val="003A0659"/>
    <w:rsid w:val="003A1F65"/>
    <w:rsid w:val="003A3055"/>
    <w:rsid w:val="003A6970"/>
    <w:rsid w:val="003B173F"/>
    <w:rsid w:val="003B53D9"/>
    <w:rsid w:val="003B6D34"/>
    <w:rsid w:val="003C0814"/>
    <w:rsid w:val="003C0D3B"/>
    <w:rsid w:val="003E4EAF"/>
    <w:rsid w:val="003F690E"/>
    <w:rsid w:val="004000FF"/>
    <w:rsid w:val="00406AE2"/>
    <w:rsid w:val="00417562"/>
    <w:rsid w:val="00435FA0"/>
    <w:rsid w:val="0043644D"/>
    <w:rsid w:val="0045144E"/>
    <w:rsid w:val="00453EF2"/>
    <w:rsid w:val="00456211"/>
    <w:rsid w:val="00470A73"/>
    <w:rsid w:val="004722E2"/>
    <w:rsid w:val="00480B03"/>
    <w:rsid w:val="00493380"/>
    <w:rsid w:val="00493DF0"/>
    <w:rsid w:val="00495DAC"/>
    <w:rsid w:val="004A0EB2"/>
    <w:rsid w:val="004A7486"/>
    <w:rsid w:val="004B1175"/>
    <w:rsid w:val="004B687B"/>
    <w:rsid w:val="004B6D5F"/>
    <w:rsid w:val="004E389F"/>
    <w:rsid w:val="004E6C3E"/>
    <w:rsid w:val="004F01CC"/>
    <w:rsid w:val="004F27FD"/>
    <w:rsid w:val="004F39F8"/>
    <w:rsid w:val="005150CC"/>
    <w:rsid w:val="005441D9"/>
    <w:rsid w:val="00544BBF"/>
    <w:rsid w:val="00545493"/>
    <w:rsid w:val="00551C18"/>
    <w:rsid w:val="0055348B"/>
    <w:rsid w:val="00577DB5"/>
    <w:rsid w:val="00582B6F"/>
    <w:rsid w:val="0058345A"/>
    <w:rsid w:val="005963D4"/>
    <w:rsid w:val="0059765E"/>
    <w:rsid w:val="005A144D"/>
    <w:rsid w:val="005B0070"/>
    <w:rsid w:val="005B112A"/>
    <w:rsid w:val="005C0C27"/>
    <w:rsid w:val="005C1524"/>
    <w:rsid w:val="005C783C"/>
    <w:rsid w:val="005D5B23"/>
    <w:rsid w:val="005D6FA2"/>
    <w:rsid w:val="005F7229"/>
    <w:rsid w:val="00610108"/>
    <w:rsid w:val="00620263"/>
    <w:rsid w:val="006204A7"/>
    <w:rsid w:val="00620CA7"/>
    <w:rsid w:val="006222B7"/>
    <w:rsid w:val="0063106F"/>
    <w:rsid w:val="006332ED"/>
    <w:rsid w:val="00663F55"/>
    <w:rsid w:val="00673F8C"/>
    <w:rsid w:val="0067697F"/>
    <w:rsid w:val="00680167"/>
    <w:rsid w:val="0068267B"/>
    <w:rsid w:val="00684627"/>
    <w:rsid w:val="00687024"/>
    <w:rsid w:val="00690366"/>
    <w:rsid w:val="00690A09"/>
    <w:rsid w:val="006A2C0C"/>
    <w:rsid w:val="006A2FEB"/>
    <w:rsid w:val="006A6382"/>
    <w:rsid w:val="006A7B2B"/>
    <w:rsid w:val="006B1D0E"/>
    <w:rsid w:val="006B6004"/>
    <w:rsid w:val="006C2EA6"/>
    <w:rsid w:val="006D02F8"/>
    <w:rsid w:val="006D069F"/>
    <w:rsid w:val="006E198D"/>
    <w:rsid w:val="006E3450"/>
    <w:rsid w:val="00700E90"/>
    <w:rsid w:val="00705079"/>
    <w:rsid w:val="00705519"/>
    <w:rsid w:val="00723647"/>
    <w:rsid w:val="00732D32"/>
    <w:rsid w:val="0074567A"/>
    <w:rsid w:val="007501C4"/>
    <w:rsid w:val="00756AC7"/>
    <w:rsid w:val="007642DE"/>
    <w:rsid w:val="0076492E"/>
    <w:rsid w:val="00783335"/>
    <w:rsid w:val="00783BBD"/>
    <w:rsid w:val="007857F2"/>
    <w:rsid w:val="007877D5"/>
    <w:rsid w:val="007A246A"/>
    <w:rsid w:val="007A3A0E"/>
    <w:rsid w:val="007B2425"/>
    <w:rsid w:val="007B7E85"/>
    <w:rsid w:val="007B7F16"/>
    <w:rsid w:val="007C2BCA"/>
    <w:rsid w:val="007D68BB"/>
    <w:rsid w:val="007E0784"/>
    <w:rsid w:val="007E71CA"/>
    <w:rsid w:val="007F1254"/>
    <w:rsid w:val="007F2C5A"/>
    <w:rsid w:val="007F3147"/>
    <w:rsid w:val="007F5C08"/>
    <w:rsid w:val="0080362C"/>
    <w:rsid w:val="00804E57"/>
    <w:rsid w:val="00806361"/>
    <w:rsid w:val="0081105E"/>
    <w:rsid w:val="00816439"/>
    <w:rsid w:val="008242B4"/>
    <w:rsid w:val="00840BCB"/>
    <w:rsid w:val="00842E28"/>
    <w:rsid w:val="008544DD"/>
    <w:rsid w:val="00857532"/>
    <w:rsid w:val="008623F9"/>
    <w:rsid w:val="00891A0D"/>
    <w:rsid w:val="0089491F"/>
    <w:rsid w:val="008A222D"/>
    <w:rsid w:val="008A6CDC"/>
    <w:rsid w:val="008B2487"/>
    <w:rsid w:val="008B5224"/>
    <w:rsid w:val="008C0ECF"/>
    <w:rsid w:val="008C7900"/>
    <w:rsid w:val="008D61FD"/>
    <w:rsid w:val="008E2BBE"/>
    <w:rsid w:val="008E5D54"/>
    <w:rsid w:val="008E6209"/>
    <w:rsid w:val="008F0AF2"/>
    <w:rsid w:val="008F47FD"/>
    <w:rsid w:val="009252B7"/>
    <w:rsid w:val="009414C1"/>
    <w:rsid w:val="00944C78"/>
    <w:rsid w:val="009527B8"/>
    <w:rsid w:val="00965BB4"/>
    <w:rsid w:val="009866B2"/>
    <w:rsid w:val="00986BE4"/>
    <w:rsid w:val="009871E4"/>
    <w:rsid w:val="009873D0"/>
    <w:rsid w:val="00991F40"/>
    <w:rsid w:val="009A4AD9"/>
    <w:rsid w:val="009D0E31"/>
    <w:rsid w:val="009E2BC1"/>
    <w:rsid w:val="009E348C"/>
    <w:rsid w:val="00A078CB"/>
    <w:rsid w:val="00A12A43"/>
    <w:rsid w:val="00A13DA0"/>
    <w:rsid w:val="00A17B78"/>
    <w:rsid w:val="00A226D5"/>
    <w:rsid w:val="00A30F51"/>
    <w:rsid w:val="00A41FD6"/>
    <w:rsid w:val="00A43233"/>
    <w:rsid w:val="00A5101C"/>
    <w:rsid w:val="00A52945"/>
    <w:rsid w:val="00A733D0"/>
    <w:rsid w:val="00A777CF"/>
    <w:rsid w:val="00A81A38"/>
    <w:rsid w:val="00A85A46"/>
    <w:rsid w:val="00A96A3A"/>
    <w:rsid w:val="00AA14A5"/>
    <w:rsid w:val="00AB134D"/>
    <w:rsid w:val="00AB709D"/>
    <w:rsid w:val="00AC0B2C"/>
    <w:rsid w:val="00AC598D"/>
    <w:rsid w:val="00AD058C"/>
    <w:rsid w:val="00AE47EB"/>
    <w:rsid w:val="00B004BC"/>
    <w:rsid w:val="00B14A9B"/>
    <w:rsid w:val="00B2472C"/>
    <w:rsid w:val="00B25366"/>
    <w:rsid w:val="00B27B73"/>
    <w:rsid w:val="00B30514"/>
    <w:rsid w:val="00B36F6C"/>
    <w:rsid w:val="00B370A7"/>
    <w:rsid w:val="00B4159B"/>
    <w:rsid w:val="00B43659"/>
    <w:rsid w:val="00B444BD"/>
    <w:rsid w:val="00B52033"/>
    <w:rsid w:val="00B522AD"/>
    <w:rsid w:val="00B56153"/>
    <w:rsid w:val="00B57884"/>
    <w:rsid w:val="00B60A8B"/>
    <w:rsid w:val="00B63ADD"/>
    <w:rsid w:val="00B65143"/>
    <w:rsid w:val="00B65FAC"/>
    <w:rsid w:val="00B81FBD"/>
    <w:rsid w:val="00B82166"/>
    <w:rsid w:val="00B86B74"/>
    <w:rsid w:val="00B90AA5"/>
    <w:rsid w:val="00B95280"/>
    <w:rsid w:val="00B9658B"/>
    <w:rsid w:val="00BA3042"/>
    <w:rsid w:val="00BA74E8"/>
    <w:rsid w:val="00BC27EC"/>
    <w:rsid w:val="00BE006B"/>
    <w:rsid w:val="00BE1100"/>
    <w:rsid w:val="00BE469E"/>
    <w:rsid w:val="00BF5B87"/>
    <w:rsid w:val="00C00B0F"/>
    <w:rsid w:val="00C0595F"/>
    <w:rsid w:val="00C17401"/>
    <w:rsid w:val="00C20FD9"/>
    <w:rsid w:val="00C230CE"/>
    <w:rsid w:val="00C33439"/>
    <w:rsid w:val="00C42DDD"/>
    <w:rsid w:val="00C4375C"/>
    <w:rsid w:val="00C45484"/>
    <w:rsid w:val="00C472E3"/>
    <w:rsid w:val="00C8647C"/>
    <w:rsid w:val="00C91C95"/>
    <w:rsid w:val="00C93D79"/>
    <w:rsid w:val="00C95454"/>
    <w:rsid w:val="00C9617A"/>
    <w:rsid w:val="00CB57CD"/>
    <w:rsid w:val="00CD0B0A"/>
    <w:rsid w:val="00CD2F7E"/>
    <w:rsid w:val="00CD7BAD"/>
    <w:rsid w:val="00CD7E27"/>
    <w:rsid w:val="00CE086E"/>
    <w:rsid w:val="00CE0DBF"/>
    <w:rsid w:val="00CE1F62"/>
    <w:rsid w:val="00CE5A23"/>
    <w:rsid w:val="00CF1380"/>
    <w:rsid w:val="00CF6AB8"/>
    <w:rsid w:val="00D03DCC"/>
    <w:rsid w:val="00D111BC"/>
    <w:rsid w:val="00D11BAC"/>
    <w:rsid w:val="00D12B8E"/>
    <w:rsid w:val="00D20E30"/>
    <w:rsid w:val="00D214EB"/>
    <w:rsid w:val="00D34ECE"/>
    <w:rsid w:val="00D37139"/>
    <w:rsid w:val="00D37990"/>
    <w:rsid w:val="00D407EF"/>
    <w:rsid w:val="00D52A77"/>
    <w:rsid w:val="00D53DDB"/>
    <w:rsid w:val="00D7745F"/>
    <w:rsid w:val="00D83A43"/>
    <w:rsid w:val="00D90C4E"/>
    <w:rsid w:val="00DA584D"/>
    <w:rsid w:val="00DA6CAC"/>
    <w:rsid w:val="00DA716B"/>
    <w:rsid w:val="00DB2DF6"/>
    <w:rsid w:val="00DB78A5"/>
    <w:rsid w:val="00DC669E"/>
    <w:rsid w:val="00DD2093"/>
    <w:rsid w:val="00DD6183"/>
    <w:rsid w:val="00DD653C"/>
    <w:rsid w:val="00DE09FD"/>
    <w:rsid w:val="00DE1E16"/>
    <w:rsid w:val="00DF5F0D"/>
    <w:rsid w:val="00DF6E8B"/>
    <w:rsid w:val="00DF7119"/>
    <w:rsid w:val="00E004BE"/>
    <w:rsid w:val="00E031D4"/>
    <w:rsid w:val="00E104A4"/>
    <w:rsid w:val="00E135B8"/>
    <w:rsid w:val="00E21EF7"/>
    <w:rsid w:val="00E226E5"/>
    <w:rsid w:val="00E3086B"/>
    <w:rsid w:val="00E34321"/>
    <w:rsid w:val="00E43040"/>
    <w:rsid w:val="00E4511B"/>
    <w:rsid w:val="00E45984"/>
    <w:rsid w:val="00E567ED"/>
    <w:rsid w:val="00E56926"/>
    <w:rsid w:val="00E5715E"/>
    <w:rsid w:val="00E67AF9"/>
    <w:rsid w:val="00E72073"/>
    <w:rsid w:val="00EA18B8"/>
    <w:rsid w:val="00EE212B"/>
    <w:rsid w:val="00EE285C"/>
    <w:rsid w:val="00EE2DF9"/>
    <w:rsid w:val="00EE4747"/>
    <w:rsid w:val="00F00F0F"/>
    <w:rsid w:val="00F163BB"/>
    <w:rsid w:val="00F21877"/>
    <w:rsid w:val="00F234E8"/>
    <w:rsid w:val="00F2358B"/>
    <w:rsid w:val="00F24C12"/>
    <w:rsid w:val="00F328AB"/>
    <w:rsid w:val="00F35A4D"/>
    <w:rsid w:val="00F37817"/>
    <w:rsid w:val="00F37BD3"/>
    <w:rsid w:val="00F37BE8"/>
    <w:rsid w:val="00F42F41"/>
    <w:rsid w:val="00F445D0"/>
    <w:rsid w:val="00F461F9"/>
    <w:rsid w:val="00F47FA4"/>
    <w:rsid w:val="00F52025"/>
    <w:rsid w:val="00F62259"/>
    <w:rsid w:val="00F63BC5"/>
    <w:rsid w:val="00F658CA"/>
    <w:rsid w:val="00F84991"/>
    <w:rsid w:val="00F868CB"/>
    <w:rsid w:val="00F868D7"/>
    <w:rsid w:val="00F868FD"/>
    <w:rsid w:val="00F87518"/>
    <w:rsid w:val="00F92615"/>
    <w:rsid w:val="00F95C04"/>
    <w:rsid w:val="00F95E3F"/>
    <w:rsid w:val="00FA04E2"/>
    <w:rsid w:val="00FA4143"/>
    <w:rsid w:val="00FA44D2"/>
    <w:rsid w:val="00FA4906"/>
    <w:rsid w:val="00FA5004"/>
    <w:rsid w:val="00FD0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E781720"/>
  <w15:chartTrackingRefBased/>
  <w15:docId w15:val="{95265F43-3B0E-4F9A-B6A0-475B3E8685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E6E87"/>
    <w:pPr>
      <w:widowControl w:val="0"/>
      <w:wordWrap w:val="0"/>
      <w:autoSpaceDE w:val="0"/>
      <w:autoSpaceDN w:val="0"/>
      <w:spacing w:after="0" w:line="240" w:lineRule="auto"/>
    </w:pPr>
  </w:style>
  <w:style w:type="paragraph" w:styleId="3">
    <w:name w:val="heading 3"/>
    <w:basedOn w:val="a"/>
    <w:link w:val="3Char"/>
    <w:uiPriority w:val="9"/>
    <w:qFormat/>
    <w:rsid w:val="00D53DDB"/>
    <w:pPr>
      <w:widowControl/>
      <w:wordWrap/>
      <w:autoSpaceDE/>
      <w:autoSpaceDN/>
      <w:spacing w:before="100" w:beforeAutospacing="1" w:after="100" w:afterAutospacing="1"/>
      <w:jc w:val="left"/>
      <w:outlineLvl w:val="2"/>
    </w:pPr>
    <w:rPr>
      <w:rFonts w:ascii="굴림" w:eastAsia="굴림" w:hAnsi="굴림" w:cs="굴림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rttitle">
    <w:name w:val="arttitle"/>
    <w:basedOn w:val="a"/>
    <w:rsid w:val="000E6E87"/>
    <w:pPr>
      <w:widowControl/>
      <w:wordWrap/>
      <w:autoSpaceDE/>
      <w:autoSpaceDN/>
      <w:spacing w:after="240" w:line="480" w:lineRule="atLeast"/>
      <w:jc w:val="left"/>
    </w:pPr>
    <w:rPr>
      <w:rFonts w:ascii="Arial" w:eastAsia="바탕" w:hAnsi="Arial" w:cs="Times New Roman"/>
      <w:b/>
      <w:kern w:val="0"/>
      <w:sz w:val="32"/>
      <w:szCs w:val="20"/>
      <w:lang w:val="en-GB" w:eastAsia="en-US"/>
    </w:rPr>
  </w:style>
  <w:style w:type="paragraph" w:customStyle="1" w:styleId="EndNoteBibliographyTitle">
    <w:name w:val="EndNote Bibliography Title"/>
    <w:basedOn w:val="a"/>
    <w:link w:val="EndNoteBibliographyTitleChar"/>
    <w:rsid w:val="00B004BC"/>
    <w:pPr>
      <w:jc w:val="center"/>
    </w:pPr>
    <w:rPr>
      <w:rFonts w:ascii="맑은 고딕" w:eastAsia="맑은 고딕" w:hAnsi="맑은 고딕"/>
      <w:noProof/>
    </w:rPr>
  </w:style>
  <w:style w:type="character" w:customStyle="1" w:styleId="EndNoteBibliographyTitleChar">
    <w:name w:val="EndNote Bibliography Title Char"/>
    <w:basedOn w:val="a0"/>
    <w:link w:val="EndNoteBibliographyTitle"/>
    <w:rsid w:val="00B004BC"/>
    <w:rPr>
      <w:rFonts w:ascii="맑은 고딕" w:eastAsia="맑은 고딕" w:hAnsi="맑은 고딕"/>
      <w:noProof/>
    </w:rPr>
  </w:style>
  <w:style w:type="paragraph" w:customStyle="1" w:styleId="EndNoteBibliography">
    <w:name w:val="EndNote Bibliography"/>
    <w:basedOn w:val="a"/>
    <w:link w:val="EndNoteBibliographyChar"/>
    <w:rsid w:val="00B004BC"/>
    <w:rPr>
      <w:rFonts w:ascii="맑은 고딕" w:eastAsia="맑은 고딕" w:hAnsi="맑은 고딕"/>
      <w:noProof/>
    </w:rPr>
  </w:style>
  <w:style w:type="character" w:customStyle="1" w:styleId="EndNoteBibliographyChar">
    <w:name w:val="EndNote Bibliography Char"/>
    <w:basedOn w:val="a0"/>
    <w:link w:val="EndNoteBibliography"/>
    <w:rsid w:val="00B004BC"/>
    <w:rPr>
      <w:rFonts w:ascii="맑은 고딕" w:eastAsia="맑은 고딕" w:hAnsi="맑은 고딕"/>
      <w:noProof/>
    </w:rPr>
  </w:style>
  <w:style w:type="paragraph" w:styleId="a3">
    <w:name w:val="header"/>
    <w:basedOn w:val="a"/>
    <w:link w:val="Char"/>
    <w:uiPriority w:val="99"/>
    <w:unhideWhenUsed/>
    <w:rsid w:val="005D6FA2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rsid w:val="005D6FA2"/>
  </w:style>
  <w:style w:type="paragraph" w:styleId="a4">
    <w:name w:val="footer"/>
    <w:basedOn w:val="a"/>
    <w:link w:val="Char0"/>
    <w:uiPriority w:val="99"/>
    <w:unhideWhenUsed/>
    <w:rsid w:val="005D6FA2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  <w:rsid w:val="005D6FA2"/>
  </w:style>
  <w:style w:type="character" w:customStyle="1" w:styleId="3Char">
    <w:name w:val="제목 3 Char"/>
    <w:basedOn w:val="a0"/>
    <w:link w:val="3"/>
    <w:uiPriority w:val="9"/>
    <w:rsid w:val="00D53DDB"/>
    <w:rPr>
      <w:rFonts w:ascii="굴림" w:eastAsia="굴림" w:hAnsi="굴림" w:cs="굴림"/>
      <w:b/>
      <w:bCs/>
      <w:kern w:val="0"/>
      <w:sz w:val="27"/>
      <w:szCs w:val="27"/>
    </w:rPr>
  </w:style>
  <w:style w:type="character" w:styleId="a5">
    <w:name w:val="Hyperlink"/>
    <w:basedOn w:val="a0"/>
    <w:uiPriority w:val="99"/>
    <w:semiHidden/>
    <w:unhideWhenUsed/>
    <w:rsid w:val="00D53DDB"/>
    <w:rPr>
      <w:color w:val="0000FF"/>
      <w:u w:val="single"/>
    </w:rPr>
  </w:style>
  <w:style w:type="paragraph" w:styleId="a6">
    <w:name w:val="Normal (Web)"/>
    <w:basedOn w:val="a"/>
    <w:uiPriority w:val="99"/>
    <w:semiHidden/>
    <w:unhideWhenUsed/>
    <w:rsid w:val="00991F40"/>
    <w:pPr>
      <w:widowControl/>
      <w:wordWrap/>
      <w:autoSpaceDE/>
      <w:autoSpaceDN/>
      <w:spacing w:before="100" w:beforeAutospacing="1" w:after="100" w:afterAutospacing="1"/>
      <w:jc w:val="left"/>
    </w:pPr>
    <w:rPr>
      <w:rFonts w:ascii="굴림" w:eastAsia="굴림" w:hAnsi="굴림" w:cs="굴림"/>
      <w:kern w:val="0"/>
      <w:sz w:val="24"/>
      <w:szCs w:val="24"/>
    </w:rPr>
  </w:style>
  <w:style w:type="character" w:styleId="a7">
    <w:name w:val="line number"/>
    <w:basedOn w:val="a0"/>
    <w:uiPriority w:val="99"/>
    <w:semiHidden/>
    <w:unhideWhenUsed/>
    <w:rsid w:val="00F37817"/>
  </w:style>
  <w:style w:type="paragraph" w:styleId="a8">
    <w:name w:val="Balloon Text"/>
    <w:basedOn w:val="a"/>
    <w:link w:val="Char1"/>
    <w:uiPriority w:val="99"/>
    <w:semiHidden/>
    <w:unhideWhenUsed/>
    <w:rsid w:val="00260C75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8"/>
    <w:uiPriority w:val="99"/>
    <w:semiHidden/>
    <w:rsid w:val="00260C75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992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9118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248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82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25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1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790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49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20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2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42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22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67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66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01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251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36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76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21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36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3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97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93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16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40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270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48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20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4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88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50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4E33B7-48CE-4746-A65A-10AD41622F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248</Words>
  <Characters>1419</Characters>
  <Application>Microsoft Office Word</Application>
  <DocSecurity>0</DocSecurity>
  <Lines>11</Lines>
  <Paragraphs>3</Paragraphs>
  <ScaleCrop>false</ScaleCrop>
  <HeadingPairs>
    <vt:vector size="4" baseType="variant">
      <vt:variant>
        <vt:lpstr>제목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서 지훈</dc:creator>
  <cp:keywords/>
  <dc:description/>
  <cp:lastModifiedBy>서 지훈</cp:lastModifiedBy>
  <cp:revision>17</cp:revision>
  <cp:lastPrinted>2020-01-16T13:46:00Z</cp:lastPrinted>
  <dcterms:created xsi:type="dcterms:W3CDTF">2019-12-22T14:27:00Z</dcterms:created>
  <dcterms:modified xsi:type="dcterms:W3CDTF">2020-02-14T21:29:00Z</dcterms:modified>
</cp:coreProperties>
</file>