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4BF" w:rsidRPr="00B413A4" w:rsidRDefault="00D604BF" w:rsidP="00D604BF">
      <w:pPr>
        <w:pStyle w:val="Tekstpodstawowy"/>
        <w:pageBreakBefore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hAnsi="Times New Roman" w:cs="Times New Roman"/>
          <w:b/>
          <w:bCs/>
          <w:sz w:val="24"/>
          <w:szCs w:val="24"/>
        </w:rPr>
        <w:t>Table S3.</w:t>
      </w:r>
      <w:r w:rsidRPr="00B413A4">
        <w:rPr>
          <w:rFonts w:ascii="Times New Roman" w:hAnsi="Times New Roman" w:cs="Times New Roman"/>
          <w:sz w:val="24"/>
          <w:szCs w:val="24"/>
        </w:rPr>
        <w:t xml:space="preserve"> Baseline characteristics of patients on rivaroxaban with provoked and unprovoked VTE.</w:t>
      </w:r>
    </w:p>
    <w:tbl>
      <w:tblPr>
        <w:tblStyle w:val="MDPI41threelinetable"/>
        <w:tblW w:w="9356" w:type="dxa"/>
        <w:tblLayout w:type="fixed"/>
        <w:tblLook w:val="0000" w:firstRow="0" w:lastRow="0" w:firstColumn="0" w:lastColumn="0" w:noHBand="0" w:noVBand="0"/>
      </w:tblPr>
      <w:tblGrid>
        <w:gridCol w:w="4253"/>
        <w:gridCol w:w="2126"/>
        <w:gridCol w:w="1985"/>
        <w:gridCol w:w="992"/>
      </w:tblGrid>
      <w:tr w:rsidR="00D604BF" w:rsidRPr="00B413A4" w:rsidTr="006777ED">
        <w:trPr>
          <w:trHeight w:val="414"/>
        </w:trPr>
        <w:tc>
          <w:tcPr>
            <w:tcW w:w="4253" w:type="dxa"/>
            <w:vMerge w:val="restart"/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40050640"/>
          </w:p>
        </w:tc>
        <w:tc>
          <w:tcPr>
            <w:tcW w:w="2126" w:type="dxa"/>
            <w:vMerge w:val="restart"/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Unprovoked VTE</w:t>
            </w:r>
          </w:p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N=79</w:t>
            </w:r>
          </w:p>
        </w:tc>
        <w:tc>
          <w:tcPr>
            <w:tcW w:w="1985" w:type="dxa"/>
            <w:vMerge w:val="restart"/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Provoked VTE</w:t>
            </w:r>
          </w:p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N=53</w:t>
            </w:r>
          </w:p>
        </w:tc>
        <w:tc>
          <w:tcPr>
            <w:tcW w:w="992" w:type="dxa"/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P-value</w:t>
            </w:r>
          </w:p>
        </w:tc>
      </w:tr>
      <w:tr w:rsidR="00D604BF" w:rsidRPr="00B413A4" w:rsidTr="006777ED">
        <w:trPr>
          <w:trHeight w:val="414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04BF" w:rsidRPr="00B413A4" w:rsidTr="006777ED"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Age, y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50 (43-61)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40 (32-48)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Male, </w:t>
            </w:r>
            <w:r w:rsidRPr="00B413A4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45 (57.0)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8 (15.1)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Body mass index, kg/m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27.8 (24.6-30.9)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25.1 (21.3-29.4)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0.007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Current smoking, </w:t>
            </w:r>
            <w:r w:rsidRPr="00B413A4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16 (20.3)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6 (11.3)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0.24</w:t>
            </w:r>
          </w:p>
        </w:tc>
      </w:tr>
      <w:tr w:rsidR="00D604BF" w:rsidRPr="00B413A4" w:rsidTr="006777ED"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Baseline VTE diagnosis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0.66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ind w:left="280" w:righ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DVT alone, </w:t>
            </w:r>
            <w:r w:rsidRPr="00B413A4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26 (32.9)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23 (43.4)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ind w:left="280" w:righ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Pulmonary embolism alone, </w:t>
            </w:r>
            <w:r w:rsidRPr="00B413A4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21 (26.6)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13 (24.5)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ind w:left="280" w:righ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Pulmonary embolism and DVT, </w:t>
            </w:r>
            <w:r w:rsidRPr="00B413A4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25 (31.6)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13 (24.5)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ind w:left="280" w:right="3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Other, </w:t>
            </w:r>
            <w:r w:rsidRPr="00B413A4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7 (8.9)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4 (7.6)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Proximal DVT, </w:t>
            </w:r>
            <w:r w:rsidRPr="00B413A4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56 (70.9)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36 (67.9)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0.72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Bilateral DVT, </w:t>
            </w:r>
            <w:r w:rsidRPr="00B413A4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 (2.5)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0.24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Time since last VTE, month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10 (6-17)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10 (6-15)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0.64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Duration of anticoagulation, month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8 (6-16)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7 (5-12)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0.38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Family history of VTE, </w:t>
            </w:r>
            <w:r w:rsidRPr="00B413A4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24 (30.4)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18 (34.0)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0.71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Varices, </w:t>
            </w:r>
            <w:r w:rsidRPr="00B413A4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33 (41.8)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15 (28.3)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D604BF" w:rsidRPr="00B413A4" w:rsidTr="006777ED"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Coronary artery disease, n (%)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 (2.5)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 (1.9)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0.99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Prior ischemic stroke, 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5 (6.3)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 (3.8)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0.70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Hypertension, 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28 (35.4)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10 (18.9)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Heart failure, 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 (1.3)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0.99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Diabetes mellitus, 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3 (3.8)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 (1.9)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0.31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Chronic kidney disease, 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3 (5.7)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Use of aspirin, 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4 (5.1)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4 (7.5)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0.71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Use of statin, n (%)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10 (12.7)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6 (11.3)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0.98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Use of ACEI or ARB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19 (24.1)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5 (9.4)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0.039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Proton pump inhibitor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15 (19.0)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10 (18.9)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0.99</w:t>
            </w:r>
          </w:p>
        </w:tc>
      </w:tr>
      <w:tr w:rsidR="00D604BF" w:rsidRPr="00B413A4" w:rsidTr="006777ED"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White blood cells, 10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B413A4">
              <w:rPr>
                <w:rFonts w:ascii="Times New Roman" w:eastAsia="Symbol" w:hAnsi="Times New Roman" w:cs="Times New Roman"/>
                <w:sz w:val="24"/>
                <w:szCs w:val="24"/>
              </w:rPr>
              <w:t>µ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5.93 (5.40-7.06)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5.99 (4.83-7.10)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0.56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Hemoglobin, g/dL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14.2 (13.4-15.6)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13.5 (12.7-14.0)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Platelets, 10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B413A4">
              <w:rPr>
                <w:rFonts w:ascii="Times New Roman" w:eastAsia="Symbol" w:hAnsi="Times New Roman" w:cs="Times New Roman"/>
                <w:sz w:val="24"/>
                <w:szCs w:val="24"/>
              </w:rPr>
              <w:t>µ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216 (188-276)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261 (222-287)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0.004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Glucose, mmol/L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5.3 (5.0-5.8)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5.0 (4.8-5.3)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0.002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Creatinine, </w:t>
            </w:r>
            <w:r w:rsidRPr="00B413A4">
              <w:rPr>
                <w:rFonts w:ascii="Times New Roman" w:eastAsia="Symbol" w:hAnsi="Times New Roman" w:cs="Times New Roman"/>
                <w:sz w:val="24"/>
                <w:szCs w:val="24"/>
              </w:rPr>
              <w:t>µ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mol/L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76 (65-86)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64 (58-74)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eGFR, ml/min/1.73 m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95 (86-106)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107 (95-116)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0.003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hsCRP</w:t>
            </w:r>
            <w:proofErr w:type="spellEnd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, ng/mL</w:t>
            </w:r>
          </w:p>
        </w:tc>
        <w:tc>
          <w:tcPr>
            <w:tcW w:w="2126" w:type="dxa"/>
            <w:tcBorders>
              <w:top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1.35 (0.62-3.80)</w:t>
            </w:r>
          </w:p>
        </w:tc>
        <w:tc>
          <w:tcPr>
            <w:tcW w:w="1985" w:type="dxa"/>
            <w:tcBorders>
              <w:top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1.13 (0.62-4.15)</w:t>
            </w:r>
          </w:p>
        </w:tc>
        <w:tc>
          <w:tcPr>
            <w:tcW w:w="992" w:type="dxa"/>
            <w:tcBorders>
              <w:top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0.99</w:t>
            </w:r>
          </w:p>
        </w:tc>
      </w:tr>
      <w:tr w:rsidR="00D604BF" w:rsidRPr="00B413A4" w:rsidTr="006777ED">
        <w:tc>
          <w:tcPr>
            <w:tcW w:w="4253" w:type="dxa"/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D-Dimer, ng/mL</w:t>
            </w:r>
          </w:p>
        </w:tc>
        <w:tc>
          <w:tcPr>
            <w:tcW w:w="2126" w:type="dxa"/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278 (181-377)</w:t>
            </w:r>
          </w:p>
        </w:tc>
        <w:tc>
          <w:tcPr>
            <w:tcW w:w="1985" w:type="dxa"/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228 (171-375)</w:t>
            </w:r>
          </w:p>
        </w:tc>
        <w:tc>
          <w:tcPr>
            <w:tcW w:w="992" w:type="dxa"/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D604BF" w:rsidRPr="00B413A4" w:rsidTr="006777ED">
        <w:tc>
          <w:tcPr>
            <w:tcW w:w="4253" w:type="dxa"/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Fibrinogen, g/L</w:t>
            </w:r>
          </w:p>
        </w:tc>
        <w:tc>
          <w:tcPr>
            <w:tcW w:w="2126" w:type="dxa"/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3.14 (2.68-3.85)</w:t>
            </w:r>
          </w:p>
        </w:tc>
        <w:tc>
          <w:tcPr>
            <w:tcW w:w="1985" w:type="dxa"/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3.03 (2.64-3.58)</w:t>
            </w:r>
          </w:p>
        </w:tc>
        <w:tc>
          <w:tcPr>
            <w:tcW w:w="992" w:type="dxa"/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D604BF" w:rsidRPr="00B413A4" w:rsidTr="006777ED">
        <w:tc>
          <w:tcPr>
            <w:tcW w:w="4253" w:type="dxa"/>
            <w:tcBorders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INR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1.04 (0.98-1.11)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1.02 (0.99-1.16)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0.95</w:t>
            </w:r>
          </w:p>
        </w:tc>
      </w:tr>
      <w:tr w:rsidR="00D604BF" w:rsidRPr="00B413A4" w:rsidTr="006777ED"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Lag time, s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589 (399-760)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494 (323-808)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0.19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TTP, 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874 (665-1159)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760 (551-1121)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0.16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Max </w:t>
            </w:r>
            <w:proofErr w:type="spellStart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IIa</w:t>
            </w:r>
            <w:proofErr w:type="spellEnd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191 (137-240)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220 (156-266)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0.048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Max rate, </w:t>
            </w:r>
            <w:proofErr w:type="spellStart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1.7 (1.2-2.1)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1.8 (1.4-2.3)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0.30</w:t>
            </w:r>
          </w:p>
        </w:tc>
      </w:tr>
      <w:tr w:rsidR="00D604BF" w:rsidRPr="00B413A4" w:rsidTr="006777ED">
        <w:tc>
          <w:tcPr>
            <w:tcW w:w="4253" w:type="dxa"/>
            <w:tcBorders>
              <w:top w:val="nil"/>
              <w:bottom w:val="single" w:sz="8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ETP</w:t>
            </w: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bookmarkStart w:id="1" w:name="OLE_LINK3"/>
            <w:proofErr w:type="spellStart"/>
            <w:r w:rsidRPr="00B413A4">
              <w:rPr>
                <w:rFonts w:ascii="Times New Roman" w:hAnsi="Times New Roman" w:cs="Times New Roman"/>
                <w:iCs/>
                <w:sz w:val="24"/>
                <w:szCs w:val="24"/>
              </w:rPr>
              <w:t>nM</w:t>
            </w:r>
            <w:proofErr w:type="spellEnd"/>
            <w:r w:rsidRPr="00B413A4">
              <w:rPr>
                <w:rFonts w:ascii="Times New Roman" w:eastAsia="Symbol" w:hAnsi="Times New Roman" w:cs="Times New Roman"/>
                <w:sz w:val="24"/>
                <w:szCs w:val="24"/>
              </w:rPr>
              <w:sym w:font="Symbol" w:char="F0B4"/>
            </w:r>
            <w:r w:rsidRPr="00B413A4"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bookmarkEnd w:id="1"/>
          </w:p>
        </w:tc>
        <w:tc>
          <w:tcPr>
            <w:tcW w:w="2126" w:type="dxa"/>
            <w:tcBorders>
              <w:top w:val="nil"/>
              <w:bottom w:val="single" w:sz="8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138217 (116851-157672)</w:t>
            </w:r>
          </w:p>
        </w:tc>
        <w:tc>
          <w:tcPr>
            <w:tcW w:w="1985" w:type="dxa"/>
            <w:tcBorders>
              <w:top w:val="nil"/>
              <w:bottom w:val="single" w:sz="8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151033 (127204-171368)</w:t>
            </w:r>
          </w:p>
        </w:tc>
        <w:tc>
          <w:tcPr>
            <w:tcW w:w="992" w:type="dxa"/>
            <w:tcBorders>
              <w:top w:val="nil"/>
              <w:bottom w:val="single" w:sz="8" w:space="0" w:color="auto"/>
            </w:tcBorders>
          </w:tcPr>
          <w:p w:rsidR="00D604BF" w:rsidRPr="00B413A4" w:rsidRDefault="00D604BF" w:rsidP="006777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A4">
              <w:rPr>
                <w:rFonts w:ascii="Times New Roman" w:eastAsia="Times New Roman" w:hAnsi="Times New Roman" w:cs="Times New Roman"/>
                <w:sz w:val="24"/>
                <w:szCs w:val="24"/>
              </w:rPr>
              <w:t>0.018</w:t>
            </w:r>
          </w:p>
        </w:tc>
      </w:tr>
      <w:bookmarkEnd w:id="0"/>
    </w:tbl>
    <w:p w:rsidR="00D604BF" w:rsidRPr="00B413A4" w:rsidRDefault="00D604BF" w:rsidP="00D604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04BF" w:rsidRPr="00B413A4" w:rsidRDefault="00D604BF" w:rsidP="00D604BF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B413A4">
        <w:rPr>
          <w:rFonts w:ascii="Times New Roman" w:hAnsi="Times New Roman" w:cs="Times New Roman"/>
          <w:sz w:val="24"/>
          <w:szCs w:val="24"/>
        </w:rPr>
        <w:t xml:space="preserve">Abbreviations: data are shown as numbers (percentages) or median (interquartile range), ACEI: angiotensin converting enzyme, ARB: angiotensin receptor blocker, </w:t>
      </w:r>
      <w:r w:rsidRPr="00B413A4">
        <w:rPr>
          <w:rFonts w:ascii="Times New Roman" w:hAnsi="Times New Roman" w:cs="Times New Roman"/>
          <w:iCs/>
          <w:color w:val="FF0000"/>
          <w:sz w:val="24"/>
          <w:szCs w:val="24"/>
        </w:rPr>
        <w:t>ETP</w:t>
      </w:r>
      <w:r w:rsidRPr="00B413A4">
        <w:rPr>
          <w:rFonts w:ascii="Times New Roman" w:hAnsi="Times New Roman" w:cs="Times New Roman"/>
          <w:iCs/>
          <w:sz w:val="24"/>
          <w:szCs w:val="24"/>
        </w:rPr>
        <w:t>: endogenous thrombin potential,</w:t>
      </w:r>
      <w:r w:rsidRPr="00B413A4">
        <w:rPr>
          <w:rFonts w:ascii="Times New Roman" w:hAnsi="Times New Roman" w:cs="Times New Roman"/>
          <w:sz w:val="24"/>
          <w:szCs w:val="24"/>
        </w:rPr>
        <w:t xml:space="preserve"> DVT: deep vein thrombosis, eGFR: glomerular filtration rate, </w:t>
      </w:r>
      <w:proofErr w:type="spellStart"/>
      <w:r w:rsidRPr="00B413A4">
        <w:rPr>
          <w:rFonts w:ascii="Times New Roman" w:hAnsi="Times New Roman" w:cs="Times New Roman"/>
          <w:sz w:val="24"/>
          <w:szCs w:val="24"/>
        </w:rPr>
        <w:t>hsCRP</w:t>
      </w:r>
      <w:proofErr w:type="spellEnd"/>
      <w:r w:rsidRPr="00B413A4">
        <w:rPr>
          <w:rFonts w:ascii="Times New Roman" w:hAnsi="Times New Roman" w:cs="Times New Roman"/>
          <w:sz w:val="24"/>
          <w:szCs w:val="24"/>
        </w:rPr>
        <w:t xml:space="preserve">: high sensitivity C-reactive protein, INR: international normalized ratio, lag time: time to start </w:t>
      </w:r>
      <w:r w:rsidRPr="00205253">
        <w:rPr>
          <w:rFonts w:ascii="Times New Roman" w:hAnsi="Times New Roman" w:cs="Times New Roman"/>
          <w:color w:val="FF0000"/>
          <w:sz w:val="24"/>
          <w:szCs w:val="24"/>
        </w:rPr>
        <w:t xml:space="preserve">thrombin </w:t>
      </w:r>
      <w:r>
        <w:rPr>
          <w:rFonts w:ascii="Times New Roman" w:hAnsi="Times New Roman" w:cs="Times New Roman"/>
          <w:color w:val="FF0000"/>
          <w:sz w:val="24"/>
          <w:szCs w:val="24"/>
        </w:rPr>
        <w:t>gener</w:t>
      </w:r>
      <w:r w:rsidRPr="00205253">
        <w:rPr>
          <w:rFonts w:ascii="Times New Roman" w:hAnsi="Times New Roman" w:cs="Times New Roman"/>
          <w:color w:val="FF0000"/>
          <w:sz w:val="24"/>
          <w:szCs w:val="24"/>
        </w:rPr>
        <w:t>ation</w:t>
      </w:r>
      <w:r w:rsidRPr="00B413A4">
        <w:rPr>
          <w:rFonts w:ascii="Times New Roman" w:hAnsi="Times New Roman" w:cs="Times New Roman"/>
          <w:sz w:val="24"/>
          <w:szCs w:val="24"/>
        </w:rPr>
        <w:t xml:space="preserve">, max </w:t>
      </w:r>
      <w:proofErr w:type="spellStart"/>
      <w:r w:rsidRPr="00B413A4">
        <w:rPr>
          <w:rFonts w:ascii="Times New Roman" w:hAnsi="Times New Roman" w:cs="Times New Roman"/>
          <w:sz w:val="24"/>
          <w:szCs w:val="24"/>
        </w:rPr>
        <w:t>IIa</w:t>
      </w:r>
      <w:proofErr w:type="spellEnd"/>
      <w:r w:rsidRPr="00B413A4">
        <w:rPr>
          <w:rFonts w:ascii="Times New Roman" w:hAnsi="Times New Roman" w:cs="Times New Roman"/>
          <w:sz w:val="24"/>
          <w:szCs w:val="24"/>
        </w:rPr>
        <w:t xml:space="preserve">: </w:t>
      </w:r>
      <w:r w:rsidRPr="00B413A4">
        <w:rPr>
          <w:rFonts w:ascii="Times New Roman" w:hAnsi="Times New Roman" w:cs="Times New Roman"/>
          <w:iCs/>
          <w:sz w:val="24"/>
          <w:szCs w:val="24"/>
        </w:rPr>
        <w:t>peak thrombin generation</w:t>
      </w:r>
      <w:r w:rsidRPr="00B413A4">
        <w:rPr>
          <w:rFonts w:ascii="Times New Roman" w:hAnsi="Times New Roman" w:cs="Times New Roman"/>
          <w:sz w:val="24"/>
          <w:szCs w:val="24"/>
        </w:rPr>
        <w:t xml:space="preserve">, max rate: </w:t>
      </w:r>
      <w:r w:rsidRPr="00B413A4">
        <w:rPr>
          <w:rFonts w:ascii="Times New Roman" w:hAnsi="Times New Roman" w:cs="Times New Roman"/>
          <w:iCs/>
          <w:sz w:val="24"/>
          <w:szCs w:val="24"/>
        </w:rPr>
        <w:t>the highest rate of thrombin generation,</w:t>
      </w:r>
      <w:r w:rsidRPr="00B413A4">
        <w:rPr>
          <w:rFonts w:ascii="Times New Roman" w:hAnsi="Times New Roman" w:cs="Times New Roman"/>
          <w:sz w:val="24"/>
          <w:szCs w:val="24"/>
        </w:rPr>
        <w:t xml:space="preserve"> TTP: time to peak thrombin </w:t>
      </w:r>
      <w:r w:rsidRPr="00B413A4">
        <w:rPr>
          <w:rFonts w:ascii="Times New Roman" w:hAnsi="Times New Roman" w:cs="Times New Roman"/>
          <w:iCs/>
          <w:sz w:val="24"/>
          <w:szCs w:val="24"/>
        </w:rPr>
        <w:t>generation</w:t>
      </w:r>
      <w:r w:rsidRPr="00B413A4">
        <w:rPr>
          <w:rFonts w:ascii="Times New Roman" w:hAnsi="Times New Roman" w:cs="Times New Roman"/>
          <w:sz w:val="24"/>
          <w:szCs w:val="24"/>
        </w:rPr>
        <w:t>, VTE: venous thromboembolism</w:t>
      </w:r>
      <w:r w:rsidRPr="00B413A4">
        <w:rPr>
          <w:rFonts w:ascii="Times New Roman" w:hAnsi="Times New Roman" w:cs="Times New Roman"/>
          <w:iCs/>
          <w:sz w:val="24"/>
          <w:szCs w:val="24"/>
        </w:rPr>
        <w:t>.</w:t>
      </w:r>
    </w:p>
    <w:p w:rsidR="0074138C" w:rsidRDefault="0074138C">
      <w:bookmarkStart w:id="2" w:name="_GoBack"/>
      <w:bookmarkEnd w:id="2"/>
    </w:p>
    <w:sectPr w:rsidR="0074138C"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4BF"/>
    <w:rsid w:val="0074138C"/>
    <w:rsid w:val="00D6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E8D52-B5AA-4F3E-8345-B3ED4EC44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604BF"/>
    <w:pPr>
      <w:suppressAutoHyphens/>
      <w:spacing w:after="200" w:line="276" w:lineRule="auto"/>
    </w:pPr>
    <w:rPr>
      <w:rFonts w:ascii="Calibri" w:eastAsia="Calibri" w:hAnsi="Calibri" w:cs="Calibri"/>
      <w:kern w:val="2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next w:val="Normalny"/>
    <w:link w:val="TekstpodstawowyZnak"/>
    <w:semiHidden/>
    <w:rsid w:val="00D604BF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604BF"/>
    <w:rPr>
      <w:rFonts w:ascii="Calibri" w:eastAsia="Calibri" w:hAnsi="Calibri" w:cs="Calibri"/>
      <w:kern w:val="2"/>
      <w:lang w:val="en-US" w:eastAsia="zh-CN"/>
    </w:rPr>
  </w:style>
  <w:style w:type="table" w:customStyle="1" w:styleId="MDPI41threelinetable">
    <w:name w:val="MDPI_4.1_three_line_table"/>
    <w:basedOn w:val="Standardowy"/>
    <w:uiPriority w:val="99"/>
    <w:rsid w:val="00D604BF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Nowak</dc:creator>
  <cp:keywords/>
  <dc:description/>
  <cp:lastModifiedBy>Karol Nowak</cp:lastModifiedBy>
  <cp:revision>1</cp:revision>
  <dcterms:created xsi:type="dcterms:W3CDTF">2020-06-05T10:33:00Z</dcterms:created>
  <dcterms:modified xsi:type="dcterms:W3CDTF">2020-06-05T10:33:00Z</dcterms:modified>
</cp:coreProperties>
</file>