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6EA99E" w14:textId="6655B51B" w:rsidR="0089638C" w:rsidRDefault="00050BBA" w:rsidP="00050BBA">
      <w:pPr>
        <w:spacing w:after="160" w:line="259" w:lineRule="auto"/>
        <w:ind w:left="720"/>
        <w:contextualSpacing/>
        <w:jc w:val="left"/>
        <w:rPr>
          <w:rFonts w:eastAsia="Calibri" w:cs="Times New Roman"/>
          <w:b/>
          <w:color w:val="auto"/>
          <w:szCs w:val="24"/>
          <w:u w:val="single"/>
          <w:lang w:val="en-US"/>
        </w:rPr>
      </w:pPr>
      <w:r w:rsidRPr="00050BBA">
        <w:rPr>
          <w:rFonts w:eastAsia="Calibri" w:cs="Times New Roman"/>
          <w:b/>
          <w:color w:val="auto"/>
          <w:szCs w:val="24"/>
          <w:u w:val="single"/>
          <w:lang w:val="en-US"/>
        </w:rPr>
        <w:t>Multiple regression analysis between PADI4 methylation and clinical data</w:t>
      </w:r>
    </w:p>
    <w:p w14:paraId="30AFDC6C" w14:textId="77777777" w:rsidR="0089638C" w:rsidRDefault="0089638C" w:rsidP="00050BBA">
      <w:pPr>
        <w:spacing w:after="160" w:line="259" w:lineRule="auto"/>
        <w:ind w:left="720"/>
        <w:contextualSpacing/>
        <w:jc w:val="left"/>
        <w:rPr>
          <w:rFonts w:eastAsia="Calibri" w:cs="Times New Roman"/>
          <w:b/>
          <w:color w:val="auto"/>
          <w:szCs w:val="24"/>
          <w:u w:val="single"/>
          <w:lang w:val="en-US"/>
        </w:rPr>
      </w:pPr>
    </w:p>
    <w:p w14:paraId="2B8E1003" w14:textId="77777777" w:rsidR="00050BBA" w:rsidRPr="00050BBA" w:rsidRDefault="00050BBA" w:rsidP="00050BBA">
      <w:pPr>
        <w:spacing w:after="160" w:line="259" w:lineRule="auto"/>
        <w:ind w:left="720"/>
        <w:contextualSpacing/>
        <w:jc w:val="left"/>
        <w:rPr>
          <w:rFonts w:eastAsia="Calibri" w:cs="Times New Roman"/>
          <w:b/>
          <w:color w:val="auto"/>
          <w:szCs w:val="24"/>
          <w:u w:val="single"/>
          <w:lang w:val="en-US"/>
        </w:rPr>
      </w:pPr>
    </w:p>
    <w:p w14:paraId="725C9FEA" w14:textId="77777777" w:rsidR="00050BBA" w:rsidRPr="00050BBA" w:rsidRDefault="00050BBA" w:rsidP="00050BBA">
      <w:pPr>
        <w:keepNext/>
        <w:spacing w:line="240" w:lineRule="auto"/>
        <w:ind w:firstLine="708"/>
        <w:jc w:val="left"/>
        <w:rPr>
          <w:rFonts w:ascii="Calibri" w:eastAsia="Calibri" w:hAnsi="Calibri" w:cs="Times New Roman"/>
          <w:i/>
          <w:iCs/>
          <w:color w:val="44546A"/>
          <w:sz w:val="18"/>
          <w:szCs w:val="18"/>
          <w:lang w:val="en-US"/>
        </w:rPr>
      </w:pPr>
      <w:r w:rsidRPr="00050BBA">
        <w:rPr>
          <w:rFonts w:ascii="Calibri" w:eastAsia="Calibri" w:hAnsi="Calibri" w:cs="Times New Roman"/>
          <w:i/>
          <w:iCs/>
          <w:color w:val="44546A"/>
          <w:sz w:val="18"/>
          <w:szCs w:val="18"/>
          <w:lang w:val="en-US"/>
        </w:rPr>
        <w:t>Table S2. Multiple regression analysis between clinical effects at PADI4 methylation status.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459"/>
        <w:gridCol w:w="2459"/>
      </w:tblGrid>
      <w:tr w:rsidR="00050BBA" w:rsidRPr="00050BBA" w14:paraId="300839EE" w14:textId="77777777" w:rsidTr="004C18FF">
        <w:trPr>
          <w:trHeight w:val="254"/>
        </w:trPr>
        <w:tc>
          <w:tcPr>
            <w:tcW w:w="2459" w:type="dxa"/>
          </w:tcPr>
          <w:p w14:paraId="666FC73F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b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b/>
                <w:color w:val="auto"/>
                <w:szCs w:val="24"/>
                <w:lang w:val="en-US"/>
              </w:rPr>
              <w:t>Clinical variable</w:t>
            </w:r>
          </w:p>
        </w:tc>
        <w:tc>
          <w:tcPr>
            <w:tcW w:w="2459" w:type="dxa"/>
          </w:tcPr>
          <w:p w14:paraId="693BA3CF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b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b/>
                <w:color w:val="auto"/>
                <w:szCs w:val="24"/>
                <w:lang w:val="en-US"/>
              </w:rPr>
              <w:t>p-value</w:t>
            </w:r>
          </w:p>
        </w:tc>
      </w:tr>
      <w:tr w:rsidR="00050BBA" w:rsidRPr="00050BBA" w14:paraId="65958AEB" w14:textId="77777777" w:rsidTr="004C18FF">
        <w:trPr>
          <w:trHeight w:val="254"/>
        </w:trPr>
        <w:tc>
          <w:tcPr>
            <w:tcW w:w="2459" w:type="dxa"/>
          </w:tcPr>
          <w:p w14:paraId="46A3315C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-US"/>
              </w:rPr>
              <w:t>Age</w:t>
            </w:r>
          </w:p>
        </w:tc>
        <w:tc>
          <w:tcPr>
            <w:tcW w:w="2459" w:type="dxa"/>
          </w:tcPr>
          <w:p w14:paraId="7DA95E59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-US"/>
              </w:rPr>
              <w:t>0.07</w:t>
            </w:r>
          </w:p>
        </w:tc>
      </w:tr>
      <w:tr w:rsidR="00050BBA" w:rsidRPr="00050BBA" w14:paraId="13D1431A" w14:textId="77777777" w:rsidTr="004C18FF">
        <w:trPr>
          <w:trHeight w:val="254"/>
        </w:trPr>
        <w:tc>
          <w:tcPr>
            <w:tcW w:w="2459" w:type="dxa"/>
          </w:tcPr>
          <w:p w14:paraId="34FF4CB0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-US"/>
              </w:rPr>
              <w:t>Sex</w:t>
            </w:r>
          </w:p>
        </w:tc>
        <w:tc>
          <w:tcPr>
            <w:tcW w:w="2459" w:type="dxa"/>
          </w:tcPr>
          <w:p w14:paraId="412DC452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-US"/>
              </w:rPr>
              <w:t>0.15</w:t>
            </w:r>
          </w:p>
        </w:tc>
      </w:tr>
      <w:tr w:rsidR="00050BBA" w:rsidRPr="00050BBA" w14:paraId="03BEE231" w14:textId="77777777" w:rsidTr="004C18FF">
        <w:trPr>
          <w:trHeight w:val="254"/>
        </w:trPr>
        <w:tc>
          <w:tcPr>
            <w:tcW w:w="2459" w:type="dxa"/>
          </w:tcPr>
          <w:p w14:paraId="5E07F098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-US"/>
              </w:rPr>
              <w:t>Disease duration</w:t>
            </w:r>
          </w:p>
        </w:tc>
        <w:tc>
          <w:tcPr>
            <w:tcW w:w="2459" w:type="dxa"/>
          </w:tcPr>
          <w:p w14:paraId="71A5E13D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-US"/>
              </w:rPr>
              <w:t>0.78</w:t>
            </w:r>
          </w:p>
        </w:tc>
      </w:tr>
      <w:tr w:rsidR="00050BBA" w:rsidRPr="00050BBA" w14:paraId="2573906E" w14:textId="77777777" w:rsidTr="004C18FF">
        <w:trPr>
          <w:trHeight w:val="254"/>
        </w:trPr>
        <w:tc>
          <w:tcPr>
            <w:tcW w:w="2459" w:type="dxa"/>
          </w:tcPr>
          <w:p w14:paraId="4CF81D2F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-US"/>
              </w:rPr>
              <w:t>ESR</w:t>
            </w:r>
          </w:p>
        </w:tc>
        <w:tc>
          <w:tcPr>
            <w:tcW w:w="2459" w:type="dxa"/>
          </w:tcPr>
          <w:p w14:paraId="6584746E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-US"/>
              </w:rPr>
              <w:t>0.74</w:t>
            </w:r>
          </w:p>
        </w:tc>
      </w:tr>
      <w:tr w:rsidR="00050BBA" w:rsidRPr="00050BBA" w14:paraId="2C9461D7" w14:textId="77777777" w:rsidTr="004C18FF">
        <w:trPr>
          <w:trHeight w:val="254"/>
        </w:trPr>
        <w:tc>
          <w:tcPr>
            <w:tcW w:w="2459" w:type="dxa"/>
          </w:tcPr>
          <w:p w14:paraId="5D789816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-US"/>
              </w:rPr>
              <w:t>CRP</w:t>
            </w:r>
          </w:p>
        </w:tc>
        <w:tc>
          <w:tcPr>
            <w:tcW w:w="2459" w:type="dxa"/>
          </w:tcPr>
          <w:p w14:paraId="766F72CF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-US"/>
              </w:rPr>
              <w:t>0.36</w:t>
            </w:r>
          </w:p>
        </w:tc>
      </w:tr>
      <w:tr w:rsidR="00050BBA" w:rsidRPr="00050BBA" w14:paraId="5998FFB1" w14:textId="77777777" w:rsidTr="004C18FF">
        <w:trPr>
          <w:trHeight w:val="254"/>
        </w:trPr>
        <w:tc>
          <w:tcPr>
            <w:tcW w:w="2459" w:type="dxa"/>
          </w:tcPr>
          <w:p w14:paraId="537A4BA6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"/>
              </w:rPr>
              <w:t>number of painful joints</w:t>
            </w:r>
          </w:p>
        </w:tc>
        <w:tc>
          <w:tcPr>
            <w:tcW w:w="2459" w:type="dxa"/>
          </w:tcPr>
          <w:p w14:paraId="15B4F147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-US"/>
              </w:rPr>
              <w:t>0.75</w:t>
            </w:r>
          </w:p>
        </w:tc>
      </w:tr>
      <w:tr w:rsidR="00050BBA" w:rsidRPr="00050BBA" w14:paraId="2079432A" w14:textId="77777777" w:rsidTr="004C18FF">
        <w:trPr>
          <w:trHeight w:val="254"/>
        </w:trPr>
        <w:tc>
          <w:tcPr>
            <w:tcW w:w="2459" w:type="dxa"/>
          </w:tcPr>
          <w:p w14:paraId="5D960D67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"/>
              </w:rPr>
              <w:t>number of swollen joints</w:t>
            </w:r>
          </w:p>
        </w:tc>
        <w:tc>
          <w:tcPr>
            <w:tcW w:w="2459" w:type="dxa"/>
          </w:tcPr>
          <w:p w14:paraId="608D1C08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-US"/>
              </w:rPr>
              <w:t>0.98</w:t>
            </w:r>
          </w:p>
        </w:tc>
      </w:tr>
      <w:tr w:rsidR="00050BBA" w:rsidRPr="00050BBA" w14:paraId="30BD1B84" w14:textId="77777777" w:rsidTr="004C18FF">
        <w:trPr>
          <w:trHeight w:val="254"/>
        </w:trPr>
        <w:tc>
          <w:tcPr>
            <w:tcW w:w="2459" w:type="dxa"/>
          </w:tcPr>
          <w:p w14:paraId="67125715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-US"/>
              </w:rPr>
              <w:t>VAS PGA</w:t>
            </w:r>
          </w:p>
        </w:tc>
        <w:tc>
          <w:tcPr>
            <w:tcW w:w="2459" w:type="dxa"/>
          </w:tcPr>
          <w:p w14:paraId="45A39CA4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-US"/>
              </w:rPr>
              <w:t>0.67</w:t>
            </w:r>
          </w:p>
        </w:tc>
      </w:tr>
      <w:tr w:rsidR="00050BBA" w:rsidRPr="00050BBA" w14:paraId="5944185E" w14:textId="77777777" w:rsidTr="004C18FF">
        <w:trPr>
          <w:trHeight w:val="266"/>
        </w:trPr>
        <w:tc>
          <w:tcPr>
            <w:tcW w:w="2459" w:type="dxa"/>
          </w:tcPr>
          <w:p w14:paraId="61D56BEC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-US"/>
              </w:rPr>
              <w:t>VAS PhGA</w:t>
            </w:r>
          </w:p>
        </w:tc>
        <w:tc>
          <w:tcPr>
            <w:tcW w:w="2459" w:type="dxa"/>
          </w:tcPr>
          <w:p w14:paraId="539A15D3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-US"/>
              </w:rPr>
              <w:t>0.88</w:t>
            </w:r>
          </w:p>
        </w:tc>
      </w:tr>
      <w:tr w:rsidR="00050BBA" w:rsidRPr="00050BBA" w14:paraId="01CD7806" w14:textId="77777777" w:rsidTr="004C18FF">
        <w:trPr>
          <w:trHeight w:val="241"/>
        </w:trPr>
        <w:tc>
          <w:tcPr>
            <w:tcW w:w="2459" w:type="dxa"/>
          </w:tcPr>
          <w:p w14:paraId="2467AA63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-US"/>
              </w:rPr>
              <w:t>DAS28</w:t>
            </w:r>
          </w:p>
        </w:tc>
        <w:tc>
          <w:tcPr>
            <w:tcW w:w="2459" w:type="dxa"/>
          </w:tcPr>
          <w:p w14:paraId="38006272" w14:textId="77777777" w:rsidR="00050BBA" w:rsidRPr="00050BBA" w:rsidRDefault="00050BBA" w:rsidP="00050BBA">
            <w:pPr>
              <w:spacing w:line="240" w:lineRule="auto"/>
              <w:contextualSpacing/>
              <w:jc w:val="center"/>
              <w:rPr>
                <w:rFonts w:eastAsia="Calibri" w:cs="Times New Roman"/>
                <w:color w:val="auto"/>
                <w:szCs w:val="24"/>
                <w:lang w:val="en-US"/>
              </w:rPr>
            </w:pPr>
            <w:r w:rsidRPr="00050BBA">
              <w:rPr>
                <w:rFonts w:eastAsia="Calibri" w:cs="Times New Roman"/>
                <w:color w:val="auto"/>
                <w:szCs w:val="24"/>
                <w:lang w:val="en-US"/>
              </w:rPr>
              <w:t>0.89</w:t>
            </w:r>
          </w:p>
        </w:tc>
      </w:tr>
    </w:tbl>
    <w:p w14:paraId="42823208" w14:textId="77777777" w:rsidR="00050BBA" w:rsidRPr="00050BBA" w:rsidRDefault="00050BBA" w:rsidP="00050BBA">
      <w:pPr>
        <w:spacing w:after="160" w:line="259" w:lineRule="auto"/>
        <w:ind w:left="720"/>
        <w:contextualSpacing/>
        <w:jc w:val="left"/>
        <w:rPr>
          <w:rFonts w:eastAsia="Calibri" w:cs="Times New Roman"/>
          <w:b/>
          <w:color w:val="auto"/>
          <w:szCs w:val="24"/>
          <w:u w:val="single"/>
          <w:lang w:val="en-US"/>
        </w:rPr>
      </w:pPr>
    </w:p>
    <w:p w14:paraId="2D4F613C" w14:textId="77777777" w:rsidR="0089638C" w:rsidRPr="0089638C" w:rsidRDefault="0089638C" w:rsidP="0089638C">
      <w:pPr>
        <w:ind w:left="567"/>
        <w:rPr>
          <w:lang w:val="en-US"/>
        </w:rPr>
      </w:pPr>
      <w:r w:rsidRPr="0089638C">
        <w:rPr>
          <w:lang w:val="en-US"/>
        </w:rPr>
        <w:t xml:space="preserve">There was no significant effect of clinical variables to the methylation status in PADI4 gene. For details please refer to Table S2. </w:t>
      </w:r>
    </w:p>
    <w:p w14:paraId="6258A447" w14:textId="77777777" w:rsidR="00766030" w:rsidRDefault="00766030"/>
    <w:sectPr w:rsidR="00766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123DE2"/>
    <w:multiLevelType w:val="hybridMultilevel"/>
    <w:tmpl w:val="DC5417CA"/>
    <w:lvl w:ilvl="0" w:tplc="EAC2B0C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BBA"/>
    <w:rsid w:val="00050BBA"/>
    <w:rsid w:val="00766030"/>
    <w:rsid w:val="0089638C"/>
    <w:rsid w:val="009A37CD"/>
    <w:rsid w:val="00EB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E66AF"/>
  <w15:chartTrackingRefBased/>
  <w15:docId w15:val="{F8168485-DE15-4AB1-8A46-4DA44AAC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7CD"/>
    <w:pPr>
      <w:spacing w:line="480" w:lineRule="auto"/>
      <w:jc w:val="both"/>
    </w:pPr>
    <w:rPr>
      <w:rFonts w:ascii="Times New Roman" w:hAnsi="Times New Roman"/>
      <w:color w:val="000000" w:themeColor="text1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37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9A37C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37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A37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A37CD"/>
    <w:rPr>
      <w:i/>
      <w:iCs/>
    </w:rPr>
  </w:style>
  <w:style w:type="paragraph" w:styleId="Akapitzlist">
    <w:name w:val="List Paragraph"/>
    <w:basedOn w:val="Normalny"/>
    <w:uiPriority w:val="34"/>
    <w:qFormat/>
    <w:rsid w:val="009A37CD"/>
    <w:pPr>
      <w:ind w:left="720"/>
      <w:contextualSpacing/>
    </w:pPr>
  </w:style>
  <w:style w:type="table" w:styleId="Tabela-Siatka">
    <w:name w:val="Table Grid"/>
    <w:basedOn w:val="Standardowy"/>
    <w:uiPriority w:val="39"/>
    <w:rsid w:val="00050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426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Kolarz</dc:creator>
  <cp:keywords/>
  <dc:description/>
  <cp:lastModifiedBy>Bogdan Kolarz</cp:lastModifiedBy>
  <cp:revision>2</cp:revision>
  <dcterms:created xsi:type="dcterms:W3CDTF">2020-06-09T19:28:00Z</dcterms:created>
  <dcterms:modified xsi:type="dcterms:W3CDTF">2020-06-09T19:34:00Z</dcterms:modified>
</cp:coreProperties>
</file>