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CF5DA" w14:textId="781D9B0E" w:rsidR="00DD2D1F" w:rsidRPr="007033EF" w:rsidRDefault="00DD2D1F">
      <w:pPr>
        <w:rPr>
          <w:lang w:val="en-US"/>
        </w:rPr>
      </w:pPr>
      <w:r w:rsidRPr="007033EF">
        <w:rPr>
          <w:lang w:val="en-US"/>
        </w:rPr>
        <w:t>Supplementary data S2</w:t>
      </w:r>
    </w:p>
    <w:p w14:paraId="1495ADC3" w14:textId="6EF3B328" w:rsidR="00E0424B" w:rsidRPr="007033EF" w:rsidRDefault="00E0329B">
      <w:pPr>
        <w:rPr>
          <w:lang w:val="en-US"/>
        </w:rPr>
      </w:pPr>
      <w:r w:rsidRPr="007033EF">
        <w:rPr>
          <w:lang w:val="en-US"/>
        </w:rPr>
        <w:t>DAS28</w:t>
      </w:r>
    </w:p>
    <w:p w14:paraId="0256BC8A" w14:textId="1DF5E503" w:rsidR="00E0329B" w:rsidRPr="00E0329B" w:rsidRDefault="00E0329B" w:rsidP="00E0329B">
      <w:pPr>
        <w:rPr>
          <w:lang w:val="en-US"/>
        </w:rPr>
      </w:pPr>
      <w:r w:rsidRPr="00E0329B">
        <w:rPr>
          <w:lang w:val="en-US"/>
        </w:rPr>
        <w:t xml:space="preserve">The DAS28 index combines information relating to the number of swollen and tender joints, patient global assessment (measures </w:t>
      </w:r>
      <w:r>
        <w:rPr>
          <w:lang w:val="en-US"/>
        </w:rPr>
        <w:t xml:space="preserve">in </w:t>
      </w:r>
      <w:r w:rsidRPr="00E0329B">
        <w:rPr>
          <w:lang w:val="en-US"/>
        </w:rPr>
        <w:t>100mm</w:t>
      </w:r>
      <w:r>
        <w:rPr>
          <w:lang w:val="en-US"/>
        </w:rPr>
        <w:t xml:space="preserve"> visual analogue scale scale</w:t>
      </w:r>
      <w:r w:rsidRPr="00E0329B">
        <w:rPr>
          <w:lang w:val="en-US"/>
        </w:rPr>
        <w:t>) and erythrocyte sedimentation rate (ESR). The ESR based DAS28 has been well validated for its use in clinical trials.</w:t>
      </w:r>
    </w:p>
    <w:p w14:paraId="548BBBEB" w14:textId="77777777" w:rsidR="00E0329B" w:rsidRPr="00E0329B" w:rsidRDefault="00E0329B" w:rsidP="00E0329B">
      <w:pPr>
        <w:rPr>
          <w:lang w:val="en-US"/>
        </w:rPr>
      </w:pPr>
      <w:r w:rsidRPr="00E0329B">
        <w:rPr>
          <w:lang w:val="en-US"/>
        </w:rPr>
        <w:t>DAS28 is calculated as follows:</w:t>
      </w:r>
    </w:p>
    <w:p w14:paraId="0FB512A6" w14:textId="77777777" w:rsidR="00E0329B" w:rsidRPr="00E0329B" w:rsidRDefault="00E0329B" w:rsidP="00E0329B">
      <w:pPr>
        <w:jc w:val="left"/>
        <w:rPr>
          <w:lang w:val="en-US"/>
        </w:rPr>
      </w:pPr>
      <w:r w:rsidRPr="00E0329B">
        <w:rPr>
          <w:b/>
          <w:bCs/>
          <w:lang w:val="en-US"/>
        </w:rPr>
        <w:t>DAS28 (ESR) = 0.56*√(TJC28)+0.28*√(SJC28)+0.014*PGA+0.70*ln(ESR), where</w:t>
      </w:r>
      <w:r w:rsidRPr="00E0329B">
        <w:rPr>
          <w:lang w:val="en-US"/>
        </w:rPr>
        <w:t xml:space="preserve"> TJC = tender joint count and SJC = swollen joint count, PGA= patient general assessment</w:t>
      </w:r>
    </w:p>
    <w:p w14:paraId="3DDC27BD" w14:textId="5F700816" w:rsidR="00B1164B" w:rsidRDefault="00B1164B">
      <w:pPr>
        <w:rPr>
          <w:lang w:val="en-US"/>
        </w:rPr>
      </w:pPr>
      <w:r w:rsidRPr="00B1164B">
        <w:rPr>
          <w:lang w:val="en-US"/>
        </w:rPr>
        <w:t>The 28 tender joint count (28TJC)</w:t>
      </w:r>
      <w:r>
        <w:rPr>
          <w:lang w:val="en-US"/>
        </w:rPr>
        <w:t xml:space="preserve"> and</w:t>
      </w:r>
    </w:p>
    <w:p w14:paraId="720A7A30" w14:textId="77777777" w:rsidR="00B1164B" w:rsidRDefault="00B1164B">
      <w:pPr>
        <w:rPr>
          <w:lang w:val="en-US"/>
        </w:rPr>
      </w:pPr>
      <w:r w:rsidRPr="00B1164B">
        <w:rPr>
          <w:lang w:val="en-US"/>
        </w:rPr>
        <w:t xml:space="preserve">28 swollen joint count (28SJC) both range from 0 to 28. </w:t>
      </w:r>
    </w:p>
    <w:p w14:paraId="01119268" w14:textId="055CB7CA" w:rsidR="00B1164B" w:rsidRDefault="00B1164B">
      <w:pPr>
        <w:rPr>
          <w:lang w:val="en-US"/>
        </w:rPr>
      </w:pPr>
      <w:r w:rsidRPr="00B1164B">
        <w:rPr>
          <w:lang w:val="en-US"/>
        </w:rPr>
        <w:t xml:space="preserve">ESR </w:t>
      </w:r>
      <w:r>
        <w:rPr>
          <w:lang w:val="en-US"/>
        </w:rPr>
        <w:t xml:space="preserve">- </w:t>
      </w:r>
      <w:r w:rsidRPr="00B1164B">
        <w:rPr>
          <w:lang w:val="en-US"/>
        </w:rPr>
        <w:t>range from 0 to 150</w:t>
      </w:r>
      <w:r>
        <w:rPr>
          <w:lang w:val="en-US"/>
        </w:rPr>
        <w:t>.</w:t>
      </w:r>
      <w:r w:rsidRPr="00B1164B">
        <w:rPr>
          <w:lang w:val="en-US"/>
        </w:rPr>
        <w:t xml:space="preserve"> </w:t>
      </w:r>
    </w:p>
    <w:p w14:paraId="1E8C8B3C" w14:textId="7D5F607B" w:rsidR="00E0329B" w:rsidRDefault="00B1164B">
      <w:pPr>
        <w:rPr>
          <w:lang w:val="en-US"/>
        </w:rPr>
      </w:pPr>
      <w:r>
        <w:rPr>
          <w:lang w:val="en-US"/>
        </w:rPr>
        <w:t>PGA -</w:t>
      </w:r>
      <w:r w:rsidRPr="00B1164B">
        <w:rPr>
          <w:lang w:val="en-US"/>
        </w:rPr>
        <w:t xml:space="preserve"> range from 0 to 100.</w:t>
      </w:r>
    </w:p>
    <w:p w14:paraId="4F0537F5" w14:textId="0792A096" w:rsidR="00B1164B" w:rsidRPr="00B1164B" w:rsidRDefault="00B1164B">
      <w:pPr>
        <w:rPr>
          <w:lang w:val="en-US"/>
        </w:rPr>
      </w:pPr>
      <w:r w:rsidRPr="00E0329B">
        <w:rPr>
          <w:lang w:val="en-US"/>
        </w:rPr>
        <w:t>DAS28 score range from 0 to 9.4.</w:t>
      </w:r>
    </w:p>
    <w:p w14:paraId="02C85AA1" w14:textId="5B498E94" w:rsidR="00B1164B" w:rsidRPr="00B1164B" w:rsidRDefault="00B1164B">
      <w:pPr>
        <w:rPr>
          <w:lang w:val="en-US"/>
        </w:rPr>
      </w:pPr>
    </w:p>
    <w:p w14:paraId="3A1BBBBB" w14:textId="54FDC7E1" w:rsidR="00C645B8" w:rsidRPr="00C645B8" w:rsidRDefault="00B1164B">
      <w:pPr>
        <w:rPr>
          <w:b/>
          <w:bCs/>
          <w:lang w:val="en-US"/>
        </w:rPr>
      </w:pPr>
      <w:r w:rsidRPr="00C645B8">
        <w:rPr>
          <w:b/>
          <w:bCs/>
          <w:lang w:val="en-US"/>
        </w:rPr>
        <w:t xml:space="preserve">Interpretation of scores. </w:t>
      </w:r>
    </w:p>
    <w:p w14:paraId="3A6C566F" w14:textId="77777777" w:rsidR="007033EF" w:rsidRPr="007033EF" w:rsidRDefault="007033EF" w:rsidP="007033EF">
      <w:r w:rsidRPr="007033EF">
        <w:t xml:space="preserve">DAS28n </w:t>
      </w:r>
      <w:proofErr w:type="spellStart"/>
      <w:r w:rsidRPr="007033EF">
        <w:t>scores</w:t>
      </w:r>
      <w:proofErr w:type="spellEnd"/>
      <w:r w:rsidRPr="007033EF">
        <w:t xml:space="preserve"> </w:t>
      </w:r>
      <w:proofErr w:type="spellStart"/>
      <w:r w:rsidRPr="007033EF">
        <w:t>table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</w:tblGrid>
      <w:tr w:rsidR="007033EF" w:rsidRPr="007033EF" w14:paraId="47AD33E6" w14:textId="77777777" w:rsidTr="008A3114">
        <w:trPr>
          <w:trHeight w:val="318"/>
        </w:trPr>
        <w:tc>
          <w:tcPr>
            <w:tcW w:w="1510" w:type="dxa"/>
          </w:tcPr>
          <w:p w14:paraId="693CA961" w14:textId="77777777" w:rsidR="007033EF" w:rsidRPr="007033EF" w:rsidRDefault="007033EF" w:rsidP="007033EF">
            <w:pPr>
              <w:spacing w:line="240" w:lineRule="auto"/>
              <w:rPr>
                <w:lang w:val="en-US"/>
              </w:rPr>
            </w:pPr>
          </w:p>
        </w:tc>
        <w:tc>
          <w:tcPr>
            <w:tcW w:w="1510" w:type="dxa"/>
          </w:tcPr>
          <w:p w14:paraId="573ACBE6" w14:textId="77777777" w:rsidR="007033EF" w:rsidRPr="007033EF" w:rsidRDefault="007033EF" w:rsidP="007033EF">
            <w:pPr>
              <w:spacing w:line="240" w:lineRule="auto"/>
              <w:rPr>
                <w:lang w:val="en-US"/>
              </w:rPr>
            </w:pPr>
            <w:r w:rsidRPr="007033EF">
              <w:rPr>
                <w:lang w:val="en-US"/>
              </w:rPr>
              <w:t>Remission</w:t>
            </w:r>
          </w:p>
        </w:tc>
        <w:tc>
          <w:tcPr>
            <w:tcW w:w="1510" w:type="dxa"/>
          </w:tcPr>
          <w:p w14:paraId="05AD1259" w14:textId="77777777" w:rsidR="007033EF" w:rsidRPr="007033EF" w:rsidRDefault="007033EF" w:rsidP="007033EF">
            <w:pPr>
              <w:spacing w:line="240" w:lineRule="auto"/>
              <w:rPr>
                <w:lang w:val="en-US"/>
              </w:rPr>
            </w:pPr>
            <w:r w:rsidRPr="007033EF">
              <w:rPr>
                <w:lang w:val="en-US"/>
              </w:rPr>
              <w:t>Low</w:t>
            </w:r>
          </w:p>
        </w:tc>
        <w:tc>
          <w:tcPr>
            <w:tcW w:w="1510" w:type="dxa"/>
          </w:tcPr>
          <w:p w14:paraId="5BA58100" w14:textId="77777777" w:rsidR="007033EF" w:rsidRPr="007033EF" w:rsidRDefault="007033EF" w:rsidP="007033EF">
            <w:pPr>
              <w:spacing w:line="240" w:lineRule="auto"/>
              <w:rPr>
                <w:lang w:val="en-US"/>
              </w:rPr>
            </w:pPr>
            <w:r w:rsidRPr="007033EF">
              <w:rPr>
                <w:lang w:val="en-US"/>
              </w:rPr>
              <w:t>Moderate</w:t>
            </w:r>
          </w:p>
        </w:tc>
        <w:tc>
          <w:tcPr>
            <w:tcW w:w="1511" w:type="dxa"/>
          </w:tcPr>
          <w:p w14:paraId="7752BE54" w14:textId="77777777" w:rsidR="007033EF" w:rsidRPr="007033EF" w:rsidRDefault="007033EF" w:rsidP="007033EF">
            <w:pPr>
              <w:spacing w:line="240" w:lineRule="auto"/>
              <w:rPr>
                <w:lang w:val="en-US"/>
              </w:rPr>
            </w:pPr>
            <w:r w:rsidRPr="007033EF">
              <w:rPr>
                <w:lang w:val="en-US"/>
              </w:rPr>
              <w:t>High</w:t>
            </w:r>
          </w:p>
        </w:tc>
      </w:tr>
      <w:tr w:rsidR="007033EF" w:rsidRPr="007033EF" w14:paraId="018F3CCA" w14:textId="77777777" w:rsidTr="008A3114">
        <w:trPr>
          <w:trHeight w:val="318"/>
        </w:trPr>
        <w:tc>
          <w:tcPr>
            <w:tcW w:w="1510" w:type="dxa"/>
          </w:tcPr>
          <w:p w14:paraId="5AACD9D1" w14:textId="77777777" w:rsidR="007033EF" w:rsidRPr="007033EF" w:rsidRDefault="007033EF" w:rsidP="007033EF">
            <w:pPr>
              <w:spacing w:line="240" w:lineRule="auto"/>
              <w:rPr>
                <w:lang w:val="en-US"/>
              </w:rPr>
            </w:pPr>
            <w:r w:rsidRPr="007033EF">
              <w:rPr>
                <w:lang w:val="en-US"/>
              </w:rPr>
              <w:t>DAS28 value</w:t>
            </w:r>
          </w:p>
        </w:tc>
        <w:tc>
          <w:tcPr>
            <w:tcW w:w="1510" w:type="dxa"/>
          </w:tcPr>
          <w:p w14:paraId="342D09E8" w14:textId="77777777" w:rsidR="007033EF" w:rsidRPr="007033EF" w:rsidRDefault="007033EF" w:rsidP="007033EF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7033EF">
              <w:rPr>
                <w:b/>
                <w:bCs/>
                <w:lang w:val="en-US"/>
              </w:rPr>
              <w:t>&lt; 2,6</w:t>
            </w:r>
          </w:p>
        </w:tc>
        <w:tc>
          <w:tcPr>
            <w:tcW w:w="1510" w:type="dxa"/>
          </w:tcPr>
          <w:p w14:paraId="3EE1E119" w14:textId="77777777" w:rsidR="007033EF" w:rsidRPr="007033EF" w:rsidRDefault="007033EF" w:rsidP="007033EF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7033EF">
              <w:rPr>
                <w:b/>
                <w:bCs/>
                <w:lang w:val="en-US"/>
              </w:rPr>
              <w:t>2,6-3,2</w:t>
            </w:r>
          </w:p>
        </w:tc>
        <w:tc>
          <w:tcPr>
            <w:tcW w:w="1510" w:type="dxa"/>
          </w:tcPr>
          <w:p w14:paraId="7A85516C" w14:textId="77777777" w:rsidR="007033EF" w:rsidRPr="007033EF" w:rsidRDefault="007033EF" w:rsidP="007033EF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7033EF">
              <w:rPr>
                <w:b/>
                <w:bCs/>
                <w:lang w:val="en-US"/>
              </w:rPr>
              <w:t>&gt; 3,2-5,1</w:t>
            </w:r>
          </w:p>
        </w:tc>
        <w:tc>
          <w:tcPr>
            <w:tcW w:w="1511" w:type="dxa"/>
          </w:tcPr>
          <w:p w14:paraId="6791982A" w14:textId="77777777" w:rsidR="007033EF" w:rsidRPr="007033EF" w:rsidRDefault="007033EF" w:rsidP="007033EF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7033EF">
              <w:rPr>
                <w:b/>
                <w:bCs/>
                <w:lang w:val="en-US"/>
              </w:rPr>
              <w:t>&gt; 5,1</w:t>
            </w:r>
          </w:p>
        </w:tc>
      </w:tr>
    </w:tbl>
    <w:p w14:paraId="6F1BC202" w14:textId="77777777" w:rsidR="007033EF" w:rsidRPr="007033EF" w:rsidRDefault="007033EF" w:rsidP="007033EF"/>
    <w:p w14:paraId="225A738E" w14:textId="72B23A1D" w:rsidR="00C645B8" w:rsidRDefault="00C645B8" w:rsidP="007033EF">
      <w:pPr>
        <w:rPr>
          <w:lang w:val="en-US"/>
        </w:rPr>
      </w:pPr>
    </w:p>
    <w:sectPr w:rsidR="00C645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29B"/>
    <w:rsid w:val="007033EF"/>
    <w:rsid w:val="009A37CD"/>
    <w:rsid w:val="00A8321F"/>
    <w:rsid w:val="00B1164B"/>
    <w:rsid w:val="00C645B8"/>
    <w:rsid w:val="00DD2D1F"/>
    <w:rsid w:val="00E0329B"/>
    <w:rsid w:val="00E0424B"/>
    <w:rsid w:val="00EB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ABF2B"/>
  <w15:chartTrackingRefBased/>
  <w15:docId w15:val="{E50AA9ED-39CD-4558-8FA3-2C00FFD8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7CD"/>
    <w:pPr>
      <w:spacing w:line="480" w:lineRule="auto"/>
      <w:jc w:val="both"/>
    </w:pPr>
    <w:rPr>
      <w:rFonts w:ascii="Times New Roman" w:hAnsi="Times New Roman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37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37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9A37C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37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A37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A37CD"/>
    <w:rPr>
      <w:i/>
      <w:iCs/>
    </w:rPr>
  </w:style>
  <w:style w:type="paragraph" w:styleId="Akapitzlist">
    <w:name w:val="List Paragraph"/>
    <w:basedOn w:val="Normalny"/>
    <w:uiPriority w:val="34"/>
    <w:qFormat/>
    <w:rsid w:val="009A37CD"/>
    <w:pPr>
      <w:ind w:left="720"/>
      <w:contextualSpacing/>
    </w:pPr>
  </w:style>
  <w:style w:type="table" w:styleId="Tabela-Siatka">
    <w:name w:val="Table Grid"/>
    <w:basedOn w:val="Standardowy"/>
    <w:uiPriority w:val="39"/>
    <w:rsid w:val="00703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Kolarz</dc:creator>
  <cp:keywords/>
  <dc:description/>
  <cp:lastModifiedBy>Bogdan Kolarz</cp:lastModifiedBy>
  <cp:revision>4</cp:revision>
  <dcterms:created xsi:type="dcterms:W3CDTF">2020-06-06T14:01:00Z</dcterms:created>
  <dcterms:modified xsi:type="dcterms:W3CDTF">2020-06-06T18:31:00Z</dcterms:modified>
</cp:coreProperties>
</file>