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664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05"/>
        <w:gridCol w:w="1020"/>
        <w:gridCol w:w="1020"/>
        <w:gridCol w:w="1020"/>
        <w:gridCol w:w="737"/>
        <w:gridCol w:w="134"/>
        <w:gridCol w:w="1020"/>
        <w:gridCol w:w="1020"/>
        <w:gridCol w:w="1020"/>
        <w:gridCol w:w="737"/>
        <w:gridCol w:w="134"/>
        <w:gridCol w:w="1020"/>
        <w:gridCol w:w="1020"/>
        <w:gridCol w:w="1020"/>
        <w:gridCol w:w="737"/>
      </w:tblGrid>
      <w:tr w:rsidR="003A3CA8" w:rsidRPr="00565539" w:rsidTr="00FD35D7">
        <w:trPr>
          <w:cantSplit/>
          <w:trHeight w:val="283"/>
          <w:tblHeader/>
          <w:jc w:val="center"/>
        </w:trPr>
        <w:tc>
          <w:tcPr>
            <w:tcW w:w="3005" w:type="dxa"/>
            <w:shd w:val="clear" w:color="auto" w:fill="auto"/>
            <w:noWrap/>
            <w:vAlign w:val="center"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379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Trajectories of chronic pelvic pain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379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Trajectories of dysmenorrhea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3797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Trajectories of dyspareunia</w:t>
            </w:r>
          </w:p>
        </w:tc>
      </w:tr>
      <w:tr w:rsidR="003A3CA8" w:rsidRPr="00565539" w:rsidTr="00FD35D7">
        <w:trPr>
          <w:cantSplit/>
          <w:trHeight w:val="283"/>
          <w:tblHeader/>
          <w:jc w:val="center"/>
        </w:trPr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  <w:t>p</w:t>
            </w:r>
          </w:p>
        </w:tc>
        <w:tc>
          <w:tcPr>
            <w:tcW w:w="134" w:type="dxa"/>
            <w:tcBorders>
              <w:bottom w:val="single" w:sz="4" w:space="0" w:color="auto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  <w:t>p</w:t>
            </w:r>
          </w:p>
        </w:tc>
        <w:tc>
          <w:tcPr>
            <w:tcW w:w="134" w:type="dxa"/>
            <w:tcBorders>
              <w:bottom w:val="single" w:sz="4" w:space="0" w:color="auto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iCs/>
                <w:color w:val="000000"/>
                <w:sz w:val="18"/>
                <w:szCs w:val="18"/>
                <w:lang w:val="en-US" w:eastAsia="fr-FR"/>
              </w:rPr>
              <w:t>p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Age (years)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± 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.1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32.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8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± 6.5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32.1 ± 6.3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0.13</w:t>
            </w:r>
          </w:p>
        </w:tc>
        <w:tc>
          <w:tcPr>
            <w:tcW w:w="134" w:type="dxa"/>
            <w:tcBorders>
              <w:top w:val="single" w:sz="4" w:space="0" w:color="auto"/>
              <w:bottom w:val="nil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35.1 ± 8.5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31.7 ± 5.9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 ± 5.9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tcBorders>
              <w:top w:val="single" w:sz="4" w:space="0" w:color="auto"/>
              <w:bottom w:val="nil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 xml:space="preserve"> ± 7.6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32.3 ± 6.9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31.5 ± 6.2</w:t>
            </w:r>
          </w:p>
        </w:tc>
        <w:tc>
          <w:tcPr>
            <w:tcW w:w="73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2B6E5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BMI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(kg/m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val="en-US" w:eastAsia="fr-FR"/>
              </w:rPr>
              <w:t>2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)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22.5 ± 3.9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21.8 ± 3.5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± 3.7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0.06</w:t>
            </w:r>
          </w:p>
        </w:tc>
        <w:tc>
          <w:tcPr>
            <w:tcW w:w="134" w:type="dxa"/>
            <w:tcBorders>
              <w:top w:val="nil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22.3 ± 4.1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21.7 ± 3.4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22.2 ± 3.5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0.16</w:t>
            </w:r>
          </w:p>
        </w:tc>
        <w:tc>
          <w:tcPr>
            <w:tcW w:w="134" w:type="dxa"/>
            <w:tcBorders>
              <w:top w:val="nil"/>
            </w:tcBorders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22.5 ± 3.9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21.6 ± 3.5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22.1 ± 3.6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0.01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Tobacco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7.</w:t>
            </w: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8.</w:t>
            </w: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37.6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0.07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34.7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34.7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39.9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0.26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Single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20.6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22.8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21.1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0.77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20.3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20.4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23.2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0.57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27.3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19.0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17.7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0.004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Menarche (years)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12.8 ± 1.5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12.9 ± 1.7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12.6 ± 1.6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0.04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12.9 ± 1.7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12.8 ± 1.5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12.7 ± 1.5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0.61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12.8 ± 1.5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12.9 ± 1.7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12.7 ± 1.6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Infertility antecedent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s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45.6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39.5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39.6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0.19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38.1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50.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39.9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37.4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46.9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0.07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Endometriosis antecedent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s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8.4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0.35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9.2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9.6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0.51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10.9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8.8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0.45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P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regnancy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desire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54.5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51.6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0.79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48.3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62.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0.006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45.9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59.8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55.6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0.003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Preoperative medical treatment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31.2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0.02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30.4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26.4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29.7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0.57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29.6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30.1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0.82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000000" w:fill="FFFFFF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Main motive for intervention (%)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Pain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Sterility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Endometriosis</w:t>
            </w:r>
          </w:p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Other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43.3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25.3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16.6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14.8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53.9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19.3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13.3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13.5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58.5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16.3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10.7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14.4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0.007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43.7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20.1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19.8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16.5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57.9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20.4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10.4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11.3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54.4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21.2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10.5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14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  <w:t>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46.1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19.7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16.8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17.4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52.9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23.1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12.8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11.2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55.4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19.8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11.4</w:t>
            </w:r>
          </w:p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13.3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0.053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proofErr w:type="gramStart"/>
            <w:r w:rsidRPr="002B6E5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rAFS</w:t>
            </w:r>
            <w:proofErr w:type="gramEnd"/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stage (%)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Stage I: minimal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Stage II: mild</w:t>
            </w:r>
          </w:p>
          <w:p w:rsidR="003A3CA8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Stage III: moderate</w:t>
            </w:r>
          </w:p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 xml:space="preserve">       Stage IV: severe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25.8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30.9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19.5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26.5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21.1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27.1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25.3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30.7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26.5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21.6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21.2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0.66</w:t>
            </w:r>
          </w:p>
        </w:tc>
        <w:tc>
          <w:tcPr>
            <w:tcW w:w="134" w:type="dxa"/>
            <w:vAlign w:val="center"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28.4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29.4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19.6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22.6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27.4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28.4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18.6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25.6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26.6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27.4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22.7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23.3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0.88</w:t>
            </w:r>
          </w:p>
        </w:tc>
        <w:tc>
          <w:tcPr>
            <w:tcW w:w="134" w:type="dxa"/>
            <w:vAlign w:val="center"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26.7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29.1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17.5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30.2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28.5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17.5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23.8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26.3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27.5</w:t>
            </w:r>
          </w:p>
          <w:p w:rsidR="003A3CA8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25.8</w:t>
            </w:r>
          </w:p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20.4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0.08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Dysmenorrhea (</w:t>
            </w:r>
            <w:r w:rsidRPr="002B6E5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VAS</w:t>
            </w: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5.1 ± 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6.7 ± 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7.0 ± 2.8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4.6 ± 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6.5 ± 2.8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7.4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5.4 ± 3.7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6.7 ± 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6.7 ± 2.8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Dyspareunia (VAS)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4.7 ± 2.6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5.5 ± 2.3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5.6 ± 2.6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0.003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5.3 ± 2.6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5.0 ± 2.5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5.5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5.2 ± 2.3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5.6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Chronic pelvic pain (VAS)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5.8 ± 2.4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6.2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227571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227571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0.06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5.9 ± 2.5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5.7 ± 2.4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6.1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0.44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6.2 ± 2.7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5.9 ± 2.3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5.9 ± 2.4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0.61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Dyschezia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19.7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31.7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36.3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19.4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28.5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36.7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17.6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36.4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34.2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Nausea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14.8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24.5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29.6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16.8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21.3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27.9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17.6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25.2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25.3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0.02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Rectal bleeding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0.23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3.8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5.4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4.2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0.65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0.02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Constipation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15.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27.4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18.5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26.2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29.2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0.003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15.9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26.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32.1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Diarrhea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14.5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25.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14.1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29.0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US" w:eastAsia="fr-FR"/>
              </w:rPr>
              <w:t>26.9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18.2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27.7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24.2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0.02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000000" w:fill="FFFFFF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Painful urination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8.3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0.08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7.9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10.9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14.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0.06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11.3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14.7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</w:t>
            </w: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000000" w:fill="FFFFFF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Fatigue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42.1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52.9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65.1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44.9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54.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62.8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000000" w:fill="FFFFFF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Headache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43.8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49.3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27.9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43.4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46.6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28.1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39.7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49.7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Anxiety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30.4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41.8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36.2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44.4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0.02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31.8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38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Depression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8.7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13.3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14.8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48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0.28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9.7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11.2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14.9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0.08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lastRenderedPageBreak/>
              <w:t>Sleep disorder (%)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12.8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16.4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23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.0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  <w:t>0.003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  <w:t>13.5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  <w:t>16.3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  <w:t>20.2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US" w:eastAsia="fr-FR"/>
              </w:rPr>
              <w:t>0.052</w:t>
            </w:r>
          </w:p>
        </w:tc>
        <w:tc>
          <w:tcPr>
            <w:tcW w:w="134" w:type="dxa"/>
            <w:vAlign w:val="center"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13.6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18.2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19.3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E93E29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</w:pPr>
            <w:r w:rsidRPr="00E93E2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fr-FR"/>
              </w:rPr>
              <w:t>0.11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2B6E54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PCS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52 ± 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47 ± 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45 ± 10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50 ± 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48 ± 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47 ± 10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0.01</w:t>
            </w:r>
          </w:p>
        </w:tc>
        <w:tc>
          <w:tcPr>
            <w:tcW w:w="134" w:type="dxa"/>
            <w:vAlign w:val="center"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50 ± 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48 ± 10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46 ± 11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&lt;0.001</w:t>
            </w:r>
          </w:p>
        </w:tc>
      </w:tr>
      <w:tr w:rsidR="003A3CA8" w:rsidRPr="00565539" w:rsidTr="00FD35D7">
        <w:trPr>
          <w:cantSplit/>
          <w:trHeight w:val="283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</w:pPr>
            <w:r w:rsidRPr="002B6E54">
              <w:rPr>
                <w:rFonts w:ascii="Arial" w:eastAsia="Times New Roman" w:hAnsi="Arial" w:cs="Arial"/>
                <w:sz w:val="18"/>
                <w:szCs w:val="18"/>
                <w:lang w:val="en-US" w:eastAsia="fr-FR"/>
              </w:rPr>
              <w:t>MCS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46 ± 11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40 ± 13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38 ± 11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&lt;0.001</w:t>
            </w:r>
          </w:p>
        </w:tc>
        <w:tc>
          <w:tcPr>
            <w:tcW w:w="134" w:type="dxa"/>
            <w:vAlign w:val="center"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44 ± 13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42 ± 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40 ± 12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0.004</w:t>
            </w:r>
          </w:p>
        </w:tc>
        <w:tc>
          <w:tcPr>
            <w:tcW w:w="134" w:type="dxa"/>
            <w:vAlign w:val="center"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45 ± 13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42 ± 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39 ± 12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3A3CA8" w:rsidRPr="00754DC6" w:rsidRDefault="003A3CA8" w:rsidP="00FD35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</w:pPr>
            <w:r w:rsidRPr="00754D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fr-FR"/>
              </w:rPr>
              <w:t>&lt;0.001</w:t>
            </w:r>
          </w:p>
        </w:tc>
      </w:tr>
    </w:tbl>
    <w:p w:rsidR="003A3CA8" w:rsidRDefault="003A3CA8" w:rsidP="003A3CA8">
      <w:pPr>
        <w:spacing w:line="360" w:lineRule="auto"/>
        <w:rPr>
          <w:rFonts w:ascii="Arial" w:hAnsi="Arial" w:cs="Arial"/>
          <w:b/>
          <w:lang w:val="en-US"/>
        </w:rPr>
      </w:pPr>
    </w:p>
    <w:p w:rsidR="003A3CA8" w:rsidRDefault="003A3CA8" w:rsidP="003A3CA8">
      <w:pPr>
        <w:spacing w:line="360" w:lineRule="auto"/>
        <w:rPr>
          <w:rFonts w:ascii="Arial" w:hAnsi="Arial" w:cs="Arial"/>
          <w:lang w:val="en-US"/>
        </w:rPr>
      </w:pPr>
      <w:bookmarkStart w:id="0" w:name="_GoBack"/>
      <w:bookmarkEnd w:id="0"/>
      <w:r w:rsidRPr="00156D20">
        <w:rPr>
          <w:rFonts w:ascii="Arial" w:hAnsi="Arial" w:cs="Arial"/>
          <w:b/>
          <w:lang w:val="en-US"/>
        </w:rPr>
        <w:t>Supplemental Table 1: Characteristics of patients from different pelvic pain trajectories: univariate analyses.</w:t>
      </w:r>
    </w:p>
    <w:p w:rsidR="00ED6E5F" w:rsidRPr="003A3CA8" w:rsidRDefault="00ED6E5F">
      <w:pPr>
        <w:rPr>
          <w:lang w:val="en-US"/>
        </w:rPr>
      </w:pPr>
    </w:p>
    <w:sectPr w:rsidR="00ED6E5F" w:rsidRPr="003A3CA8" w:rsidSect="003A3C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A8"/>
    <w:rsid w:val="003A3CA8"/>
    <w:rsid w:val="00ED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7729C-0FB6-4BD1-9547-C6399CC5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CA8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Comptour Aurelie</dc:creator>
  <cp:keywords/>
  <dc:description/>
  <cp:lastModifiedBy>Comptour Aurelie</cp:lastModifiedBy>
  <cp:revision>1</cp:revision>
  <dcterms:created xsi:type="dcterms:W3CDTF">2020-06-15T09:51:00Z</dcterms:created>
  <dcterms:modified xsi:type="dcterms:W3CDTF">2020-06-15T09:51:00Z</dcterms:modified>
</cp:coreProperties>
</file>