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3E72A" w14:textId="6F737A0A" w:rsidR="00821EB2" w:rsidRPr="00302309" w:rsidRDefault="00240B8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</w:t>
      </w:r>
      <w:r w:rsidR="00302309" w:rsidRPr="00302309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/>
          <w:b/>
          <w:bCs/>
        </w:rPr>
        <w:t>2</w:t>
      </w:r>
      <w:r w:rsidR="00302309" w:rsidRPr="00302309">
        <w:rPr>
          <w:rFonts w:ascii="Arial" w:hAnsi="Arial" w:cs="Arial"/>
          <w:b/>
          <w:bCs/>
        </w:rPr>
        <w:t xml:space="preserve"> Univariate/Multivariate Logistic Regression Analysis for persistent inflammation, immunosuppression and catabolism syndrome</w:t>
      </w:r>
      <w:r w:rsidR="00302309">
        <w:rPr>
          <w:rFonts w:ascii="Arial" w:hAnsi="Arial" w:cs="Arial"/>
          <w:b/>
          <w:bCs/>
        </w:rPr>
        <w:t xml:space="preserve"> in patients with sepsis</w:t>
      </w:r>
    </w:p>
    <w:tbl>
      <w:tblPr>
        <w:tblW w:w="14100" w:type="dxa"/>
        <w:tblInd w:w="-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59"/>
        <w:gridCol w:w="3272"/>
        <w:gridCol w:w="1609"/>
        <w:gridCol w:w="620"/>
        <w:gridCol w:w="3468"/>
        <w:gridCol w:w="1572"/>
      </w:tblGrid>
      <w:tr w:rsidR="00700749" w:rsidRPr="00700749" w14:paraId="5F0FB0F0" w14:textId="77777777" w:rsidTr="003352A7">
        <w:trPr>
          <w:trHeight w:val="3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84D51" w14:textId="77777777" w:rsidR="00700749" w:rsidRPr="00700749" w:rsidRDefault="00700749" w:rsidP="00700749">
            <w:pPr>
              <w:widowControl/>
              <w:jc w:val="left"/>
              <w:rPr>
                <w:rFonts w:ascii="Arial" w:eastAsia="ＭＳ Ｐゴシック" w:hAnsi="Arial" w:cs="Arial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8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92B0A44" w14:textId="77777777" w:rsidR="00700749" w:rsidRPr="00700749" w:rsidRDefault="00700749" w:rsidP="00700749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Univaria</w:t>
            </w:r>
            <w:r w:rsidRPr="00700749">
              <w:rPr>
                <w:rFonts w:ascii="Arial" w:eastAsia="游ゴシック" w:hAnsi="Arial" w:cs="Arial" w:hint="eastAsia"/>
                <w:b/>
                <w:bCs/>
                <w:color w:val="000000" w:themeColor="text1"/>
                <w:kern w:val="0"/>
                <w:sz w:val="22"/>
              </w:rPr>
              <w:t>te</w:t>
            </w: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 xml:space="preserve"> Logistic Regression Analysis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5DDD9" w14:textId="77777777" w:rsidR="00700749" w:rsidRPr="00700749" w:rsidRDefault="00700749" w:rsidP="00700749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48C8D26" w14:textId="4AA6AE21" w:rsidR="00700749" w:rsidRPr="00700749" w:rsidRDefault="00700749" w:rsidP="00700749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Multivaria</w:t>
            </w:r>
            <w:r w:rsidR="003C7A1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te</w:t>
            </w: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 xml:space="preserve"> Logistic Regression Analysis</w:t>
            </w:r>
          </w:p>
        </w:tc>
      </w:tr>
      <w:tr w:rsidR="00700749" w:rsidRPr="00700749" w14:paraId="46D2D9F4" w14:textId="77777777" w:rsidTr="003352A7">
        <w:trPr>
          <w:trHeight w:val="370"/>
        </w:trPr>
        <w:tc>
          <w:tcPr>
            <w:tcW w:w="3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803D8A0" w14:textId="77777777" w:rsidR="00700749" w:rsidRPr="00700749" w:rsidRDefault="00700749" w:rsidP="00700749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PIICS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69A727A" w14:textId="77777777" w:rsidR="00700749" w:rsidRPr="00700749" w:rsidRDefault="00700749" w:rsidP="00700749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odds ratio (95% CI)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E269201" w14:textId="77777777" w:rsidR="00700749" w:rsidRPr="00700749" w:rsidRDefault="00700749" w:rsidP="00700749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i/>
                <w:color w:val="000000" w:themeColor="text1"/>
                <w:kern w:val="0"/>
                <w:sz w:val="22"/>
              </w:rPr>
              <w:t>p</w:t>
            </w: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 xml:space="preserve"> value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8BC087B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color w:val="000000" w:themeColor="text1"/>
                <w:kern w:val="0"/>
                <w:sz w:val="20"/>
                <w:szCs w:val="20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09E218B" w14:textId="77777777" w:rsidR="00700749" w:rsidRPr="00700749" w:rsidRDefault="00700749" w:rsidP="00700749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odds ratio (95% CI)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D797037" w14:textId="77777777" w:rsidR="00700749" w:rsidRPr="00700749" w:rsidRDefault="00700749" w:rsidP="00700749">
            <w:pPr>
              <w:widowControl/>
              <w:jc w:val="center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i/>
                <w:color w:val="000000" w:themeColor="text1"/>
                <w:kern w:val="0"/>
                <w:sz w:val="22"/>
              </w:rPr>
              <w:t>p</w:t>
            </w: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 xml:space="preserve"> value</w:t>
            </w:r>
          </w:p>
        </w:tc>
      </w:tr>
      <w:tr w:rsidR="00700749" w:rsidRPr="00700749" w14:paraId="35AF68C0" w14:textId="77777777" w:rsidTr="003352A7">
        <w:trPr>
          <w:trHeight w:val="3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04121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Age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F6082" w14:textId="236F50F3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1.0</w:t>
            </w:r>
            <w:r w:rsidR="002F47F7"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</w:t>
            </w:r>
            <w:r w:rsidR="002F47F7"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0.99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–1.0</w:t>
            </w:r>
            <w:r w:rsidR="002F47F7"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64D0A" w14:textId="3C2DAF96" w:rsidR="00700749" w:rsidRPr="00700749" w:rsidRDefault="002F47F7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2F47F7">
              <w:rPr>
                <w:rFonts w:ascii="Arial" w:eastAsia="游ゴシック" w:hAnsi="Arial" w:cs="Arial" w:hint="eastAsia"/>
                <w:color w:val="000000" w:themeColor="text1"/>
                <w:kern w:val="0"/>
                <w:sz w:val="22"/>
              </w:rPr>
              <w:t>0</w:t>
            </w:r>
            <w:r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6758B" w14:textId="397B6054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8012E" w14:textId="720DC805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 w:hint="eastAsia"/>
                <w:color w:val="000000" w:themeColor="text1"/>
                <w:kern w:val="0"/>
                <w:sz w:val="22"/>
              </w:rPr>
              <w:t>1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.0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3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(1.0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-1.0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5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21795" w14:textId="65AFBE0B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 w:hint="eastAsia"/>
                <w:color w:val="000000" w:themeColor="text1"/>
                <w:kern w:val="0"/>
                <w:sz w:val="22"/>
              </w:rPr>
              <w:t>0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.0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10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*</w:t>
            </w:r>
          </w:p>
        </w:tc>
      </w:tr>
      <w:tr w:rsidR="00700749" w:rsidRPr="00700749" w14:paraId="7A8CE6B4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25B61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Male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8529B" w14:textId="59744FB9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</w:t>
            </w:r>
            <w:r w:rsidR="002F47F7"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67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(1.</w:t>
            </w:r>
            <w:r w:rsidR="002F47F7"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21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</w:t>
            </w:r>
            <w:r w:rsidR="002F47F7"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2.29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5F140" w14:textId="027ABB98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0.00</w:t>
            </w:r>
            <w:r w:rsidR="002F47F7"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13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5287F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F80E7" w14:textId="5402C078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98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(1.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16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3.40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105EC" w14:textId="3E615C82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0.0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11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*</w:t>
            </w:r>
          </w:p>
        </w:tc>
      </w:tr>
      <w:tr w:rsidR="00700749" w:rsidRPr="00700749" w14:paraId="4AC67309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B7B88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SOFA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ED8DD" w14:textId="77B74875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1.2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(1.1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6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–1.2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9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26291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&lt;0.0001*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C04B5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D57CA" w14:textId="77777777" w:rsidR="00700749" w:rsidRPr="00700749" w:rsidRDefault="00700749" w:rsidP="002F47F7">
            <w:pPr>
              <w:widowControl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DB787" w14:textId="77777777" w:rsidR="00700749" w:rsidRPr="00700749" w:rsidRDefault="00700749" w:rsidP="002F47F7">
            <w:pPr>
              <w:widowControl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2"/>
              </w:rPr>
            </w:pPr>
          </w:p>
        </w:tc>
      </w:tr>
      <w:tr w:rsidR="00700749" w:rsidRPr="00700749" w14:paraId="030DA98E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7F491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APACHEII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E1F6B" w14:textId="560485DA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1.0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5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(1.0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4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–1.0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8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7FCF3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&lt;0.0001*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FCF25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A8241" w14:textId="690FE53F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1.0</w:t>
            </w:r>
            <w:r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5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(1.0</w:t>
            </w:r>
            <w:r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–1.0</w:t>
            </w:r>
            <w:r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8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3B9DA" w14:textId="682EA541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0.00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21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*</w:t>
            </w:r>
          </w:p>
        </w:tc>
      </w:tr>
      <w:tr w:rsidR="00700749" w:rsidRPr="00700749" w14:paraId="5C37A8D6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21CD8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C reactive protein (mg/dl)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939E7" w14:textId="1A37766C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1.0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4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(1.0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–1.0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6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F0591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&lt;0.0001*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583C8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D9660" w14:textId="1BA82116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1.0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(0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.99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–1.0</w:t>
            </w:r>
            <w:r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4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ED17E" w14:textId="696BFDE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26</w:t>
            </w:r>
          </w:p>
        </w:tc>
      </w:tr>
      <w:tr w:rsidR="00700749" w:rsidRPr="00700749" w14:paraId="5DCE1617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50051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Albumin (g/dl)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A16D0" w14:textId="30D60680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66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(0.5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6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–0.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77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A1F45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&lt;0.0001*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EA80D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20304" w14:textId="358CFC29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60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(0.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38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–0.</w:t>
            </w:r>
            <w:r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9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3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A99E0" w14:textId="3B21DF3F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0.0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20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*</w:t>
            </w:r>
          </w:p>
        </w:tc>
      </w:tr>
      <w:tr w:rsidR="00700749" w:rsidRPr="00700749" w14:paraId="2160087E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269F7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 xml:space="preserve">Lymphocyte counts (x1000/μl) </w:t>
            </w: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  <w:vertAlign w:val="subscript"/>
              </w:rPr>
              <w:t>#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7FB01" w14:textId="5FE4B4E1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0.9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(0.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77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–1.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10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519C7" w14:textId="100A2BC3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A948C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1B3F9" w14:textId="2DD0BC90" w:rsidR="00700749" w:rsidRPr="00700749" w:rsidRDefault="00700749" w:rsidP="002F47F7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hAnsi="Arial" w:cs="Arial" w:hint="eastAsia"/>
                <w:color w:val="000000" w:themeColor="text1"/>
                <w:kern w:val="0"/>
                <w:sz w:val="22"/>
              </w:rPr>
              <w:t>1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.</w:t>
            </w:r>
            <w:r w:rsidRPr="002F47F7">
              <w:rPr>
                <w:rFonts w:ascii="Arial" w:hAnsi="Arial" w:cs="Arial"/>
                <w:color w:val="000000" w:themeColor="text1"/>
                <w:kern w:val="0"/>
                <w:sz w:val="22"/>
              </w:rPr>
              <w:t>0</w:t>
            </w:r>
            <w:r w:rsidR="00504A0B">
              <w:rPr>
                <w:rFonts w:ascii="Arial" w:hAnsi="Arial" w:cs="Arial"/>
                <w:color w:val="000000" w:themeColor="text1"/>
                <w:kern w:val="0"/>
                <w:sz w:val="22"/>
              </w:rPr>
              <w:t>2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 xml:space="preserve"> (</w:t>
            </w:r>
            <w:r w:rsidRPr="002F47F7">
              <w:rPr>
                <w:rFonts w:ascii="Arial" w:hAnsi="Arial" w:cs="Arial"/>
                <w:color w:val="000000" w:themeColor="text1"/>
                <w:kern w:val="0"/>
                <w:sz w:val="22"/>
              </w:rPr>
              <w:t>0.</w:t>
            </w:r>
            <w:r w:rsidR="00504A0B">
              <w:rPr>
                <w:rFonts w:ascii="Arial" w:hAnsi="Arial" w:cs="Arial"/>
                <w:color w:val="000000" w:themeColor="text1"/>
                <w:kern w:val="0"/>
                <w:sz w:val="22"/>
              </w:rPr>
              <w:t>83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-1.</w:t>
            </w:r>
            <w:r w:rsidRPr="002F47F7">
              <w:rPr>
                <w:rFonts w:ascii="Arial" w:hAnsi="Arial" w:cs="Arial"/>
                <w:color w:val="000000" w:themeColor="text1"/>
                <w:kern w:val="0"/>
                <w:sz w:val="22"/>
              </w:rPr>
              <w:t>2</w:t>
            </w:r>
            <w:r w:rsidR="00504A0B">
              <w:rPr>
                <w:rFonts w:ascii="Arial" w:hAnsi="Arial" w:cs="Arial"/>
                <w:color w:val="000000" w:themeColor="text1"/>
                <w:kern w:val="0"/>
                <w:sz w:val="22"/>
              </w:rPr>
              <w:t>6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22DB3" w14:textId="263F3E18" w:rsidR="00700749" w:rsidRPr="00700749" w:rsidRDefault="00700749" w:rsidP="002F47F7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hAnsi="Arial" w:cs="Arial" w:hint="eastAsia"/>
                <w:color w:val="000000" w:themeColor="text1"/>
                <w:kern w:val="0"/>
                <w:sz w:val="22"/>
              </w:rPr>
              <w:t>0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.</w:t>
            </w:r>
            <w:r w:rsidR="00504A0B">
              <w:rPr>
                <w:rFonts w:ascii="Arial" w:hAnsi="Arial" w:cs="Arial"/>
                <w:color w:val="000000" w:themeColor="text1"/>
                <w:kern w:val="0"/>
                <w:sz w:val="22"/>
              </w:rPr>
              <w:t>82</w:t>
            </w:r>
          </w:p>
        </w:tc>
      </w:tr>
      <w:tr w:rsidR="00700749" w:rsidRPr="00700749" w14:paraId="78C4CEEC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282CA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Hemoglobin (g/dl)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0885A" w14:textId="3180B729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0.9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9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(0.9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4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1.04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BC009" w14:textId="71A9947A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68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2DCDA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F9142" w14:textId="3A0589F0" w:rsidR="00700749" w:rsidRPr="00700749" w:rsidRDefault="00700749" w:rsidP="002F47F7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hAnsi="Arial" w:cs="Arial" w:hint="eastAsia"/>
                <w:color w:val="000000" w:themeColor="text1"/>
                <w:kern w:val="0"/>
                <w:sz w:val="22"/>
              </w:rPr>
              <w:t>1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.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13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 xml:space="preserve"> (</w:t>
            </w:r>
            <w:r w:rsidR="00504A0B">
              <w:rPr>
                <w:rFonts w:ascii="Arial" w:hAnsi="Arial" w:cs="Arial"/>
                <w:color w:val="000000" w:themeColor="text1"/>
                <w:kern w:val="0"/>
                <w:sz w:val="22"/>
              </w:rPr>
              <w:t>1.0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2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-1.</w:t>
            </w:r>
            <w:r w:rsidRPr="002F47F7">
              <w:rPr>
                <w:rFonts w:ascii="Arial" w:hAnsi="Arial" w:cs="Arial"/>
                <w:color w:val="000000" w:themeColor="text1"/>
                <w:kern w:val="0"/>
                <w:sz w:val="22"/>
              </w:rPr>
              <w:t>2</w:t>
            </w:r>
            <w:r w:rsidR="00504A0B">
              <w:rPr>
                <w:rFonts w:ascii="Arial" w:hAnsi="Arial" w:cs="Arial"/>
                <w:color w:val="000000" w:themeColor="text1"/>
                <w:kern w:val="0"/>
                <w:sz w:val="22"/>
              </w:rPr>
              <w:t>7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44055" w14:textId="38819C4F" w:rsidR="00700749" w:rsidRPr="00700749" w:rsidRDefault="00700749" w:rsidP="002F47F7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hAnsi="Arial" w:cs="Arial" w:hint="eastAsia"/>
                <w:color w:val="000000" w:themeColor="text1"/>
                <w:kern w:val="0"/>
                <w:sz w:val="22"/>
              </w:rPr>
              <w:t>0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.</w:t>
            </w:r>
            <w:r w:rsidR="00504A0B">
              <w:rPr>
                <w:rFonts w:ascii="Arial" w:hAnsi="Arial" w:cs="Arial"/>
                <w:color w:val="000000" w:themeColor="text1"/>
                <w:kern w:val="0"/>
                <w:sz w:val="22"/>
              </w:rPr>
              <w:t>022*</w:t>
            </w:r>
          </w:p>
        </w:tc>
      </w:tr>
      <w:tr w:rsidR="00700749" w:rsidRPr="00700749" w14:paraId="738C0A98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D7B96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Creatinine (mg/dl)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B0DE5" w14:textId="40FF2B94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12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(1.0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4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–1.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20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0F350" w14:textId="467F8720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0.00</w:t>
            </w:r>
            <w:r w:rsidR="00DE37C3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46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33E45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8C0CB" w14:textId="18A7ACC4" w:rsidR="00700749" w:rsidRPr="00700749" w:rsidRDefault="00700749" w:rsidP="002F47F7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hAnsi="Arial" w:cs="Arial" w:hint="eastAsia"/>
                <w:color w:val="000000" w:themeColor="text1"/>
                <w:kern w:val="0"/>
                <w:sz w:val="22"/>
              </w:rPr>
              <w:t>1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.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05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 xml:space="preserve"> (</w:t>
            </w:r>
            <w:r w:rsidRPr="002F47F7">
              <w:rPr>
                <w:rFonts w:ascii="Arial" w:hAnsi="Arial" w:cs="Arial"/>
                <w:color w:val="000000" w:themeColor="text1"/>
                <w:kern w:val="0"/>
                <w:sz w:val="22"/>
              </w:rPr>
              <w:t>0.9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2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-1.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19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922E2" w14:textId="469F60C1" w:rsidR="00700749" w:rsidRPr="00700749" w:rsidRDefault="00700749" w:rsidP="002F47F7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hAnsi="Arial" w:cs="Arial" w:hint="eastAsia"/>
                <w:color w:val="000000" w:themeColor="text1"/>
                <w:kern w:val="0"/>
                <w:sz w:val="22"/>
              </w:rPr>
              <w:t>0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.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48</w:t>
            </w:r>
          </w:p>
        </w:tc>
      </w:tr>
      <w:tr w:rsidR="00700749" w:rsidRPr="00700749" w14:paraId="5EEC4751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E6CCD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HbA1c (%)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0E8C2" w14:textId="14BB6F55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</w:t>
            </w:r>
            <w:r w:rsidR="008521F0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11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</w:t>
            </w:r>
            <w:r w:rsidR="008521F0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1.01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–1.</w:t>
            </w:r>
            <w:r w:rsidR="008521F0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23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E5716" w14:textId="4BC1F345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0.0</w:t>
            </w:r>
            <w:r w:rsidR="008521F0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F9D2A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D3A9B" w14:textId="3BBDA533" w:rsidR="00700749" w:rsidRPr="00700749" w:rsidRDefault="00700749" w:rsidP="002F47F7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hAnsi="Arial" w:cs="Arial" w:hint="eastAsia"/>
                <w:color w:val="000000" w:themeColor="text1"/>
                <w:kern w:val="0"/>
                <w:sz w:val="22"/>
              </w:rPr>
              <w:t>1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.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14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 xml:space="preserve"> (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0.98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-1.3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3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E5127" w14:textId="67EC4CC4" w:rsidR="00700749" w:rsidRPr="00700749" w:rsidRDefault="00700749" w:rsidP="002F47F7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hAnsi="Arial" w:cs="Arial" w:hint="eastAsia"/>
                <w:color w:val="000000" w:themeColor="text1"/>
                <w:kern w:val="0"/>
                <w:sz w:val="22"/>
              </w:rPr>
              <w:t>0</w:t>
            </w:r>
            <w:r w:rsidRPr="00700749">
              <w:rPr>
                <w:rFonts w:ascii="Arial" w:hAnsi="Arial" w:cs="Arial"/>
                <w:color w:val="000000" w:themeColor="text1"/>
                <w:kern w:val="0"/>
                <w:sz w:val="22"/>
              </w:rPr>
              <w:t>.0</w:t>
            </w:r>
            <w:r w:rsidR="002031BC">
              <w:rPr>
                <w:rFonts w:ascii="Arial" w:hAnsi="Arial" w:cs="Arial"/>
                <w:color w:val="000000" w:themeColor="text1"/>
                <w:kern w:val="0"/>
                <w:sz w:val="22"/>
              </w:rPr>
              <w:t>92</w:t>
            </w:r>
          </w:p>
        </w:tc>
      </w:tr>
      <w:tr w:rsidR="00700749" w:rsidRPr="00700749" w14:paraId="0DE67F5B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8DBE6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ISTH overt DIC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8C87E" w14:textId="1F06110F" w:rsidR="00700749" w:rsidRPr="00700749" w:rsidRDefault="007A3B58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1.83</w:t>
            </w:r>
            <w:r w:rsidR="00700749"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(1.</w:t>
            </w:r>
            <w:r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26</w:t>
            </w:r>
            <w:r w:rsidR="00700749"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2.66</w:t>
            </w:r>
            <w:r w:rsidR="00700749"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05D9F" w14:textId="6E8BD815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0.001</w:t>
            </w:r>
            <w:r w:rsidR="007A3B58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9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45A0E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F94E3" w14:textId="634AE93E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22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</w:t>
            </w:r>
            <w:r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69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–</w:t>
            </w:r>
            <w:r w:rsidRPr="002F47F7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2.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17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FC571" w14:textId="395F5F4C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</w:t>
            </w:r>
            <w:r w:rsidR="00504A0B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49</w:t>
            </w:r>
          </w:p>
        </w:tc>
      </w:tr>
      <w:tr w:rsidR="00700749" w:rsidRPr="00700749" w14:paraId="1F4566D1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090E9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 w:hint="eastAsia"/>
                <w:b/>
                <w:bCs/>
                <w:color w:val="000000" w:themeColor="text1"/>
                <w:kern w:val="0"/>
                <w:sz w:val="22"/>
              </w:rPr>
              <w:t>J</w:t>
            </w: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AAM DIC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42618" w14:textId="45CE7E2E" w:rsidR="00700749" w:rsidRPr="00700749" w:rsidRDefault="007A3B58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1.85</w:t>
            </w:r>
            <w:r w:rsidR="00700749"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</w:t>
            </w:r>
            <w:r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1.32</w:t>
            </w:r>
            <w:r w:rsidR="00700749"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-</w:t>
            </w:r>
            <w:r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2.59</w:t>
            </w:r>
            <w:r w:rsidR="00700749"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62C54" w14:textId="7BBA19E4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0.000</w:t>
            </w:r>
            <w:r w:rsidR="007A3B58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5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F628A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421AC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C9FA5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</w:tr>
      <w:tr w:rsidR="00700749" w:rsidRPr="00700749" w14:paraId="0B4801C1" w14:textId="77777777" w:rsidTr="003352A7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18F7F" w14:textId="77777777" w:rsidR="00700749" w:rsidRPr="00700749" w:rsidRDefault="00700749" w:rsidP="00700749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b/>
                <w:bCs/>
                <w:color w:val="000000" w:themeColor="text1"/>
                <w:kern w:val="0"/>
                <w:sz w:val="22"/>
              </w:rPr>
              <w:t>Antithrombin activity (%)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AC4B8" w14:textId="6DB80A8D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0.9</w:t>
            </w:r>
            <w:r w:rsidR="007A3B58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9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 xml:space="preserve"> (0.98–0.99)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9888F" w14:textId="5A54BF85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0.0</w:t>
            </w:r>
            <w:r w:rsidR="007A3B58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21</w:t>
            </w:r>
            <w:r w:rsidRPr="00700749"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894E5" w14:textId="77777777" w:rsidR="00700749" w:rsidRPr="00700749" w:rsidRDefault="00700749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4B87C" w14:textId="09AA7C78" w:rsidR="00700749" w:rsidRPr="00700749" w:rsidRDefault="002031BC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>
              <w:rPr>
                <w:rFonts w:ascii="Arial" w:eastAsia="游ゴシック" w:hAnsi="Arial" w:cs="Arial" w:hint="eastAsia"/>
                <w:color w:val="000000" w:themeColor="text1"/>
                <w:kern w:val="0"/>
                <w:sz w:val="22"/>
              </w:rPr>
              <w:t>1</w:t>
            </w:r>
            <w:r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.00 (0.99-1.01)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635BA" w14:textId="163664FC" w:rsidR="00700749" w:rsidRPr="00700749" w:rsidRDefault="002031BC" w:rsidP="002F47F7">
            <w:pPr>
              <w:widowControl/>
              <w:jc w:val="center"/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</w:pPr>
            <w:r>
              <w:rPr>
                <w:rFonts w:ascii="Arial" w:eastAsia="游ゴシック" w:hAnsi="Arial" w:cs="Arial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Arial" w:eastAsia="游ゴシック" w:hAnsi="Arial" w:cs="Arial"/>
                <w:color w:val="000000" w:themeColor="text1"/>
                <w:kern w:val="0"/>
                <w:sz w:val="22"/>
              </w:rPr>
              <w:t>.61</w:t>
            </w:r>
          </w:p>
        </w:tc>
      </w:tr>
    </w:tbl>
    <w:p w14:paraId="64781324" w14:textId="57714B8B" w:rsidR="00700749" w:rsidRDefault="00700749" w:rsidP="00700749">
      <w:pPr>
        <w:tabs>
          <w:tab w:val="left" w:pos="630"/>
        </w:tabs>
        <w:autoSpaceDE w:val="0"/>
        <w:autoSpaceDN w:val="0"/>
        <w:adjustRightInd w:val="0"/>
        <w:spacing w:line="480" w:lineRule="auto"/>
        <w:jc w:val="left"/>
        <w:rPr>
          <w:rFonts w:ascii="Arial" w:eastAsia="ＭＳ 明朝" w:hAnsi="Arial" w:cs="Arial"/>
          <w:bCs/>
          <w:color w:val="000000" w:themeColor="text1"/>
          <w:sz w:val="22"/>
        </w:rPr>
      </w:pPr>
      <w:bookmarkStart w:id="0" w:name="_Hlk44253895"/>
      <w:r w:rsidRPr="00700749">
        <w:rPr>
          <w:rFonts w:ascii="Arial" w:eastAsia="ＭＳ 明朝" w:hAnsi="Arial" w:cs="Arial"/>
          <w:bCs/>
          <w:color w:val="000000" w:themeColor="text1"/>
          <w:sz w:val="22"/>
        </w:rPr>
        <w:t>#; the unit is changed from usual one based on the clinical insights.</w:t>
      </w:r>
    </w:p>
    <w:p w14:paraId="306BEAF0" w14:textId="3F50B89A" w:rsidR="00504A0B" w:rsidRPr="00700749" w:rsidRDefault="00504A0B" w:rsidP="00700749">
      <w:pPr>
        <w:tabs>
          <w:tab w:val="left" w:pos="630"/>
        </w:tabs>
        <w:autoSpaceDE w:val="0"/>
        <w:autoSpaceDN w:val="0"/>
        <w:adjustRightInd w:val="0"/>
        <w:spacing w:line="480" w:lineRule="auto"/>
        <w:jc w:val="left"/>
        <w:rPr>
          <w:rFonts w:ascii="Arial" w:eastAsia="ＭＳ 明朝" w:hAnsi="Arial" w:cs="Arial"/>
          <w:bCs/>
          <w:color w:val="000000" w:themeColor="text1"/>
          <w:sz w:val="22"/>
        </w:rPr>
      </w:pPr>
      <w:r w:rsidRPr="00504A0B">
        <w:rPr>
          <w:rFonts w:ascii="Arial" w:eastAsia="ＭＳ 明朝" w:hAnsi="Arial" w:cs="Arial"/>
          <w:bCs/>
          <w:color w:val="000000" w:themeColor="text1"/>
          <w:sz w:val="22"/>
        </w:rPr>
        <w:t>SOFA and JAAM DIC were excluded from the multivariable model since these variables had collinearity with APACHE and ISTH overt DIC, respectively.</w:t>
      </w:r>
    </w:p>
    <w:p w14:paraId="0CE820BC" w14:textId="01F512AC" w:rsidR="00302309" w:rsidRPr="00700749" w:rsidRDefault="00700749" w:rsidP="00700749">
      <w:pPr>
        <w:tabs>
          <w:tab w:val="left" w:pos="630"/>
        </w:tabs>
        <w:autoSpaceDE w:val="0"/>
        <w:autoSpaceDN w:val="0"/>
        <w:adjustRightInd w:val="0"/>
        <w:spacing w:line="480" w:lineRule="auto"/>
        <w:jc w:val="left"/>
        <w:rPr>
          <w:rFonts w:ascii="Arial" w:hAnsi="Arial" w:cs="Arial"/>
        </w:rPr>
      </w:pPr>
      <w:r w:rsidRPr="00700749">
        <w:rPr>
          <w:rFonts w:ascii="Arial" w:eastAsia="ＭＳ 明朝" w:hAnsi="Arial" w:cs="Arial"/>
          <w:bCs/>
          <w:color w:val="000000" w:themeColor="text1"/>
          <w:sz w:val="22"/>
        </w:rPr>
        <w:t>PIICS; persistent inflammation, immunosuppression and catabolism syndrome, ISTH overt DIC; International Society on Thrombosis and Haemostasis overt disseminated intravascular coagulation, JAAM DIC; Japanese Association for Acute Medicine-disseminated intravascular coagulation, SOFA; sequential organ failure assessment, APACHE; acute physiology and chronic health evaluation</w:t>
      </w:r>
      <w:bookmarkEnd w:id="0"/>
    </w:p>
    <w:sectPr w:rsidR="00302309" w:rsidRPr="00700749" w:rsidSect="00302309">
      <w:pgSz w:w="20412" w:h="16840" w:orient="landscape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E591C" w14:textId="77777777" w:rsidR="00813AD7" w:rsidRDefault="00813AD7" w:rsidP="00240B88">
      <w:r>
        <w:separator/>
      </w:r>
    </w:p>
  </w:endnote>
  <w:endnote w:type="continuationSeparator" w:id="0">
    <w:p w14:paraId="35B8B8B6" w14:textId="77777777" w:rsidR="00813AD7" w:rsidRDefault="00813AD7" w:rsidP="0024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FD093" w14:textId="77777777" w:rsidR="00813AD7" w:rsidRDefault="00813AD7" w:rsidP="00240B88">
      <w:r>
        <w:separator/>
      </w:r>
    </w:p>
  </w:footnote>
  <w:footnote w:type="continuationSeparator" w:id="0">
    <w:p w14:paraId="3F202D47" w14:textId="77777777" w:rsidR="00813AD7" w:rsidRDefault="00813AD7" w:rsidP="00240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09"/>
    <w:rsid w:val="00106EC4"/>
    <w:rsid w:val="002031BC"/>
    <w:rsid w:val="00240B88"/>
    <w:rsid w:val="002F47F7"/>
    <w:rsid w:val="002F4F3A"/>
    <w:rsid w:val="00302309"/>
    <w:rsid w:val="003C7A19"/>
    <w:rsid w:val="00504A0B"/>
    <w:rsid w:val="00700749"/>
    <w:rsid w:val="007A3B58"/>
    <w:rsid w:val="00813AD7"/>
    <w:rsid w:val="00821EB2"/>
    <w:rsid w:val="008521F0"/>
    <w:rsid w:val="0089705B"/>
    <w:rsid w:val="00DE37C3"/>
    <w:rsid w:val="00FB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B45DE6"/>
  <w15:chartTrackingRefBased/>
  <w15:docId w15:val="{088236D3-8408-4CE7-9A67-51A32A95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B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0B88"/>
  </w:style>
  <w:style w:type="paragraph" w:styleId="a5">
    <w:name w:val="footer"/>
    <w:basedOn w:val="a"/>
    <w:link w:val="a6"/>
    <w:uiPriority w:val="99"/>
    <w:unhideWhenUsed/>
    <w:rsid w:val="00240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0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8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謙介</dc:creator>
  <cp:keywords/>
  <dc:description/>
  <cp:lastModifiedBy>中村 謙介</cp:lastModifiedBy>
  <cp:revision>10</cp:revision>
  <dcterms:created xsi:type="dcterms:W3CDTF">2020-06-28T07:23:00Z</dcterms:created>
  <dcterms:modified xsi:type="dcterms:W3CDTF">2020-08-07T06:09:00Z</dcterms:modified>
</cp:coreProperties>
</file>