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E3" w:rsidRPr="00652B8D" w:rsidRDefault="00E871E3" w:rsidP="00E871E3">
      <w:pPr>
        <w:adjustRightInd w:val="0"/>
        <w:snapToGrid w:val="0"/>
        <w:spacing w:after="120" w:line="240" w:lineRule="auto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val="en-US" w:eastAsia="de-DE" w:bidi="en-US"/>
        </w:rPr>
        <w:t>Low-input maize-based cropping systems implementing IWM match conventional maize monoculture’s productivity and weed control</w:t>
      </w:r>
    </w:p>
    <w:p w:rsidR="00E871E3" w:rsidRPr="00652B8D" w:rsidRDefault="00E871E3" w:rsidP="00E871E3">
      <w:pPr>
        <w:spacing w:after="120" w:line="240" w:lineRule="auto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Guillaume Adeux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Simon Giuliano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1*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Stéphane Cordeau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Jean-Marie Savoie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and Lionel </w:t>
      </w:r>
      <w:proofErr w:type="spellStart"/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Alletto</w:t>
      </w:r>
      <w:proofErr w:type="spellEnd"/>
      <w:r w:rsidRPr="00652B8D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 </w:t>
      </w:r>
      <w:r w:rsidRPr="00652B8D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</w:t>
      </w:r>
    </w:p>
    <w:p w:rsidR="00E871E3" w:rsidRPr="00652B8D" w:rsidRDefault="00E871E3" w:rsidP="00E871E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1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 xml:space="preserve">Université de Toulouse - École d’ingénieurs de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Purpan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, UMR 1248 AGIR – 75, voie du TOEC, BP 57611, F-31076 Toulouse cedex 3, France ; guillaume.adeux@inra.fr (G.A.) ; simon.giuliano@purpan.fr (S.G.) ; jm.savoie@purpan.fr (J-.M.S.); lionel.alletto@lrmp.chambagri.fr (L.A.)</w:t>
      </w:r>
    </w:p>
    <w:p w:rsidR="00E871E3" w:rsidRPr="00652B8D" w:rsidRDefault="00E871E3" w:rsidP="00E871E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2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Agroécologie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 xml:space="preserve">,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AgroSup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 xml:space="preserve"> Dijon, INRA,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Univ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. Bourgogne Franche-Comté, F-21000 Dijon, France ; guillaume.adeux@inra.fr (G.A.) ; stephane.cordeau@inra.fr (S.C.)</w:t>
      </w:r>
    </w:p>
    <w:p w:rsidR="00E871E3" w:rsidRPr="00652B8D" w:rsidRDefault="00E871E3" w:rsidP="00E871E3">
      <w:pPr>
        <w:adjustRightInd w:val="0"/>
        <w:snapToGrid w:val="0"/>
        <w:spacing w:before="120"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ab/>
        <w:t xml:space="preserve">Université de Toulouse - École d’ingénieurs de </w:t>
      </w:r>
      <w:proofErr w:type="spellStart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Purpan</w:t>
      </w:r>
      <w:proofErr w:type="spellEnd"/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, UMR 1201 DYNAFOR – 75, voie du TOEC, BP 57611, F-31076 Toulouse cedex 3, France.; jm.savoie@purpan.fr (J.M.S.)</w:t>
      </w:r>
    </w:p>
    <w:p w:rsidR="00E871E3" w:rsidRPr="00652B8D" w:rsidRDefault="00E871E3" w:rsidP="00E871E3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</w:p>
    <w:p w:rsidR="00E871E3" w:rsidRPr="00652B8D" w:rsidRDefault="00E871E3" w:rsidP="00E871E3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652B8D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* Correspondence: simon.giuliano@purpan.fr; Tel. +33 5 61 15 30 07</w:t>
      </w:r>
    </w:p>
    <w:p w:rsidR="00614330" w:rsidRPr="00E85995" w:rsidRDefault="00614330">
      <w:pPr>
        <w:rPr>
          <w:lang w:val="en-US"/>
        </w:rPr>
      </w:pPr>
    </w:p>
    <w:p w:rsidR="00E871E3" w:rsidRDefault="00E85995">
      <w:pPr>
        <w:rPr>
          <w:rFonts w:ascii="Palatino Linotype" w:hAnsi="Palatino Linotype" w:cs="Times New Roman"/>
          <w:b/>
          <w:sz w:val="20"/>
          <w:szCs w:val="24"/>
          <w:lang w:val="en-GB"/>
        </w:rPr>
      </w:pPr>
      <w:r>
        <w:rPr>
          <w:rFonts w:ascii="Palatino Linotype" w:hAnsi="Palatino Linotype" w:cs="Times New Roman"/>
          <w:b/>
          <w:sz w:val="20"/>
          <w:szCs w:val="24"/>
          <w:lang w:val="en-GB"/>
        </w:rPr>
        <w:t>Supplementary information Figure 1</w:t>
      </w:r>
      <w:r w:rsidR="00E871E3" w:rsidRPr="00D4327A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: </w:t>
      </w:r>
      <w:r w:rsidR="00E871E3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Monthly precipitation and average </w:t>
      </w:r>
      <w:r w:rsidR="00374B94">
        <w:rPr>
          <w:rFonts w:ascii="Palatino Linotype" w:hAnsi="Palatino Linotype" w:cs="Times New Roman"/>
          <w:b/>
          <w:sz w:val="20"/>
          <w:szCs w:val="24"/>
          <w:lang w:val="en-GB"/>
        </w:rPr>
        <w:t xml:space="preserve">monthly </w:t>
      </w:r>
      <w:r w:rsidR="00E871E3">
        <w:rPr>
          <w:rFonts w:ascii="Palatino Linotype" w:hAnsi="Palatino Linotype" w:cs="Times New Roman"/>
          <w:b/>
          <w:sz w:val="20"/>
          <w:szCs w:val="24"/>
          <w:lang w:val="en-GB"/>
        </w:rPr>
        <w:t>temperature during the period of the experiment</w:t>
      </w:r>
      <w:bookmarkStart w:id="0" w:name="_GoBack"/>
      <w:bookmarkEnd w:id="0"/>
    </w:p>
    <w:p w:rsidR="00E871E3" w:rsidRPr="00E871E3" w:rsidRDefault="00F77742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2A5DD997" wp14:editId="4F4E6680">
            <wp:extent cx="5760720" cy="3316605"/>
            <wp:effectExtent l="0" t="0" r="0" b="1714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871E3" w:rsidRPr="00E8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1E3"/>
    <w:rsid w:val="00036802"/>
    <w:rsid w:val="00374B94"/>
    <w:rsid w:val="00614330"/>
    <w:rsid w:val="008F4439"/>
    <w:rsid w:val="00E85995"/>
    <w:rsid w:val="00E871E3"/>
    <w:rsid w:val="00EE6B13"/>
    <w:rsid w:val="00F7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14850-FC76-4C63-88A5-9A85E6CF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1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844346568420163E-2"/>
          <c:y val="2.8899826828596719E-2"/>
          <c:w val="0.85908190740789891"/>
          <c:h val="0.76739900937930738"/>
        </c:manualLayout>
      </c:layout>
      <c:barChart>
        <c:barDir val="col"/>
        <c:grouping val="clustered"/>
        <c:varyColors val="0"/>
        <c:ser>
          <c:idx val="0"/>
          <c:order val="0"/>
          <c:tx>
            <c:v>Precipitations</c:v>
          </c:tx>
          <c:spPr>
            <a:solidFill>
              <a:schemeClr val="accent1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cat>
            <c:strRef>
              <c:f>'Données graphiques'!$A$48:$A$107</c:f>
              <c:strCache>
                <c:ptCount val="60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  <c:pt idx="12">
                  <c:v>January</c:v>
                </c:pt>
                <c:pt idx="13">
                  <c:v>February</c:v>
                </c:pt>
                <c:pt idx="14">
                  <c:v>March</c:v>
                </c:pt>
                <c:pt idx="15">
                  <c:v>April</c:v>
                </c:pt>
                <c:pt idx="16">
                  <c:v>May</c:v>
                </c:pt>
                <c:pt idx="17">
                  <c:v>June</c:v>
                </c:pt>
                <c:pt idx="18">
                  <c:v>July</c:v>
                </c:pt>
                <c:pt idx="19">
                  <c:v>August</c:v>
                </c:pt>
                <c:pt idx="20">
                  <c:v>September</c:v>
                </c:pt>
                <c:pt idx="21">
                  <c:v>October</c:v>
                </c:pt>
                <c:pt idx="22">
                  <c:v>November</c:v>
                </c:pt>
                <c:pt idx="23">
                  <c:v>December</c:v>
                </c:pt>
                <c:pt idx="24">
                  <c:v>January</c:v>
                </c:pt>
                <c:pt idx="25">
                  <c:v>February</c:v>
                </c:pt>
                <c:pt idx="26">
                  <c:v>March</c:v>
                </c:pt>
                <c:pt idx="27">
                  <c:v>April</c:v>
                </c:pt>
                <c:pt idx="28">
                  <c:v>May</c:v>
                </c:pt>
                <c:pt idx="29">
                  <c:v>June</c:v>
                </c:pt>
                <c:pt idx="30">
                  <c:v>July</c:v>
                </c:pt>
                <c:pt idx="31">
                  <c:v>August</c:v>
                </c:pt>
                <c:pt idx="32">
                  <c:v>September</c:v>
                </c:pt>
                <c:pt idx="33">
                  <c:v>October</c:v>
                </c:pt>
                <c:pt idx="34">
                  <c:v>November</c:v>
                </c:pt>
                <c:pt idx="35">
                  <c:v>December</c:v>
                </c:pt>
                <c:pt idx="36">
                  <c:v>January</c:v>
                </c:pt>
                <c:pt idx="37">
                  <c:v>February</c:v>
                </c:pt>
                <c:pt idx="38">
                  <c:v>March</c:v>
                </c:pt>
                <c:pt idx="39">
                  <c:v>April</c:v>
                </c:pt>
                <c:pt idx="40">
                  <c:v>May</c:v>
                </c:pt>
                <c:pt idx="41">
                  <c:v>June</c:v>
                </c:pt>
                <c:pt idx="42">
                  <c:v>July</c:v>
                </c:pt>
                <c:pt idx="43">
                  <c:v>August</c:v>
                </c:pt>
                <c:pt idx="44">
                  <c:v>September</c:v>
                </c:pt>
                <c:pt idx="45">
                  <c:v>October</c:v>
                </c:pt>
                <c:pt idx="46">
                  <c:v>November</c:v>
                </c:pt>
                <c:pt idx="47">
                  <c:v>December</c:v>
                </c:pt>
                <c:pt idx="48">
                  <c:v>January</c:v>
                </c:pt>
                <c:pt idx="49">
                  <c:v>February</c:v>
                </c:pt>
                <c:pt idx="50">
                  <c:v>March</c:v>
                </c:pt>
                <c:pt idx="51">
                  <c:v>April</c:v>
                </c:pt>
                <c:pt idx="52">
                  <c:v>May</c:v>
                </c:pt>
                <c:pt idx="53">
                  <c:v>June</c:v>
                </c:pt>
                <c:pt idx="54">
                  <c:v>July</c:v>
                </c:pt>
                <c:pt idx="55">
                  <c:v>August</c:v>
                </c:pt>
                <c:pt idx="56">
                  <c:v>September</c:v>
                </c:pt>
                <c:pt idx="57">
                  <c:v>October</c:v>
                </c:pt>
                <c:pt idx="58">
                  <c:v>November</c:v>
                </c:pt>
                <c:pt idx="59">
                  <c:v>December</c:v>
                </c:pt>
              </c:strCache>
            </c:strRef>
          </c:cat>
          <c:val>
            <c:numRef>
              <c:f>'Données graphiques'!$C$48:$C$107</c:f>
              <c:numCache>
                <c:formatCode>0</c:formatCode>
                <c:ptCount val="60"/>
                <c:pt idx="0">
                  <c:v>23.196000000000002</c:v>
                </c:pt>
                <c:pt idx="1">
                  <c:v>29.106000000000002</c:v>
                </c:pt>
                <c:pt idx="2">
                  <c:v>31.019999999999996</c:v>
                </c:pt>
                <c:pt idx="3">
                  <c:v>22.572000000000003</c:v>
                </c:pt>
                <c:pt idx="4">
                  <c:v>18.216000000000001</c:v>
                </c:pt>
                <c:pt idx="5">
                  <c:v>38.610000000000007</c:v>
                </c:pt>
                <c:pt idx="6">
                  <c:v>95.063999999999993</c:v>
                </c:pt>
                <c:pt idx="7">
                  <c:v>64.457999999999984</c:v>
                </c:pt>
                <c:pt idx="8">
                  <c:v>25.706</c:v>
                </c:pt>
                <c:pt idx="9">
                  <c:v>23.867999999999999</c:v>
                </c:pt>
                <c:pt idx="10">
                  <c:v>37.124000000000009</c:v>
                </c:pt>
                <c:pt idx="11">
                  <c:v>59.564</c:v>
                </c:pt>
                <c:pt idx="12">
                  <c:v>33.256000000000007</c:v>
                </c:pt>
                <c:pt idx="13">
                  <c:v>20.193999999999999</c:v>
                </c:pt>
                <c:pt idx="14">
                  <c:v>27.536000000000005</c:v>
                </c:pt>
                <c:pt idx="15">
                  <c:v>71.603999999999999</c:v>
                </c:pt>
                <c:pt idx="16">
                  <c:v>93.637999999999991</c:v>
                </c:pt>
                <c:pt idx="17">
                  <c:v>29.58</c:v>
                </c:pt>
                <c:pt idx="18">
                  <c:v>26.112000000000002</c:v>
                </c:pt>
                <c:pt idx="19">
                  <c:v>52.426000000000009</c:v>
                </c:pt>
                <c:pt idx="20">
                  <c:v>25.704000000000004</c:v>
                </c:pt>
                <c:pt idx="21">
                  <c:v>80.777999999999992</c:v>
                </c:pt>
                <c:pt idx="22">
                  <c:v>59.976000000000006</c:v>
                </c:pt>
                <c:pt idx="23">
                  <c:v>63.032000000000004</c:v>
                </c:pt>
                <c:pt idx="24">
                  <c:v>194.41599999999997</c:v>
                </c:pt>
                <c:pt idx="25">
                  <c:v>74.049999999999983</c:v>
                </c:pt>
                <c:pt idx="26">
                  <c:v>59.98</c:v>
                </c:pt>
                <c:pt idx="27">
                  <c:v>63.443999999999996</c:v>
                </c:pt>
                <c:pt idx="28">
                  <c:v>66.09399999999998</c:v>
                </c:pt>
                <c:pt idx="29">
                  <c:v>62.424000000000007</c:v>
                </c:pt>
                <c:pt idx="30">
                  <c:v>31.716000000000001</c:v>
                </c:pt>
                <c:pt idx="31">
                  <c:v>54.5</c:v>
                </c:pt>
                <c:pt idx="32">
                  <c:v>38.699999999999996</c:v>
                </c:pt>
                <c:pt idx="33">
                  <c:v>46.2</c:v>
                </c:pt>
                <c:pt idx="34">
                  <c:v>49.63</c:v>
                </c:pt>
                <c:pt idx="35">
                  <c:v>41.6</c:v>
                </c:pt>
                <c:pt idx="36">
                  <c:v>89.891999999999996</c:v>
                </c:pt>
                <c:pt idx="37">
                  <c:v>51.084000000000003</c:v>
                </c:pt>
                <c:pt idx="38">
                  <c:v>38.214000000000006</c:v>
                </c:pt>
                <c:pt idx="39">
                  <c:v>41.184000000000005</c:v>
                </c:pt>
                <c:pt idx="40">
                  <c:v>51.678000000000004</c:v>
                </c:pt>
                <c:pt idx="41">
                  <c:v>25.542000000000002</c:v>
                </c:pt>
                <c:pt idx="42">
                  <c:v>117.60799999999999</c:v>
                </c:pt>
                <c:pt idx="43">
                  <c:v>111.474</c:v>
                </c:pt>
                <c:pt idx="44">
                  <c:v>26.928000000000001</c:v>
                </c:pt>
                <c:pt idx="45">
                  <c:v>10.890000000000002</c:v>
                </c:pt>
                <c:pt idx="46">
                  <c:v>48.311999999999998</c:v>
                </c:pt>
                <c:pt idx="47">
                  <c:v>39.798000000000002</c:v>
                </c:pt>
                <c:pt idx="48">
                  <c:v>25.344000000000005</c:v>
                </c:pt>
                <c:pt idx="49">
                  <c:v>60.39</c:v>
                </c:pt>
                <c:pt idx="50">
                  <c:v>38.61</c:v>
                </c:pt>
                <c:pt idx="51">
                  <c:v>37.618000000000002</c:v>
                </c:pt>
                <c:pt idx="52">
                  <c:v>15.642000000000001</c:v>
                </c:pt>
                <c:pt idx="53">
                  <c:v>91.674000000000007</c:v>
                </c:pt>
                <c:pt idx="54">
                  <c:v>133.05600000000001</c:v>
                </c:pt>
                <c:pt idx="55">
                  <c:v>108.10199999999999</c:v>
                </c:pt>
                <c:pt idx="56">
                  <c:v>37.224000000000004</c:v>
                </c:pt>
                <c:pt idx="57">
                  <c:v>40.57500000000001</c:v>
                </c:pt>
                <c:pt idx="58">
                  <c:v>48.760499999999993</c:v>
                </c:pt>
                <c:pt idx="59">
                  <c:v>50.998500000000007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466147312"/>
        <c:axId val="466146920"/>
      </c:barChart>
      <c:lineChart>
        <c:grouping val="standard"/>
        <c:varyColors val="0"/>
        <c:ser>
          <c:idx val="1"/>
          <c:order val="1"/>
          <c:tx>
            <c:v>Temperature</c:v>
          </c:tx>
          <c:spPr>
            <a:ln w="38100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val>
            <c:numRef>
              <c:f>'Données graphiques'!$D$48:$D$107</c:f>
              <c:numCache>
                <c:formatCode>0</c:formatCode>
                <c:ptCount val="60"/>
                <c:pt idx="0">
                  <c:v>4.3276041036354833</c:v>
                </c:pt>
                <c:pt idx="1">
                  <c:v>6.7523395249130944</c:v>
                </c:pt>
                <c:pt idx="2">
                  <c:v>9.5380806451612923</c:v>
                </c:pt>
                <c:pt idx="3">
                  <c:v>14.353516666666666</c:v>
                </c:pt>
                <c:pt idx="4">
                  <c:v>17.470709677419354</c:v>
                </c:pt>
                <c:pt idx="5">
                  <c:v>17.931538016666664</c:v>
                </c:pt>
                <c:pt idx="6">
                  <c:v>19.951935483870965</c:v>
                </c:pt>
                <c:pt idx="7">
                  <c:v>22.491451612903223</c:v>
                </c:pt>
                <c:pt idx="8">
                  <c:v>20.635000000000002</c:v>
                </c:pt>
                <c:pt idx="9">
                  <c:v>15.485274193548388</c:v>
                </c:pt>
                <c:pt idx="10">
                  <c:v>12.560733333333333</c:v>
                </c:pt>
                <c:pt idx="11">
                  <c:v>8.5145645161290329</c:v>
                </c:pt>
                <c:pt idx="12">
                  <c:v>7.1864677419354832</c:v>
                </c:pt>
                <c:pt idx="13">
                  <c:v>2.0485862068965517</c:v>
                </c:pt>
                <c:pt idx="14">
                  <c:v>10.571435483870969</c:v>
                </c:pt>
                <c:pt idx="15">
                  <c:v>11.660783333333333</c:v>
                </c:pt>
                <c:pt idx="16">
                  <c:v>16.430870967741935</c:v>
                </c:pt>
                <c:pt idx="17">
                  <c:v>20.747166666666669</c:v>
                </c:pt>
                <c:pt idx="18">
                  <c:v>20.974193548387095</c:v>
                </c:pt>
                <c:pt idx="19">
                  <c:v>23.8525806451613</c:v>
                </c:pt>
                <c:pt idx="20">
                  <c:v>19.352449999999997</c:v>
                </c:pt>
                <c:pt idx="21">
                  <c:v>15.872677419354838</c:v>
                </c:pt>
                <c:pt idx="22">
                  <c:v>10.662433333333333</c:v>
                </c:pt>
                <c:pt idx="23">
                  <c:v>8.0644838709677416</c:v>
                </c:pt>
                <c:pt idx="24">
                  <c:v>5.9922096774193552</c:v>
                </c:pt>
                <c:pt idx="25">
                  <c:v>6.4285535714285711</c:v>
                </c:pt>
                <c:pt idx="26">
                  <c:v>10.138483870967741</c:v>
                </c:pt>
                <c:pt idx="27">
                  <c:v>12.182516666666665</c:v>
                </c:pt>
                <c:pt idx="28">
                  <c:v>13.420225806451613</c:v>
                </c:pt>
                <c:pt idx="29">
                  <c:v>17.707333333333334</c:v>
                </c:pt>
                <c:pt idx="30">
                  <c:v>21.826107526881724</c:v>
                </c:pt>
                <c:pt idx="31">
                  <c:v>20.628413978494624</c:v>
                </c:pt>
                <c:pt idx="32">
                  <c:v>17.964132222222222</c:v>
                </c:pt>
                <c:pt idx="33">
                  <c:v>14.479290322580644</c:v>
                </c:pt>
                <c:pt idx="34">
                  <c:v>10.078275833333329</c:v>
                </c:pt>
                <c:pt idx="35">
                  <c:v>4.4173333333333336</c:v>
                </c:pt>
                <c:pt idx="36">
                  <c:v>8.8119999999999994</c:v>
                </c:pt>
                <c:pt idx="37">
                  <c:v>8.1811071428571402</c:v>
                </c:pt>
                <c:pt idx="38">
                  <c:v>10.519903225806448</c:v>
                </c:pt>
                <c:pt idx="39">
                  <c:v>14.242249999999997</c:v>
                </c:pt>
                <c:pt idx="40">
                  <c:v>15.176064516129033</c:v>
                </c:pt>
                <c:pt idx="41">
                  <c:v>21.284166666666668</c:v>
                </c:pt>
                <c:pt idx="42">
                  <c:v>21.123870967741933</c:v>
                </c:pt>
                <c:pt idx="43">
                  <c:v>20.654677419354844</c:v>
                </c:pt>
                <c:pt idx="44">
                  <c:v>20.577633333333328</c:v>
                </c:pt>
                <c:pt idx="45">
                  <c:v>17.456806451612909</c:v>
                </c:pt>
                <c:pt idx="46">
                  <c:v>12.863983333333332</c:v>
                </c:pt>
                <c:pt idx="47">
                  <c:v>7.6100645161290323</c:v>
                </c:pt>
                <c:pt idx="48">
                  <c:v>6.0701612903225799</c:v>
                </c:pt>
                <c:pt idx="49">
                  <c:v>5.8372321428571441</c:v>
                </c:pt>
                <c:pt idx="50">
                  <c:v>10.124403225806452</c:v>
                </c:pt>
                <c:pt idx="51">
                  <c:v>13.456666666666669</c:v>
                </c:pt>
                <c:pt idx="52">
                  <c:v>16.654838709677417</c:v>
                </c:pt>
                <c:pt idx="53">
                  <c:v>21.465</c:v>
                </c:pt>
                <c:pt idx="54">
                  <c:v>23.37903225806452</c:v>
                </c:pt>
                <c:pt idx="55">
                  <c:v>22.590322580645161</c:v>
                </c:pt>
                <c:pt idx="56">
                  <c:v>18.151666666666667</c:v>
                </c:pt>
                <c:pt idx="57">
                  <c:v>14.733870967741932</c:v>
                </c:pt>
                <c:pt idx="58">
                  <c:v>11.761666666666665</c:v>
                </c:pt>
                <c:pt idx="59">
                  <c:v>10.437096774193547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6149664"/>
        <c:axId val="466152016"/>
      </c:lineChart>
      <c:catAx>
        <c:axId val="466147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66146920"/>
        <c:crosses val="autoZero"/>
        <c:auto val="1"/>
        <c:lblAlgn val="ctr"/>
        <c:lblOffset val="100"/>
        <c:noMultiLvlLbl val="0"/>
      </c:catAx>
      <c:valAx>
        <c:axId val="466146920"/>
        <c:scaling>
          <c:orientation val="minMax"/>
          <c:max val="2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>
                    <a:solidFill>
                      <a:sysClr val="windowText" lastClr="000000"/>
                    </a:solidFill>
                  </a:rPr>
                  <a:t>Cumulated Precipitations</a:t>
                </a:r>
                <a:r>
                  <a:rPr lang="fr-FR" baseline="0">
                    <a:solidFill>
                      <a:sysClr val="windowText" lastClr="000000"/>
                    </a:solidFill>
                  </a:rPr>
                  <a:t> (mm)</a:t>
                </a:r>
                <a:endParaRPr lang="fr-FR">
                  <a:solidFill>
                    <a:sysClr val="windowText" lastClr="000000"/>
                  </a:solidFill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66147312"/>
        <c:crosses val="autoZero"/>
        <c:crossBetween val="between"/>
      </c:valAx>
      <c:valAx>
        <c:axId val="466152016"/>
        <c:scaling>
          <c:orientation val="minMax"/>
          <c:max val="25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>
                    <a:solidFill>
                      <a:sysClr val="windowText" lastClr="000000"/>
                    </a:solidFill>
                  </a:rPr>
                  <a:t>Average Monthly Temperature (°C)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0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66149664"/>
        <c:crosses val="max"/>
        <c:crossBetween val="between"/>
      </c:valAx>
      <c:catAx>
        <c:axId val="466149664"/>
        <c:scaling>
          <c:orientation val="minMax"/>
        </c:scaling>
        <c:delete val="1"/>
        <c:axPos val="b"/>
        <c:majorTickMark val="out"/>
        <c:minorTickMark val="none"/>
        <c:tickLblPos val="nextTo"/>
        <c:crossAx val="46615201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645360302184451"/>
          <c:y val="2.3592498956010739E-2"/>
          <c:w val="0.17709678651279698"/>
          <c:h val="8.73950374850468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0.07572</cdr:x>
      <cdr:y>0.92906</cdr:y>
    </cdr:from>
    <cdr:to>
      <cdr:x>0.93432</cdr:x>
      <cdr:y>0.92906</cdr:y>
    </cdr:to>
    <cdr:cxnSp macro="">
      <cdr:nvCxnSpPr>
        <cdr:cNvPr id="3" name="Connecteur droit 2"/>
        <cdr:cNvCxnSpPr/>
      </cdr:nvCxnSpPr>
      <cdr:spPr>
        <a:xfrm xmlns:a="http://schemas.openxmlformats.org/drawingml/2006/main">
          <a:off x="647702" y="4491039"/>
          <a:ext cx="7344000" cy="0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0.07535</cdr:x>
      <cdr:y>0.9109</cdr:y>
    </cdr:from>
    <cdr:to>
      <cdr:x>0.07535</cdr:x>
      <cdr:y>0.94814</cdr:y>
    </cdr:to>
    <cdr:cxnSp macro="">
      <cdr:nvCxnSpPr>
        <cdr:cNvPr id="6" name="Connecteur droit 5"/>
        <cdr:cNvCxnSpPr/>
      </cdr:nvCxnSpPr>
      <cdr:spPr>
        <a:xfrm xmlns:a="http://schemas.openxmlformats.org/drawingml/2006/main" flipH="1">
          <a:off x="644527" y="4409976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0.24771</cdr:x>
      <cdr:y>0.91155</cdr:y>
    </cdr:from>
    <cdr:to>
      <cdr:x>0.24771</cdr:x>
      <cdr:y>0.94879</cdr:y>
    </cdr:to>
    <cdr:cxnSp macro="">
      <cdr:nvCxnSpPr>
        <cdr:cNvPr id="9" name="Connecteur droit 8"/>
        <cdr:cNvCxnSpPr/>
      </cdr:nvCxnSpPr>
      <cdr:spPr>
        <a:xfrm xmlns:a="http://schemas.openxmlformats.org/drawingml/2006/main" flipH="1">
          <a:off x="2118786" y="4413151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0.4197</cdr:x>
      <cdr:y>0.91046</cdr:y>
    </cdr:from>
    <cdr:to>
      <cdr:x>0.4197</cdr:x>
      <cdr:y>0.9477</cdr:y>
    </cdr:to>
    <cdr:cxnSp macro="">
      <cdr:nvCxnSpPr>
        <cdr:cNvPr id="10" name="Connecteur droit 9"/>
        <cdr:cNvCxnSpPr/>
      </cdr:nvCxnSpPr>
      <cdr:spPr>
        <a:xfrm xmlns:a="http://schemas.openxmlformats.org/drawingml/2006/main" flipH="1">
          <a:off x="3589868" y="4407859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0.59144</cdr:x>
      <cdr:y>0.91112</cdr:y>
    </cdr:from>
    <cdr:to>
      <cdr:x>0.59144</cdr:x>
      <cdr:y>0.94835</cdr:y>
    </cdr:to>
    <cdr:cxnSp macro="">
      <cdr:nvCxnSpPr>
        <cdr:cNvPr id="11" name="Connecteur droit 10"/>
        <cdr:cNvCxnSpPr/>
      </cdr:nvCxnSpPr>
      <cdr:spPr>
        <a:xfrm xmlns:a="http://schemas.openxmlformats.org/drawingml/2006/main" flipH="1">
          <a:off x="5058833" y="4411033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0.76503</cdr:x>
      <cdr:y>0.90959</cdr:y>
    </cdr:from>
    <cdr:to>
      <cdr:x>0.76503</cdr:x>
      <cdr:y>0.94682</cdr:y>
    </cdr:to>
    <cdr:cxnSp macro="">
      <cdr:nvCxnSpPr>
        <cdr:cNvPr id="12" name="Connecteur droit 11"/>
        <cdr:cNvCxnSpPr/>
      </cdr:nvCxnSpPr>
      <cdr:spPr>
        <a:xfrm xmlns:a="http://schemas.openxmlformats.org/drawingml/2006/main" flipH="1">
          <a:off x="6543675" y="4403625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0.9343</cdr:x>
      <cdr:y>0.90915</cdr:y>
    </cdr:from>
    <cdr:to>
      <cdr:x>0.9343</cdr:x>
      <cdr:y>0.94639</cdr:y>
    </cdr:to>
    <cdr:cxnSp macro="">
      <cdr:nvCxnSpPr>
        <cdr:cNvPr id="13" name="Connecteur droit 12"/>
        <cdr:cNvCxnSpPr/>
      </cdr:nvCxnSpPr>
      <cdr:spPr>
        <a:xfrm xmlns:a="http://schemas.openxmlformats.org/drawingml/2006/main" flipH="1">
          <a:off x="7991476" y="4401509"/>
          <a:ext cx="0" cy="180276"/>
        </a:xfrm>
        <a:prstGeom xmlns:a="http://schemas.openxmlformats.org/drawingml/2006/main" prst="line">
          <a:avLst/>
        </a:prstGeom>
        <a:ln xmlns:a="http://schemas.openxmlformats.org/drawingml/2006/main" w="9525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0.13945</cdr:x>
      <cdr:y>0.93518</cdr:y>
    </cdr:from>
    <cdr:to>
      <cdr:x>0.22911</cdr:x>
      <cdr:y>0.98577</cdr:y>
    </cdr:to>
    <cdr:sp macro="" textlink="">
      <cdr:nvSpPr>
        <cdr:cNvPr id="14" name="ZoneTexte 13"/>
        <cdr:cNvSpPr txBox="1"/>
      </cdr:nvSpPr>
      <cdr:spPr>
        <a:xfrm xmlns:a="http://schemas.openxmlformats.org/drawingml/2006/main">
          <a:off x="803332" y="3101623"/>
          <a:ext cx="516510" cy="1677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r>
            <a:rPr lang="fr-FR" sz="1100"/>
            <a:t>2011</a:t>
          </a:r>
        </a:p>
      </cdr:txBody>
    </cdr:sp>
  </cdr:relSizeAnchor>
  <cdr:relSizeAnchor xmlns:cdr="http://schemas.openxmlformats.org/drawingml/2006/chartDrawing">
    <cdr:from>
      <cdr:x>0.30961</cdr:x>
      <cdr:y>0.93518</cdr:y>
    </cdr:from>
    <cdr:to>
      <cdr:x>0.39982</cdr:x>
      <cdr:y>0.98577</cdr:y>
    </cdr:to>
    <cdr:sp macro="" textlink="">
      <cdr:nvSpPr>
        <cdr:cNvPr id="15" name="ZoneTexte 1"/>
        <cdr:cNvSpPr txBox="1"/>
      </cdr:nvSpPr>
      <cdr:spPr>
        <a:xfrm xmlns:a="http://schemas.openxmlformats.org/drawingml/2006/main">
          <a:off x="1783577" y="3101623"/>
          <a:ext cx="519676" cy="1677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2012</a:t>
          </a:r>
        </a:p>
      </cdr:txBody>
    </cdr:sp>
  </cdr:relSizeAnchor>
  <cdr:relSizeAnchor xmlns:cdr="http://schemas.openxmlformats.org/drawingml/2006/chartDrawing">
    <cdr:from>
      <cdr:x>0.47977</cdr:x>
      <cdr:y>0.93518</cdr:y>
    </cdr:from>
    <cdr:to>
      <cdr:x>0.57353</cdr:x>
      <cdr:y>0.99617</cdr:y>
    </cdr:to>
    <cdr:sp macro="" textlink="">
      <cdr:nvSpPr>
        <cdr:cNvPr id="16" name="ZoneTexte 1"/>
        <cdr:cNvSpPr txBox="1"/>
      </cdr:nvSpPr>
      <cdr:spPr>
        <a:xfrm xmlns:a="http://schemas.openxmlformats.org/drawingml/2006/main">
          <a:off x="2763821" y="3101623"/>
          <a:ext cx="540096" cy="2022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2013</a:t>
          </a:r>
        </a:p>
      </cdr:txBody>
    </cdr:sp>
  </cdr:relSizeAnchor>
  <cdr:relSizeAnchor xmlns:cdr="http://schemas.openxmlformats.org/drawingml/2006/chartDrawing">
    <cdr:from>
      <cdr:x>0.64993</cdr:x>
      <cdr:y>0.93518</cdr:y>
    </cdr:from>
    <cdr:to>
      <cdr:x>0.74274</cdr:x>
      <cdr:y>0.98577</cdr:y>
    </cdr:to>
    <cdr:sp macro="" textlink="">
      <cdr:nvSpPr>
        <cdr:cNvPr id="17" name="ZoneTexte 1"/>
        <cdr:cNvSpPr txBox="1"/>
      </cdr:nvSpPr>
      <cdr:spPr>
        <a:xfrm xmlns:a="http://schemas.openxmlformats.org/drawingml/2006/main">
          <a:off x="3744065" y="3101623"/>
          <a:ext cx="534637" cy="1677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2014</a:t>
          </a:r>
        </a:p>
      </cdr:txBody>
    </cdr:sp>
  </cdr:relSizeAnchor>
  <cdr:relSizeAnchor xmlns:cdr="http://schemas.openxmlformats.org/drawingml/2006/chartDrawing">
    <cdr:from>
      <cdr:x>0.82009</cdr:x>
      <cdr:y>0.93518</cdr:y>
    </cdr:from>
    <cdr:to>
      <cdr:x>0.90446</cdr:x>
      <cdr:y>0.99097</cdr:y>
    </cdr:to>
    <cdr:sp macro="" textlink="">
      <cdr:nvSpPr>
        <cdr:cNvPr id="18" name="ZoneTexte 1"/>
        <cdr:cNvSpPr txBox="1"/>
      </cdr:nvSpPr>
      <cdr:spPr>
        <a:xfrm xmlns:a="http://schemas.openxmlformats.org/drawingml/2006/main">
          <a:off x="4724309" y="3101623"/>
          <a:ext cx="486046" cy="18504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 anchor="ctr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fr-FR" sz="1100"/>
            <a:t>2015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Adeux</dc:creator>
  <cp:keywords/>
  <dc:description/>
  <cp:lastModifiedBy>Guillaume Adeux</cp:lastModifiedBy>
  <cp:revision>4</cp:revision>
  <dcterms:created xsi:type="dcterms:W3CDTF">2017-08-17T07:53:00Z</dcterms:created>
  <dcterms:modified xsi:type="dcterms:W3CDTF">2017-08-21T11:30:00Z</dcterms:modified>
</cp:coreProperties>
</file>