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773" w:rsidRPr="00652B8D" w:rsidRDefault="00962773" w:rsidP="00962773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Low-input maize-based cropping systems implementing IWM match conventional maize monoculture’s productivity and weed control</w:t>
      </w:r>
    </w:p>
    <w:p w:rsidR="00962773" w:rsidRPr="00652B8D" w:rsidRDefault="00962773" w:rsidP="00962773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Guillaume Adeux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Simon Giuliano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Stéphane Cordeau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Jean-Marie Savoie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 Lionel </w:t>
      </w:r>
      <w:proofErr w:type="spellStart"/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Alletto</w:t>
      </w:r>
      <w:proofErr w:type="spellEnd"/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962773" w:rsidRPr="00652B8D" w:rsidRDefault="00962773" w:rsidP="0096277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1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 xml:space="preserve">Université de Toulouse - École d’ingénieurs de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Purpan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, UMR 1248 AGIR – 75, voie du TOEC, BP 57611, F-31076 Toulouse cedex 3, France ; guillaume.adeux@inra.fr (G.A.) ; simon.giuliano@purpan.fr (S.G.) ; jm.savoie@purpan.fr (J-.M.S.); lionel.alletto@lrmp.chambagri.fr (L.A.)</w:t>
      </w:r>
    </w:p>
    <w:p w:rsidR="00962773" w:rsidRPr="00652B8D" w:rsidRDefault="00962773" w:rsidP="0096277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Agroécologie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 xml:space="preserve">,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AgroSup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 xml:space="preserve"> Dijon, INRA,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Univ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. Bourgogne Franche-Comté, F-21000 Dijon, France ; guillaume.adeux@inra.fr (G.A.) ; stephane.cordeau@inra.fr (S.C.)</w:t>
      </w:r>
    </w:p>
    <w:p w:rsidR="00962773" w:rsidRPr="00652B8D" w:rsidRDefault="00962773" w:rsidP="0096277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 xml:space="preserve">Université de Toulouse - École d’ingénieurs de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Purpan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, UMR 1201 DYNAFOR – 75, voie du TOEC, BP 57611, F-31076 Toulouse cedex 3, France.; jm.savoie@purpan.fr (J.M.S.)</w:t>
      </w:r>
    </w:p>
    <w:p w:rsidR="00962773" w:rsidRPr="00652B8D" w:rsidRDefault="00962773" w:rsidP="00962773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</w:p>
    <w:p w:rsidR="00962773" w:rsidRPr="00652B8D" w:rsidRDefault="00962773" w:rsidP="00962773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* Correspondence: simon.giuliano@purpan.fr; Tel. +33 5 61 15 30 07</w:t>
      </w:r>
    </w:p>
    <w:p w:rsidR="00962773" w:rsidRPr="00FC4443" w:rsidRDefault="00962773" w:rsidP="00FC4443">
      <w:pPr>
        <w:spacing w:line="240" w:lineRule="auto"/>
        <w:rPr>
          <w:rFonts w:ascii="Times New Roman" w:eastAsia="Times" w:hAnsi="Times New Roman" w:cs="Times New Roman"/>
          <w:sz w:val="20"/>
          <w:szCs w:val="24"/>
          <w:lang w:val="en-GB"/>
        </w:rPr>
      </w:pPr>
    </w:p>
    <w:p w:rsidR="00FC4443" w:rsidRPr="00ED471F" w:rsidRDefault="00FC4443" w:rsidP="00FC4443">
      <w:pPr>
        <w:jc w:val="both"/>
        <w:rPr>
          <w:rFonts w:ascii="Palatino Linotype" w:hAnsi="Palatino Linotype" w:cs="Times New Roman"/>
          <w:b/>
          <w:sz w:val="20"/>
          <w:szCs w:val="24"/>
          <w:lang w:val="en-GB"/>
        </w:rPr>
      </w:pPr>
      <w:r w:rsidRPr="00ED471F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Supplementary information </w:t>
      </w:r>
      <w:r w:rsidR="00312A63">
        <w:rPr>
          <w:rFonts w:ascii="Palatino Linotype" w:hAnsi="Palatino Linotype" w:cs="Times New Roman"/>
          <w:b/>
          <w:sz w:val="20"/>
          <w:szCs w:val="24"/>
          <w:lang w:val="en-GB"/>
        </w:rPr>
        <w:t>Table 2</w:t>
      </w:r>
      <w:r w:rsidRPr="00ED471F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: </w:t>
      </w:r>
    </w:p>
    <w:p w:rsidR="00FC4443" w:rsidRPr="00624DA1" w:rsidRDefault="00FC4443" w:rsidP="00FC4443">
      <w:pPr>
        <w:jc w:val="both"/>
        <w:rPr>
          <w:rFonts w:ascii="Times New Roman" w:hAnsi="Times New Roman" w:cs="Times New Roman"/>
          <w:b/>
          <w:szCs w:val="24"/>
          <w:lang w:val="en-GB"/>
        </w:rPr>
      </w:pPr>
      <w:r w:rsidRPr="00ED471F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Weed species recorded in maize (also named by their EPPO codes, http://eppt.eppo.org/search.php), biological characteristics and relative Potential of Infestation </w:t>
      </w:r>
      <w:r w:rsidRPr="00ED471F">
        <w:rPr>
          <w:rFonts w:ascii="Palatino Linotype" w:hAnsi="Palatino Linotype" w:cs="Times New Roman"/>
          <w:b/>
          <w:sz w:val="20"/>
          <w:szCs w:val="24"/>
          <w:vertAlign w:val="superscript"/>
          <w:lang w:val="en-GB"/>
        </w:rPr>
        <w:t>(1)</w:t>
      </w:r>
      <w:r w:rsidRPr="00ED471F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and frequency of occurrence (%).</w:t>
      </w:r>
    </w:p>
    <w:tbl>
      <w:tblPr>
        <w:tblpPr w:leftFromText="141" w:rightFromText="141" w:vertAnchor="page" w:horzAnchor="margin" w:tblpY="991"/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851"/>
        <w:gridCol w:w="805"/>
        <w:gridCol w:w="1276"/>
        <w:gridCol w:w="1949"/>
        <w:gridCol w:w="1701"/>
      </w:tblGrid>
      <w:tr w:rsidR="00962773" w:rsidRPr="00DC36A8" w:rsidTr="00962773">
        <w:trPr>
          <w:trHeight w:val="556"/>
        </w:trPr>
        <w:tc>
          <w:tcPr>
            <w:tcW w:w="3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lastRenderedPageBreak/>
              <w:t>Latin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Name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EPPO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br/>
              <w:t>Code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Cotyledon type 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Raunkiaer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br/>
              <w:t xml:space="preserve"> Type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‡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Relative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br/>
              <w:t xml:space="preserve">Potential of </w:t>
            </w:r>
            <w:proofErr w:type="gram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Infestation  (</w:t>
            </w:r>
            <w:proofErr w:type="gram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%)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Frequency of occurrence (%)</w:t>
            </w:r>
          </w:p>
        </w:tc>
      </w:tr>
      <w:tr w:rsidR="00962773" w:rsidRPr="00DC36A8" w:rsidTr="00962773">
        <w:trPr>
          <w:trHeight w:val="155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Abutilon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theophrasti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Medik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ABUTH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208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Alopecurus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myosuroides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Huds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ALOMY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39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Amaranthus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hybridus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AMACH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2.3</w:t>
            </w:r>
          </w:p>
        </w:tc>
      </w:tr>
      <w:tr w:rsidR="00962773" w:rsidRPr="00DC36A8" w:rsidTr="00962773">
        <w:trPr>
          <w:trHeight w:val="116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Atriplex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patula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ATXPA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17.6</w:t>
            </w:r>
          </w:p>
        </w:tc>
      </w:tr>
      <w:tr w:rsidR="00962773" w:rsidRPr="00DC36A8" w:rsidTr="00962773">
        <w:trPr>
          <w:trHeight w:val="19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Avena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fatua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AVEFA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18.8</w:t>
            </w:r>
          </w:p>
        </w:tc>
      </w:tr>
      <w:tr w:rsidR="00962773" w:rsidRPr="00DC36A8" w:rsidTr="00962773">
        <w:trPr>
          <w:trHeight w:val="109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Avena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strigosa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Schreb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AVESG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4.1</w:t>
            </w:r>
          </w:p>
        </w:tc>
      </w:tr>
      <w:tr w:rsidR="00962773" w:rsidRPr="00DC36A8" w:rsidTr="00962773">
        <w:trPr>
          <w:trHeight w:val="168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>Calystegia sepium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 xml:space="preserve"> (L.) R.Br.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CAGSE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Geophyte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4.7</w:t>
            </w:r>
          </w:p>
        </w:tc>
      </w:tr>
      <w:tr w:rsidR="00962773" w:rsidRPr="00DC36A8" w:rsidTr="00962773">
        <w:trPr>
          <w:trHeight w:val="10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Cerastium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glomeratum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Thuill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CERGL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6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Chenopodium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album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CHEAL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</w:t>
            </w:r>
          </w:p>
        </w:tc>
      </w:tr>
      <w:tr w:rsidR="00962773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Chenopodium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polyspermum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CHEPO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10.3</w:t>
            </w:r>
          </w:p>
        </w:tc>
      </w:tr>
      <w:tr w:rsidR="00962773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Cirsium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arvense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Scop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CIRAR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Geophyte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3.1</w:t>
            </w:r>
          </w:p>
        </w:tc>
      </w:tr>
      <w:tr w:rsidR="00962773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Convolvulus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arvensis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CONAR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Geophyte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45.7</w:t>
            </w:r>
          </w:p>
        </w:tc>
      </w:tr>
      <w:tr w:rsidR="00962773" w:rsidRPr="00DC36A8" w:rsidTr="00962773">
        <w:trPr>
          <w:trHeight w:val="116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Cynodon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dactylon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Pers.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CYNDA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Geophyte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9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Datura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stramonium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DATST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08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Digitaria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sanguinalis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Scop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DIGSA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10.1</w:t>
            </w:r>
          </w:p>
        </w:tc>
      </w:tr>
      <w:tr w:rsidR="00962773" w:rsidRPr="00DC36A8" w:rsidTr="00962773">
        <w:trPr>
          <w:trHeight w:val="182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eastAsia="fr-FR"/>
              </w:rPr>
              <w:t>Echinochloa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eastAsia="fr-FR"/>
              </w:rPr>
              <w:t xml:space="preserve"> crus-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eastAsia="fr-FR"/>
              </w:rPr>
              <w:t>galli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eastAsia="fr-FR"/>
              </w:rPr>
              <w:t xml:space="preserve"> 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eastAsia="fr-FR"/>
              </w:rPr>
              <w:t>Beauv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ECHCG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55.9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60.3</w:t>
            </w:r>
          </w:p>
        </w:tc>
      </w:tr>
      <w:tr w:rsidR="00962773" w:rsidRPr="00DC36A8" w:rsidTr="00962773">
        <w:trPr>
          <w:trHeight w:val="10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Epilobium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tetragonum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EPIAD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2.9</w:t>
            </w:r>
          </w:p>
        </w:tc>
      </w:tr>
      <w:tr w:rsidR="00962773" w:rsidRPr="00DC36A8" w:rsidTr="00962773">
        <w:trPr>
          <w:trHeight w:val="16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Erigeron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sumatrensis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Retz.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ERISU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2.1</w:t>
            </w:r>
          </w:p>
        </w:tc>
      </w:tr>
      <w:tr w:rsidR="00962773" w:rsidRPr="00DC36A8" w:rsidTr="00962773">
        <w:trPr>
          <w:trHeight w:val="235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Geranium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rotundifolium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GERRT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38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Helminthotheca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echioides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Holub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PICEC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Hypericum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humifusum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HYPHU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</w:tr>
      <w:tr w:rsidR="00962773" w:rsidRPr="00DC36A8" w:rsidTr="00962773">
        <w:trPr>
          <w:trHeight w:val="13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Hypericum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perforatum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HYPPE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1.3</w:t>
            </w:r>
          </w:p>
        </w:tc>
      </w:tr>
      <w:tr w:rsidR="00962773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Hypochaeris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radicata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HRYRA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962773" w:rsidRPr="00DC36A8" w:rsidTr="00962773">
        <w:trPr>
          <w:trHeight w:val="109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 xml:space="preserve">Kickxia </w:t>
            </w:r>
            <w:r w:rsidRPr="00DC36A8">
              <w:rPr>
                <w:rFonts w:ascii="Calibri" w:eastAsia="Times New Roman" w:hAnsi="Calibri" w:cs="Times New Roman"/>
                <w:iCs/>
                <w:color w:val="000000"/>
                <w:sz w:val="16"/>
                <w:lang w:val="it-IT" w:eastAsia="fr-FR"/>
              </w:rPr>
              <w:t>spp.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 xml:space="preserve"> (</w:t>
            </w: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>spuria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>,</w:t>
            </w: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 xml:space="preserve"> elatine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 xml:space="preserve">) (L.)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Dumort.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KICSS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10.9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68.3</w:t>
            </w:r>
          </w:p>
        </w:tc>
      </w:tr>
      <w:tr w:rsidR="00962773" w:rsidRPr="00DC36A8" w:rsidTr="00962773">
        <w:trPr>
          <w:trHeight w:val="182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Lathyrus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tuberosus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LTHTU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</w:tr>
      <w:tr w:rsidR="00962773" w:rsidRPr="00DC36A8" w:rsidTr="00962773">
        <w:trPr>
          <w:trHeight w:val="86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Lolium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Cs/>
                <w:color w:val="000000"/>
                <w:sz w:val="16"/>
                <w:lang w:val="en-GB" w:eastAsia="fr-FR"/>
              </w:rPr>
              <w:t>spp.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LOLSS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62773" w:rsidRPr="00DC36A8" w:rsidRDefault="00962773" w:rsidP="009627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7.8</w:t>
            </w:r>
          </w:p>
        </w:tc>
      </w:tr>
      <w:tr w:rsidR="00C2396A" w:rsidRPr="00DC36A8" w:rsidTr="00962773">
        <w:trPr>
          <w:trHeight w:val="86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312A63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</w:pP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Lysimachia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arvensis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U.Manns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&amp; </w:t>
            </w: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Anderb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ANGAR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19.8</w:t>
            </w:r>
          </w:p>
        </w:tc>
      </w:tr>
      <w:tr w:rsidR="00C2396A" w:rsidRPr="00DC36A8" w:rsidTr="00962773">
        <w:trPr>
          <w:trHeight w:val="147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312A63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Lythrum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hyssopifolia</w:t>
            </w:r>
            <w:proofErr w:type="spellEnd"/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LYTHY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3.9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312A63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Medicago</w:t>
            </w:r>
            <w:proofErr w:type="spellEnd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arabica</w:t>
            </w:r>
            <w:proofErr w:type="spellEnd"/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Huds</w:t>
            </w:r>
            <w:proofErr w:type="spellEnd"/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MEDAB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</w:tr>
      <w:tr w:rsidR="00C2396A" w:rsidRPr="00C2396A" w:rsidTr="00C2396A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2396A" w:rsidRPr="00312A63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</w:pPr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 xml:space="preserve">Persicaria </w:t>
            </w:r>
            <w:r w:rsidRPr="00312A63">
              <w:rPr>
                <w:rFonts w:ascii="Calibri" w:eastAsia="Times New Roman" w:hAnsi="Calibri" w:cs="Times New Roman"/>
                <w:iCs/>
                <w:color w:val="000000"/>
                <w:sz w:val="16"/>
                <w:lang w:val="it-IT" w:eastAsia="fr-FR"/>
              </w:rPr>
              <w:t>spp.</w:t>
            </w:r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 xml:space="preserve"> (</w:t>
            </w:r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 xml:space="preserve">maculosa </w:t>
            </w:r>
            <w:r w:rsidRPr="00312A63">
              <w:rPr>
                <w:rFonts w:ascii="Calibri" w:eastAsia="Times New Roman" w:hAnsi="Calibri" w:cs="Times New Roman"/>
                <w:iCs/>
                <w:color w:val="000000"/>
                <w:sz w:val="16"/>
                <w:lang w:val="it-IT" w:eastAsia="fr-FR"/>
              </w:rPr>
              <w:t>Gray.</w:t>
            </w:r>
            <w:r w:rsidRPr="00312A63">
              <w:rPr>
                <w:rFonts w:ascii="Calibri" w:eastAsia="Times New Roman" w:hAnsi="Calibri" w:cs="Times New Roman"/>
                <w:color w:val="000000"/>
                <w:sz w:val="16"/>
                <w:lang w:val="it-IT" w:eastAsia="fr-FR"/>
              </w:rPr>
              <w:t xml:space="preserve">, </w:t>
            </w:r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 xml:space="preserve">lapathifolia </w:t>
            </w:r>
            <w:r w:rsidRPr="00312A63">
              <w:rPr>
                <w:rFonts w:ascii="Calibri" w:eastAsia="Times New Roman" w:hAnsi="Calibri" w:cs="Times New Roman"/>
                <w:iCs/>
                <w:color w:val="000000"/>
                <w:sz w:val="16"/>
                <w:lang w:val="it-IT" w:eastAsia="fr-FR"/>
              </w:rPr>
              <w:t>(L.) Delarbre</w:t>
            </w:r>
            <w:r w:rsidRPr="00312A6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it-IT" w:eastAsia="fr-FR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POLSS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9.9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65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Phalaris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paradoxa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PHAPA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Plantago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major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PLAMA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13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Polygonum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aviculare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POLAV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20.6</w:t>
            </w:r>
          </w:p>
        </w:tc>
      </w:tr>
      <w:tr w:rsidR="00C2396A" w:rsidRPr="00DC36A8" w:rsidTr="00962773">
        <w:trPr>
          <w:trHeight w:val="19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Polygonum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convolvulus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POLCO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11.1</w:t>
            </w:r>
          </w:p>
        </w:tc>
      </w:tr>
      <w:tr w:rsidR="00C2396A" w:rsidRPr="00C2396A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Portulaca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oleracea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POROL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1.3</w:t>
            </w:r>
          </w:p>
        </w:tc>
      </w:tr>
      <w:tr w:rsidR="00C2396A" w:rsidRPr="00DC36A8" w:rsidTr="00962773">
        <w:trPr>
          <w:trHeight w:val="101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Potentilla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reptans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PTLRE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Prunus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spinosa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PRNSN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Phanerophyte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Ranunculus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sardous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Crantz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RANSA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12.7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Rubus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fruticosus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RUBFR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1.5</w:t>
            </w:r>
          </w:p>
        </w:tc>
      </w:tr>
      <w:tr w:rsidR="00C2396A" w:rsidRPr="00DC36A8" w:rsidTr="00962773">
        <w:trPr>
          <w:trHeight w:val="84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Senecio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vulgaris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SENVU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8.3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Setaria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glauca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Beauv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SETPU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3.1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Solanum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nigrum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SOLNI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8.7</w:t>
            </w:r>
          </w:p>
        </w:tc>
      </w:tr>
      <w:tr w:rsidR="00C2396A" w:rsidRPr="00DC36A8" w:rsidTr="00962773">
        <w:trPr>
          <w:trHeight w:val="123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Sonchus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r w:rsidRPr="00DC36A8">
              <w:rPr>
                <w:rFonts w:ascii="Calibri" w:eastAsia="Times New Roman" w:hAnsi="Calibri" w:cs="Times New Roman"/>
                <w:iCs/>
                <w:color w:val="000000"/>
                <w:sz w:val="16"/>
                <w:lang w:val="en-GB" w:eastAsia="fr-FR"/>
              </w:rPr>
              <w:t>spp.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oleraceus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L., </w:t>
            </w: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asper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(L.) Hill)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SONSS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46.2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Sorghum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halepense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Pers.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SORHA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Geophyte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10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Stellaria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media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(L.) </w:t>
            </w: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Vill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STEME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</w:tr>
      <w:tr w:rsidR="00C2396A" w:rsidRPr="00DC36A8" w:rsidTr="00962773">
        <w:trPr>
          <w:trHeight w:val="175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Taraxacum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officinale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Weber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TAROF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92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Trifolium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r w:rsidRPr="00DC36A8">
              <w:rPr>
                <w:rFonts w:ascii="Calibri" w:eastAsia="Times New Roman" w:hAnsi="Calibri" w:cs="Times New Roman"/>
                <w:iCs/>
                <w:color w:val="000000"/>
                <w:sz w:val="16"/>
                <w:lang w:val="en-GB" w:eastAsia="fr-FR"/>
              </w:rPr>
              <w:t>spp.</w:t>
            </w: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TRFSS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1.1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Verbena officinalis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VEBOF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Hemicryptophyte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15.8</w:t>
            </w:r>
          </w:p>
        </w:tc>
      </w:tr>
      <w:tr w:rsidR="00C2396A" w:rsidRPr="00DC36A8" w:rsidTr="00962773">
        <w:trPr>
          <w:trHeight w:val="84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Veronica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arvensis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VERAR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</w:tr>
      <w:tr w:rsidR="00C2396A" w:rsidRPr="00DC36A8" w:rsidTr="00962773">
        <w:trPr>
          <w:trHeight w:val="144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Vicia</w:t>
            </w:r>
            <w:proofErr w:type="spellEnd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benghalensis</w:t>
            </w: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L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VICBE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&lt;1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4.4</w:t>
            </w:r>
          </w:p>
        </w:tc>
      </w:tr>
      <w:tr w:rsidR="00C2396A" w:rsidRPr="00DC36A8" w:rsidTr="00962773">
        <w:trPr>
          <w:trHeight w:val="80"/>
        </w:trPr>
        <w:tc>
          <w:tcPr>
            <w:tcW w:w="30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 xml:space="preserve">Viola </w:t>
            </w:r>
            <w:proofErr w:type="spellStart"/>
            <w:r w:rsidRPr="00DC36A8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GB" w:eastAsia="fr-FR"/>
              </w:rPr>
              <w:t>arvensis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Murray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VIOAR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1.6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6</w:t>
            </w:r>
          </w:p>
        </w:tc>
      </w:tr>
      <w:tr w:rsidR="00C2396A" w:rsidRPr="00DC36A8" w:rsidTr="00962773">
        <w:trPr>
          <w:trHeight w:val="136"/>
        </w:trPr>
        <w:tc>
          <w:tcPr>
            <w:tcW w:w="3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C57244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US" w:eastAsia="fr-FR"/>
              </w:rPr>
            </w:pPr>
            <w:proofErr w:type="spellStart"/>
            <w:r w:rsidRPr="00C5724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US" w:eastAsia="fr-FR"/>
              </w:rPr>
              <w:t>Vulpia</w:t>
            </w:r>
            <w:proofErr w:type="spellEnd"/>
            <w:r w:rsidRPr="00C5724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US" w:eastAsia="fr-FR"/>
              </w:rPr>
              <w:t xml:space="preserve"> </w:t>
            </w:r>
            <w:proofErr w:type="spellStart"/>
            <w:proofErr w:type="gramStart"/>
            <w:r w:rsidRPr="00C57244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lang w:val="en-US" w:eastAsia="fr-FR"/>
              </w:rPr>
              <w:t>myuros</w:t>
            </w:r>
            <w:proofErr w:type="spellEnd"/>
            <w:r w:rsidRPr="00C57244">
              <w:rPr>
                <w:rFonts w:ascii="Calibri" w:eastAsia="Times New Roman" w:hAnsi="Calibri" w:cs="Times New Roman"/>
                <w:color w:val="000000"/>
                <w:sz w:val="16"/>
                <w:lang w:val="en-US" w:eastAsia="fr-FR"/>
              </w:rPr>
              <w:t>(</w:t>
            </w:r>
            <w:proofErr w:type="gramEnd"/>
            <w:r w:rsidRPr="00C57244">
              <w:rPr>
                <w:rFonts w:ascii="Calibri" w:eastAsia="Times New Roman" w:hAnsi="Calibri" w:cs="Times New Roman"/>
                <w:color w:val="000000"/>
                <w:sz w:val="16"/>
                <w:lang w:val="en-US" w:eastAsia="fr-FR"/>
              </w:rPr>
              <w:t xml:space="preserve">L.) </w:t>
            </w:r>
            <w:proofErr w:type="spellStart"/>
            <w:r w:rsidRPr="00C57244">
              <w:rPr>
                <w:rFonts w:ascii="Calibri" w:eastAsia="Times New Roman" w:hAnsi="Calibri" w:cs="Times New Roman"/>
                <w:color w:val="000000"/>
                <w:sz w:val="16"/>
                <w:lang w:val="en-US" w:eastAsia="fr-FR"/>
              </w:rPr>
              <w:t>C.C.Gmel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VLPMY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proofErr w:type="spellStart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Therophyte</w:t>
            </w:r>
            <w:proofErr w:type="spellEnd"/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396A" w:rsidRPr="00DC36A8" w:rsidRDefault="00C2396A" w:rsidP="00C23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</w:pPr>
            <w:r w:rsidRPr="00DC36A8">
              <w:rPr>
                <w:rFonts w:ascii="Calibri" w:eastAsia="Times New Roman" w:hAnsi="Calibri" w:cs="Times New Roman"/>
                <w:color w:val="000000"/>
                <w:sz w:val="16"/>
                <w:lang w:val="en-GB" w:eastAsia="fr-FR"/>
              </w:rPr>
              <w:t>only in biomass survey</w:t>
            </w:r>
          </w:p>
        </w:tc>
      </w:tr>
    </w:tbl>
    <w:p w:rsidR="00FC4443" w:rsidRDefault="00FC4443" w:rsidP="00FC4443">
      <w:pPr>
        <w:jc w:val="both"/>
        <w:rPr>
          <w:rFonts w:ascii="Times New Roman" w:hAnsi="Times New Roman" w:cs="Times New Roman"/>
          <w:szCs w:val="24"/>
          <w:lang w:val="en-GB"/>
        </w:rPr>
      </w:pPr>
    </w:p>
    <w:p w:rsidR="00FC4443" w:rsidRPr="00ED471F" w:rsidRDefault="00FC4443" w:rsidP="00FC4443">
      <w:pPr>
        <w:jc w:val="both"/>
        <w:rPr>
          <w:rFonts w:ascii="Palatino Linotype" w:hAnsi="Palatino Linotype" w:cs="Times New Roman"/>
          <w:sz w:val="20"/>
          <w:szCs w:val="24"/>
          <w:lang w:val="en-GB"/>
        </w:rPr>
      </w:pP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† Monocotyledon (M) or </w:t>
      </w:r>
      <w:proofErr w:type="spellStart"/>
      <w:r w:rsidRPr="00ED471F">
        <w:rPr>
          <w:rFonts w:ascii="Palatino Linotype" w:hAnsi="Palatino Linotype" w:cs="Times New Roman"/>
          <w:sz w:val="20"/>
          <w:szCs w:val="24"/>
          <w:lang w:val="en-GB"/>
        </w:rPr>
        <w:t>Dicotyledon</w:t>
      </w:r>
      <w:proofErr w:type="spellEnd"/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(D)</w:t>
      </w:r>
    </w:p>
    <w:p w:rsidR="00FC4443" w:rsidRPr="00ED471F" w:rsidRDefault="00FC4443" w:rsidP="00FC4443">
      <w:pPr>
        <w:jc w:val="both"/>
        <w:rPr>
          <w:rFonts w:ascii="Palatino Linotype" w:hAnsi="Palatino Linotype" w:cs="Times New Roman"/>
          <w:sz w:val="20"/>
          <w:szCs w:val="24"/>
          <w:lang w:val="en-GB"/>
        </w:rPr>
      </w:pP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‡ </w:t>
      </w:r>
      <w:proofErr w:type="spellStart"/>
      <w:r w:rsidRPr="00ED471F">
        <w:rPr>
          <w:rFonts w:ascii="Palatino Linotype" w:hAnsi="Palatino Linotype" w:cs="Times New Roman"/>
          <w:sz w:val="20"/>
          <w:szCs w:val="24"/>
          <w:lang w:val="en-GB"/>
        </w:rPr>
        <w:t>Raunkiær</w:t>
      </w:r>
      <w:proofErr w:type="spellEnd"/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C (1934) The Life Forms of Plants and Statistical Plant Geography. (</w:t>
      </w:r>
      <w:proofErr w:type="gramStart"/>
      <w:r w:rsidRPr="00ED471F">
        <w:rPr>
          <w:rFonts w:ascii="Palatino Linotype" w:hAnsi="Palatino Linotype" w:cs="Times New Roman"/>
          <w:sz w:val="20"/>
          <w:szCs w:val="24"/>
          <w:lang w:val="en-GB"/>
        </w:rPr>
        <w:t>collected</w:t>
      </w:r>
      <w:proofErr w:type="gramEnd"/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translated papers of C. </w:t>
      </w:r>
      <w:proofErr w:type="spellStart"/>
      <w:r w:rsidRPr="00ED471F">
        <w:rPr>
          <w:rFonts w:ascii="Palatino Linotype" w:hAnsi="Palatino Linotype" w:cs="Times New Roman"/>
          <w:sz w:val="20"/>
          <w:szCs w:val="24"/>
          <w:lang w:val="en-GB"/>
        </w:rPr>
        <w:t>Raunkiaer</w:t>
      </w:r>
      <w:proofErr w:type="spellEnd"/>
      <w:r w:rsidRPr="00ED471F">
        <w:rPr>
          <w:rFonts w:ascii="Palatino Linotype" w:hAnsi="Palatino Linotype" w:cs="Times New Roman"/>
          <w:sz w:val="20"/>
          <w:szCs w:val="24"/>
          <w:lang w:val="en-GB"/>
        </w:rPr>
        <w:t>). London, UK: Oxford University Press. 632 p</w:t>
      </w:r>
    </w:p>
    <w:p w:rsidR="00FC4443" w:rsidRPr="00ED471F" w:rsidRDefault="00FC4443" w:rsidP="00FC4443">
      <w:pPr>
        <w:spacing w:line="240" w:lineRule="auto"/>
        <w:rPr>
          <w:rFonts w:ascii="Palatino Linotype" w:eastAsiaTheme="minorEastAsia" w:hAnsi="Palatino Linotype" w:cs="Times New Roman"/>
          <w:sz w:val="20"/>
          <w:szCs w:val="24"/>
          <w:lang w:val="en-GB"/>
        </w:rPr>
      </w:pPr>
      <w:r w:rsidRPr="00ED471F">
        <w:rPr>
          <w:rFonts w:ascii="Palatino Linotype" w:hAnsi="Palatino Linotype" w:cs="Times New Roman"/>
          <w:sz w:val="20"/>
          <w:szCs w:val="24"/>
          <w:vertAlign w:val="superscript"/>
          <w:lang w:val="en-GB"/>
        </w:rPr>
        <w:t xml:space="preserve">(1) </w:t>
      </w:r>
      <w:r w:rsidRPr="00ED471F">
        <w:rPr>
          <w:rFonts w:ascii="Palatino Linotype" w:hAnsi="Palatino Linotype" w:cs="Times New Roman"/>
          <w:sz w:val="20"/>
          <w:szCs w:val="24"/>
          <w:lang w:val="en-GB"/>
        </w:rPr>
        <w:t>The Potential of Infestation was calculated as the maximum density</w:t>
      </w:r>
      <w:r w:rsidRPr="00ED471F">
        <w:rPr>
          <w:rFonts w:ascii="Palatino Linotype" w:hAnsi="Palatino Linotype" w:cs="Times New Roman"/>
          <w:i/>
          <w:sz w:val="20"/>
          <w:szCs w:val="24"/>
          <w:lang w:val="en-GB"/>
        </w:rPr>
        <w:t xml:space="preserve"> d</w:t>
      </w: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over the two sampling dates of a given weed species </w:t>
      </w:r>
      <w:proofErr w:type="spellStart"/>
      <w:r w:rsidRPr="00ED471F">
        <w:rPr>
          <w:rFonts w:ascii="Palatino Linotype" w:hAnsi="Palatino Linotype" w:cs="Times New Roman"/>
          <w:i/>
          <w:sz w:val="20"/>
          <w:szCs w:val="24"/>
          <w:lang w:val="en-GB"/>
        </w:rPr>
        <w:t>i</w:t>
      </w:r>
      <w:proofErr w:type="spellEnd"/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observed in a given quadrat </w:t>
      </w:r>
      <w:r w:rsidRPr="00ED471F">
        <w:rPr>
          <w:rFonts w:ascii="Palatino Linotype" w:hAnsi="Palatino Linotype" w:cs="Times New Roman"/>
          <w:i/>
          <w:sz w:val="20"/>
          <w:szCs w:val="24"/>
          <w:lang w:val="en-GB"/>
        </w:rPr>
        <w:t>j</w:t>
      </w: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during one crop season (e.g. at maize 6-8 leaf and flowering stages), which was then averaged over the </w:t>
      </w:r>
      <w:r w:rsidRPr="00ED471F">
        <w:rPr>
          <w:rFonts w:ascii="Palatino Linotype" w:hAnsi="Palatino Linotype" w:cs="Times New Roman"/>
          <w:i/>
          <w:sz w:val="20"/>
          <w:szCs w:val="24"/>
          <w:lang w:val="en-GB"/>
        </w:rPr>
        <w:t>n</w:t>
      </w: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 quadrats of the plot </w:t>
      </w:r>
      <w:r w:rsidR="00962773" w:rsidRPr="00ED471F">
        <w:rPr>
          <w:rFonts w:ascii="Palatino Linotype" w:hAnsi="Palatino Linotype" w:cs="Times New Roman"/>
          <w:sz w:val="20"/>
          <w:szCs w:val="24"/>
          <w:lang w:val="en-GB"/>
        </w:rPr>
        <w:t>[</w:t>
      </w:r>
      <w:r w:rsidR="00FF4338">
        <w:rPr>
          <w:rFonts w:ascii="Palatino Linotype" w:hAnsi="Palatino Linotype" w:cs="Times New Roman"/>
          <w:sz w:val="20"/>
          <w:szCs w:val="24"/>
          <w:lang w:val="en-GB"/>
        </w:rPr>
        <w:t>45</w:t>
      </w:r>
      <w:r w:rsidR="00962773" w:rsidRPr="00ED471F">
        <w:rPr>
          <w:rFonts w:ascii="Palatino Linotype" w:hAnsi="Palatino Linotype" w:cs="Times New Roman"/>
          <w:sz w:val="20"/>
          <w:szCs w:val="24"/>
          <w:lang w:val="en-GB"/>
        </w:rPr>
        <w:t>]</w:t>
      </w:r>
      <w:r w:rsidRPr="00ED471F">
        <w:rPr>
          <w:rFonts w:ascii="Palatino Linotype" w:hAnsi="Palatino Linotype" w:cs="Times New Roman"/>
          <w:sz w:val="20"/>
          <w:szCs w:val="24"/>
          <w:lang w:val="en-GB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4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4"/>
                <w:lang w:val="en-GB"/>
              </w:rPr>
              <m:t>PI</m:t>
            </m:r>
          </m:e>
          <m:sub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i</m:t>
            </m:r>
          </m:sub>
        </m:sSub>
        <m:r>
          <w:rPr>
            <w:rFonts w:ascii="Cambria Math" w:hAnsi="Cambria Math" w:cs="Times New Roman"/>
            <w:sz w:val="20"/>
            <w:szCs w:val="24"/>
            <w:lang w:val="en-GB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0"/>
                <w:szCs w:val="24"/>
                <w:lang w:val="en-GB"/>
              </w:rPr>
            </m:ctrlPr>
          </m:naryPr>
          <m:sub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j=1</m:t>
            </m:r>
          </m:sub>
          <m:sup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n</m:t>
            </m:r>
          </m:sup>
          <m:e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4"/>
                <w:lang w:val="en-GB"/>
              </w:rPr>
              <m:t>max⁡</m:t>
            </m:r>
            <m:r>
              <w:rPr>
                <w:rFonts w:ascii="Cambria Math" w:hAnsi="Cambria Math" w:cs="Times New Roman"/>
                <w:sz w:val="20"/>
                <w:szCs w:val="24"/>
                <w:lang w:val="en-GB"/>
              </w:rPr>
              <m:t>(d1, d2)</m:t>
            </m:r>
          </m:e>
        </m:nary>
      </m:oMath>
    </w:p>
    <w:p w:rsidR="00624DA1" w:rsidRPr="00FC4443" w:rsidRDefault="00FF4338" w:rsidP="00962773">
      <w:pPr>
        <w:spacing w:after="0" w:line="240" w:lineRule="auto"/>
        <w:ind w:left="720" w:hanging="720"/>
        <w:jc w:val="both"/>
        <w:rPr>
          <w:lang w:val="en-GB"/>
        </w:rPr>
      </w:pPr>
      <w:bookmarkStart w:id="0" w:name="_ENREF_19"/>
      <w:r>
        <w:rPr>
          <w:rFonts w:ascii="Palatino Linotype" w:hAnsi="Palatino Linotype" w:cs="Times New Roman"/>
          <w:noProof/>
          <w:sz w:val="18"/>
          <w:szCs w:val="18"/>
          <w:lang w:val="en-GB"/>
        </w:rPr>
        <w:t>45</w:t>
      </w:r>
      <w:r w:rsidR="00962773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>.</w:t>
      </w:r>
      <w:r w:rsidR="00962773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ab/>
        <w:t>Cordeau, S.; Dessaint, F.; Munier-Jolain, N.M. Long-term assessment of integra</w:t>
      </w:r>
      <w:bookmarkStart w:id="1" w:name="_GoBack"/>
      <w:bookmarkEnd w:id="1"/>
      <w:r w:rsidR="00962773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 xml:space="preserve">ted weed management cropping systems in france. </w:t>
      </w:r>
      <w:r w:rsidR="00962773" w:rsidRPr="00D9571F">
        <w:rPr>
          <w:rFonts w:ascii="Palatino Linotype" w:hAnsi="Palatino Linotype" w:cs="Times New Roman"/>
          <w:i/>
          <w:noProof/>
          <w:sz w:val="18"/>
          <w:szCs w:val="18"/>
          <w:lang w:val="en-GB"/>
        </w:rPr>
        <w:t xml:space="preserve">Aspects of Applied Biology </w:t>
      </w:r>
      <w:r w:rsidR="00962773" w:rsidRPr="00D9571F">
        <w:rPr>
          <w:rFonts w:ascii="Palatino Linotype" w:hAnsi="Palatino Linotype" w:cs="Times New Roman"/>
          <w:b/>
          <w:noProof/>
          <w:sz w:val="18"/>
          <w:szCs w:val="18"/>
          <w:lang w:val="en-GB"/>
        </w:rPr>
        <w:t>2015</w:t>
      </w:r>
      <w:r w:rsidR="00962773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>, 275-278.</w:t>
      </w:r>
      <w:bookmarkEnd w:id="0"/>
    </w:p>
    <w:sectPr w:rsidR="00624DA1" w:rsidRPr="00FC4443" w:rsidSect="00624DA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8C"/>
    <w:rsid w:val="00312A63"/>
    <w:rsid w:val="003B48CE"/>
    <w:rsid w:val="003B4954"/>
    <w:rsid w:val="00446754"/>
    <w:rsid w:val="00624DA1"/>
    <w:rsid w:val="0071399D"/>
    <w:rsid w:val="00873A1A"/>
    <w:rsid w:val="008F4439"/>
    <w:rsid w:val="00962773"/>
    <w:rsid w:val="009F63F2"/>
    <w:rsid w:val="00AF738C"/>
    <w:rsid w:val="00C2396A"/>
    <w:rsid w:val="00ED471F"/>
    <w:rsid w:val="00EE6B13"/>
    <w:rsid w:val="00FC4443"/>
    <w:rsid w:val="00FF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C41AC-CC2C-4ADA-95D3-78F69742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444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2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2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769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8</cp:revision>
  <dcterms:created xsi:type="dcterms:W3CDTF">2017-04-27T06:47:00Z</dcterms:created>
  <dcterms:modified xsi:type="dcterms:W3CDTF">2017-08-23T08:27:00Z</dcterms:modified>
</cp:coreProperties>
</file>