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3427"/>
        <w:tblW w:w="0" w:type="auto"/>
        <w:tblLook w:val="04A0" w:firstRow="1" w:lastRow="0" w:firstColumn="1" w:lastColumn="0" w:noHBand="0" w:noVBand="1"/>
      </w:tblPr>
      <w:tblGrid>
        <w:gridCol w:w="1309"/>
        <w:gridCol w:w="3762"/>
        <w:gridCol w:w="2757"/>
        <w:gridCol w:w="1532"/>
      </w:tblGrid>
      <w:tr w:rsidR="00FB2F5C" w:rsidRPr="00535B17" w14:paraId="2CC8E8C6" w14:textId="77777777" w:rsidTr="00F76363"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51B21" w14:textId="77777777" w:rsidR="00FB2F5C" w:rsidRPr="00535B17" w:rsidRDefault="00FB2F5C" w:rsidP="00F76363">
            <w:pPr>
              <w:jc w:val="center"/>
              <w:rPr>
                <w:rFonts w:cs="Times New Roman"/>
                <w:b/>
                <w:szCs w:val="24"/>
              </w:rPr>
            </w:pPr>
            <w:r w:rsidRPr="00535B17">
              <w:rPr>
                <w:rFonts w:cs="Times New Roman"/>
                <w:b/>
                <w:szCs w:val="24"/>
              </w:rPr>
              <w:t>Treatment</w:t>
            </w:r>
          </w:p>
        </w:tc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1EB7E5" w14:textId="77777777" w:rsidR="00FB2F5C" w:rsidRPr="00535B17" w:rsidRDefault="00FB2F5C" w:rsidP="00F76363">
            <w:pPr>
              <w:jc w:val="center"/>
              <w:rPr>
                <w:rFonts w:cs="Times New Roman"/>
                <w:b/>
                <w:szCs w:val="24"/>
              </w:rPr>
            </w:pPr>
            <w:r w:rsidRPr="00535B17">
              <w:rPr>
                <w:rFonts w:cs="Times New Roman"/>
                <w:b/>
                <w:szCs w:val="24"/>
              </w:rPr>
              <w:t>Concentration of</w:t>
            </w:r>
          </w:p>
          <w:p w14:paraId="4181D682" w14:textId="77777777" w:rsidR="00FB2F5C" w:rsidRPr="00535B17" w:rsidRDefault="00FB2F5C" w:rsidP="00F76363">
            <w:pPr>
              <w:jc w:val="center"/>
              <w:rPr>
                <w:rFonts w:cs="Times New Roman"/>
                <w:b/>
                <w:i/>
                <w:szCs w:val="24"/>
              </w:rPr>
            </w:pPr>
            <w:proofErr w:type="spellStart"/>
            <w:r w:rsidRPr="00535B17">
              <w:rPr>
                <w:rFonts w:cs="Times New Roman"/>
                <w:b/>
                <w:i/>
                <w:szCs w:val="24"/>
              </w:rPr>
              <w:t>Ascophyllum</w:t>
            </w:r>
            <w:proofErr w:type="spellEnd"/>
            <w:r w:rsidRPr="00535B17">
              <w:rPr>
                <w:rFonts w:cs="Times New Roman"/>
                <w:b/>
                <w:i/>
                <w:szCs w:val="24"/>
              </w:rPr>
              <w:t xml:space="preserve"> nodosum</w:t>
            </w:r>
          </w:p>
          <w:p w14:paraId="2D0F1F0E" w14:textId="77777777" w:rsidR="00FB2F5C" w:rsidRPr="00535B17" w:rsidRDefault="00FB2F5C" w:rsidP="00F76363">
            <w:pPr>
              <w:jc w:val="center"/>
              <w:rPr>
                <w:rFonts w:cs="Times New Roman"/>
                <w:b/>
                <w:szCs w:val="24"/>
              </w:rPr>
            </w:pPr>
            <w:r w:rsidRPr="00535B17">
              <w:rPr>
                <w:rFonts w:cs="Times New Roman"/>
                <w:b/>
                <w:szCs w:val="24"/>
              </w:rPr>
              <w:t>(ANE) (%)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273028" w14:textId="77777777" w:rsidR="00FB2F5C" w:rsidRPr="00535B17" w:rsidRDefault="00FB2F5C" w:rsidP="00F76363">
            <w:pPr>
              <w:jc w:val="center"/>
              <w:rPr>
                <w:rFonts w:cs="Times New Roman"/>
                <w:b/>
                <w:szCs w:val="24"/>
              </w:rPr>
            </w:pPr>
            <w:r w:rsidRPr="00535B17">
              <w:rPr>
                <w:rFonts w:cs="Times New Roman"/>
                <w:b/>
                <w:szCs w:val="24"/>
              </w:rPr>
              <w:t>Concentration of</w:t>
            </w:r>
          </w:p>
          <w:p w14:paraId="526F40BA" w14:textId="77777777" w:rsidR="00FB2F5C" w:rsidRPr="00535B17" w:rsidRDefault="00FB2F5C" w:rsidP="00F76363">
            <w:pPr>
              <w:jc w:val="center"/>
              <w:rPr>
                <w:rFonts w:cs="Times New Roman"/>
                <w:b/>
                <w:szCs w:val="24"/>
              </w:rPr>
            </w:pPr>
            <w:proofErr w:type="spellStart"/>
            <w:r w:rsidRPr="00535B17">
              <w:rPr>
                <w:rFonts w:cs="Times New Roman"/>
                <w:b/>
                <w:szCs w:val="24"/>
              </w:rPr>
              <w:t>Humic</w:t>
            </w:r>
            <w:proofErr w:type="spellEnd"/>
            <w:r w:rsidRPr="00535B17">
              <w:rPr>
                <w:rFonts w:cs="Times New Roman"/>
                <w:b/>
                <w:szCs w:val="24"/>
              </w:rPr>
              <w:t xml:space="preserve"> Acid (HA)</w:t>
            </w:r>
          </w:p>
          <w:p w14:paraId="11130361" w14:textId="77777777" w:rsidR="00FB2F5C" w:rsidRPr="00535B17" w:rsidRDefault="00FB2F5C" w:rsidP="00F76363">
            <w:pPr>
              <w:jc w:val="center"/>
              <w:rPr>
                <w:rFonts w:cs="Times New Roman"/>
                <w:b/>
                <w:szCs w:val="24"/>
              </w:rPr>
            </w:pPr>
            <w:r w:rsidRPr="00535B17">
              <w:rPr>
                <w:rFonts w:cs="Times New Roman"/>
                <w:b/>
                <w:szCs w:val="24"/>
              </w:rPr>
              <w:t>(%)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75519E" w14:textId="77777777" w:rsidR="00FB2F5C" w:rsidRPr="00535B17" w:rsidRDefault="00FB2F5C" w:rsidP="00F76363">
            <w:pPr>
              <w:jc w:val="center"/>
              <w:rPr>
                <w:rFonts w:cs="Times New Roman"/>
                <w:b/>
                <w:szCs w:val="24"/>
              </w:rPr>
            </w:pPr>
            <w:r w:rsidRPr="00535B17">
              <w:rPr>
                <w:rFonts w:cs="Times New Roman"/>
                <w:b/>
                <w:szCs w:val="24"/>
              </w:rPr>
              <w:t>Other</w:t>
            </w:r>
          </w:p>
        </w:tc>
      </w:tr>
      <w:tr w:rsidR="00FB2F5C" w:rsidRPr="00535B17" w14:paraId="201AE0CB" w14:textId="77777777" w:rsidTr="00F76363">
        <w:trPr>
          <w:trHeight w:val="460"/>
        </w:trPr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6CD9F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  <w:vertAlign w:val="subscript"/>
              </w:rPr>
            </w:pPr>
            <w:r w:rsidRPr="00535B17">
              <w:rPr>
                <w:rFonts w:cs="Times New Roman"/>
                <w:szCs w:val="24"/>
              </w:rPr>
              <w:t>C</w:t>
            </w:r>
          </w:p>
        </w:tc>
        <w:tc>
          <w:tcPr>
            <w:tcW w:w="40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5B107F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  <w:r w:rsidRPr="00535B17">
              <w:rPr>
                <w:rFonts w:cs="Times New Roman"/>
                <w:szCs w:val="24"/>
              </w:rPr>
              <w:t>-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4B9C4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  <w:r w:rsidRPr="00535B17">
              <w:rPr>
                <w:rFonts w:cs="Times New Roman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A7880A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  <w:r w:rsidRPr="00535B17">
              <w:rPr>
                <w:rFonts w:cs="Times New Roman"/>
                <w:szCs w:val="24"/>
              </w:rPr>
              <w:t>Water (control)</w:t>
            </w:r>
          </w:p>
        </w:tc>
      </w:tr>
      <w:tr w:rsidR="00FB2F5C" w:rsidRPr="00535B17" w14:paraId="330E0449" w14:textId="77777777" w:rsidTr="00F76363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422E9AA5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  <w:vertAlign w:val="subscript"/>
              </w:rPr>
            </w:pPr>
            <w:r w:rsidRPr="00535B17">
              <w:rPr>
                <w:rFonts w:cs="Times New Roman"/>
                <w:szCs w:val="24"/>
              </w:rPr>
              <w:t>T</w:t>
            </w:r>
            <w:r w:rsidRPr="00535B17">
              <w:rPr>
                <w:rFonts w:cs="Times New Roman"/>
                <w:szCs w:val="24"/>
                <w:vertAlign w:val="subscript"/>
              </w:rPr>
              <w:t>1</w:t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 w14:paraId="10EF900C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  <w:r w:rsidRPr="00535B17">
              <w:rPr>
                <w:rFonts w:cs="Times New Roman"/>
                <w:szCs w:val="24"/>
              </w:rPr>
              <w:t>0.1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5175E99C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  <w:r w:rsidRPr="00535B17">
              <w:rPr>
                <w:rFonts w:cs="Times New Roman"/>
                <w:szCs w:val="24"/>
              </w:rPr>
              <w:t>-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38FE9ED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FB2F5C" w:rsidRPr="00535B17" w14:paraId="71CDA181" w14:textId="77777777" w:rsidTr="00F76363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3BC74088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  <w:r w:rsidRPr="00535B17">
              <w:rPr>
                <w:rFonts w:cs="Times New Roman"/>
                <w:szCs w:val="24"/>
              </w:rPr>
              <w:t>T</w:t>
            </w:r>
            <w:r>
              <w:rPr>
                <w:rFonts w:cs="Times New Roman"/>
                <w:szCs w:val="24"/>
                <w:vertAlign w:val="subscript"/>
              </w:rPr>
              <w:t>2</w:t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 w14:paraId="66037D57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  <w:r w:rsidRPr="00535B17">
              <w:rPr>
                <w:rFonts w:cs="Times New Roman"/>
                <w:szCs w:val="24"/>
              </w:rPr>
              <w:t>0.25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EEC6DF0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  <w:r w:rsidRPr="00535B17">
              <w:rPr>
                <w:rFonts w:cs="Times New Roman"/>
                <w:szCs w:val="24"/>
              </w:rPr>
              <w:t>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F426947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FB2F5C" w:rsidRPr="00535B17" w14:paraId="1BDB4B7B" w14:textId="77777777" w:rsidTr="00F76363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78B9D476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  <w:vertAlign w:val="subscript"/>
              </w:rPr>
            </w:pPr>
            <w:r w:rsidRPr="00535B17">
              <w:rPr>
                <w:rFonts w:cs="Times New Roman"/>
                <w:szCs w:val="24"/>
              </w:rPr>
              <w:t>T</w:t>
            </w:r>
            <w:r w:rsidRPr="00535B17">
              <w:rPr>
                <w:rFonts w:cs="Times New Roman"/>
                <w:szCs w:val="24"/>
                <w:vertAlign w:val="subscript"/>
              </w:rPr>
              <w:t>3</w:t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 w14:paraId="0C18A3CA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  <w:r w:rsidRPr="00535B17">
              <w:rPr>
                <w:rFonts w:cs="Times New Roman"/>
                <w:szCs w:val="24"/>
              </w:rPr>
              <w:t>-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85025AC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  <w:r w:rsidRPr="00535B17">
              <w:rPr>
                <w:rFonts w:cs="Times New Roman"/>
                <w:szCs w:val="24"/>
              </w:rPr>
              <w:t>0.2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5C1EE2F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FB2F5C" w:rsidRPr="00535B17" w14:paraId="30F520FD" w14:textId="77777777" w:rsidTr="00F76363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46EB6F52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  <w:vertAlign w:val="subscript"/>
              </w:rPr>
            </w:pPr>
            <w:r w:rsidRPr="00535B17">
              <w:rPr>
                <w:rFonts w:cs="Times New Roman"/>
                <w:szCs w:val="24"/>
              </w:rPr>
              <w:t>T</w:t>
            </w:r>
            <w:r w:rsidRPr="00535B17">
              <w:rPr>
                <w:rFonts w:cs="Times New Roman"/>
                <w:szCs w:val="24"/>
                <w:vertAlign w:val="subscript"/>
              </w:rPr>
              <w:t>4</w:t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 w14:paraId="511A7B20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  <w:r w:rsidRPr="00535B17">
              <w:rPr>
                <w:rFonts w:cs="Times New Roman"/>
                <w:szCs w:val="24"/>
              </w:rPr>
              <w:t>-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7FF24866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  <w:r w:rsidRPr="00535B17">
              <w:rPr>
                <w:rFonts w:cs="Times New Roman"/>
                <w:szCs w:val="24"/>
              </w:rPr>
              <w:t>0.4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CD05FBA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FB2F5C" w:rsidRPr="00535B17" w14:paraId="7EEC5673" w14:textId="77777777" w:rsidTr="00F76363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46FF4926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  <w:vertAlign w:val="subscript"/>
              </w:rPr>
            </w:pPr>
            <w:r w:rsidRPr="00535B17">
              <w:rPr>
                <w:rFonts w:cs="Times New Roman"/>
                <w:szCs w:val="24"/>
              </w:rPr>
              <w:t>T</w:t>
            </w:r>
            <w:r w:rsidRPr="00535B17">
              <w:rPr>
                <w:rFonts w:cs="Times New Roman"/>
                <w:szCs w:val="24"/>
                <w:vertAlign w:val="subscript"/>
              </w:rPr>
              <w:t>5</w:t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 w14:paraId="4AA61C55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  <w:r w:rsidRPr="00535B17">
              <w:rPr>
                <w:rFonts w:cs="Times New Roman"/>
                <w:szCs w:val="24"/>
              </w:rPr>
              <w:t>0.1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6199C770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  <w:r w:rsidRPr="00535B17">
              <w:rPr>
                <w:rFonts w:cs="Times New Roman"/>
                <w:szCs w:val="24"/>
              </w:rPr>
              <w:t>0.2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384F65E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FB2F5C" w:rsidRPr="00535B17" w14:paraId="1ECBCCDC" w14:textId="77777777" w:rsidTr="00F76363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4BBD85F8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  <w:vertAlign w:val="subscript"/>
              </w:rPr>
            </w:pPr>
            <w:r w:rsidRPr="00535B17">
              <w:rPr>
                <w:rFonts w:cs="Times New Roman"/>
                <w:szCs w:val="24"/>
              </w:rPr>
              <w:t>T</w:t>
            </w:r>
            <w:r w:rsidRPr="00535B17">
              <w:rPr>
                <w:rFonts w:cs="Times New Roman"/>
                <w:szCs w:val="24"/>
                <w:vertAlign w:val="subscript"/>
              </w:rPr>
              <w:t>6</w:t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 w14:paraId="40C94F3D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  <w:r w:rsidRPr="00535B17">
              <w:rPr>
                <w:rFonts w:cs="Times New Roman"/>
                <w:szCs w:val="24"/>
              </w:rPr>
              <w:t>0.1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05F1B054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  <w:r w:rsidRPr="00535B17">
              <w:rPr>
                <w:rFonts w:cs="Times New Roman"/>
                <w:szCs w:val="24"/>
              </w:rPr>
              <w:t>0.4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4063FD6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FB2F5C" w:rsidRPr="00535B17" w14:paraId="48D59E19" w14:textId="77777777" w:rsidTr="00F76363"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14:paraId="0B7EDEC7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  <w:r w:rsidRPr="00535B17">
              <w:rPr>
                <w:rFonts w:cs="Times New Roman"/>
                <w:szCs w:val="24"/>
              </w:rPr>
              <w:t>T</w:t>
            </w:r>
            <w:r>
              <w:rPr>
                <w:rFonts w:cs="Times New Roman"/>
                <w:szCs w:val="24"/>
                <w:vertAlign w:val="subscript"/>
              </w:rPr>
              <w:t>7</w:t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 w14:paraId="1D353D61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  <w:r w:rsidRPr="00535B17">
              <w:rPr>
                <w:rFonts w:cs="Times New Roman"/>
                <w:szCs w:val="24"/>
              </w:rPr>
              <w:t>0.25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1E8077D9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  <w:r w:rsidRPr="00535B17">
              <w:rPr>
                <w:rFonts w:cs="Times New Roman"/>
                <w:szCs w:val="24"/>
              </w:rPr>
              <w:t>0.</w:t>
            </w: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1828FDB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FB2F5C" w:rsidRPr="00535B17" w14:paraId="192D75E3" w14:textId="77777777" w:rsidTr="00F76363"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1F013E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  <w:r w:rsidRPr="00535B17">
              <w:rPr>
                <w:rFonts w:cs="Times New Roman"/>
                <w:szCs w:val="24"/>
              </w:rPr>
              <w:t>T</w:t>
            </w:r>
            <w:r>
              <w:rPr>
                <w:rFonts w:cs="Times New Roman"/>
                <w:szCs w:val="24"/>
                <w:vertAlign w:val="subscript"/>
              </w:rPr>
              <w:t>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7F9166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  <w:r w:rsidRPr="00535B17">
              <w:rPr>
                <w:rFonts w:cs="Times New Roman"/>
                <w:szCs w:val="24"/>
              </w:rPr>
              <w:t>0.25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F9C2C7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  <w:r w:rsidRPr="00535B17">
              <w:rPr>
                <w:rFonts w:cs="Times New Roman"/>
                <w:szCs w:val="24"/>
              </w:rPr>
              <w:t>0.2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B24C7E" w14:textId="77777777" w:rsidR="00FB2F5C" w:rsidRPr="00535B17" w:rsidRDefault="00FB2F5C" w:rsidP="00F76363">
            <w:pPr>
              <w:jc w:val="center"/>
              <w:rPr>
                <w:rFonts w:cs="Times New Roman"/>
                <w:szCs w:val="24"/>
              </w:rPr>
            </w:pPr>
          </w:p>
        </w:tc>
      </w:tr>
    </w:tbl>
    <w:p w14:paraId="00103F8A" w14:textId="77777777" w:rsidR="00FB2F5C" w:rsidRDefault="00FB2F5C" w:rsidP="00FB2F5C">
      <w:pPr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t>Supplementary Table:</w:t>
      </w:r>
    </w:p>
    <w:p w14:paraId="0A623BD8" w14:textId="77777777" w:rsidR="00FB2F5C" w:rsidRDefault="00FB2F5C" w:rsidP="00FB2F5C">
      <w:pPr>
        <w:spacing w:line="360" w:lineRule="auto"/>
        <w:jc w:val="both"/>
        <w:rPr>
          <w:szCs w:val="24"/>
        </w:rPr>
      </w:pPr>
      <w:r>
        <w:rPr>
          <w:b/>
          <w:szCs w:val="24"/>
        </w:rPr>
        <w:t>Table S1.</w:t>
      </w:r>
      <w:r w:rsidRPr="006500BD">
        <w:rPr>
          <w:szCs w:val="24"/>
        </w:rPr>
        <w:t xml:space="preserve"> Different concentrations of ANE and HA alone, or in combination were evaluated for their efficacy in improving early growth of lettuce and spinach.</w:t>
      </w:r>
      <w:bookmarkStart w:id="0" w:name="_GoBack"/>
      <w:bookmarkEnd w:id="0"/>
    </w:p>
    <w:p w14:paraId="0C9CE147" w14:textId="77777777" w:rsidR="007A00CB" w:rsidRDefault="007A00CB"/>
    <w:sectPr w:rsidR="007A00C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CB"/>
    <w:rsid w:val="007A00CB"/>
    <w:rsid w:val="00FB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EEC8E9-65DD-4894-A351-057FC697E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F5C"/>
    <w:pPr>
      <w:spacing w:before="120" w:after="240" w:line="240" w:lineRule="auto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2F5C"/>
    <w:pPr>
      <w:spacing w:after="0" w:line="240" w:lineRule="auto"/>
    </w:pPr>
    <w:rPr>
      <w:rFonts w:asciiTheme="majorHAnsi" w:hAnsiTheme="majorHAns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Pushp Sheel Shukla</dc:creator>
  <cp:keywords/>
  <dc:description/>
  <cp:lastModifiedBy>Pushp Sheel Shukla</cp:lastModifiedBy>
  <cp:revision>2</cp:revision>
  <dcterms:created xsi:type="dcterms:W3CDTF">2019-08-22T20:04:00Z</dcterms:created>
  <dcterms:modified xsi:type="dcterms:W3CDTF">2019-08-22T20:04:00Z</dcterms:modified>
</cp:coreProperties>
</file>