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CE114C" w14:textId="39550C78" w:rsidR="000042BF" w:rsidRPr="00F02F55" w:rsidRDefault="000042BF" w:rsidP="000042BF">
      <w:pPr>
        <w:pStyle w:val="MDPI21heading1"/>
      </w:pPr>
      <w:r w:rsidRPr="00F02F55">
        <w:t>Supplementary Materials:</w:t>
      </w:r>
    </w:p>
    <w:p w14:paraId="2D7A7337" w14:textId="77777777" w:rsidR="000042BF" w:rsidRPr="00E13591" w:rsidRDefault="000042BF" w:rsidP="00D86929">
      <w:pPr>
        <w:pStyle w:val="MDPI52figure"/>
      </w:pPr>
      <w:r w:rsidRPr="00E13591">
        <w:rPr>
          <w:noProof/>
          <w:lang w:eastAsia="en-US"/>
        </w:rPr>
        <w:drawing>
          <wp:inline distT="0" distB="0" distL="0" distR="0" wp14:anchorId="09EC13F3" wp14:editId="799A74CA">
            <wp:extent cx="4009768" cy="3046317"/>
            <wp:effectExtent l="0" t="0" r="0" b="190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5364" cy="3058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A2E051" w14:textId="2C8D0BC6" w:rsidR="000042BF" w:rsidRPr="00E13591" w:rsidRDefault="00D86929" w:rsidP="00D86929">
      <w:pPr>
        <w:pStyle w:val="MDPI51figurecaption"/>
      </w:pPr>
      <w:r w:rsidRPr="00D86929">
        <w:rPr>
          <w:b/>
          <w:bCs/>
        </w:rPr>
        <w:t xml:space="preserve">Figure </w:t>
      </w:r>
      <w:r>
        <w:rPr>
          <w:b/>
          <w:bCs/>
        </w:rPr>
        <w:t>S</w:t>
      </w:r>
      <w:r w:rsidRPr="00D86929">
        <w:rPr>
          <w:b/>
          <w:bCs/>
        </w:rPr>
        <w:t>1.</w:t>
      </w:r>
      <w:r w:rsidR="000042BF" w:rsidRPr="00D86929">
        <w:rPr>
          <w:b/>
        </w:rPr>
        <w:t xml:space="preserve"> </w:t>
      </w:r>
      <w:r w:rsidR="000042BF" w:rsidRPr="00E13591">
        <w:t>Scatterplot is the top 20 high-water level events showing the storm surge and its corresponding “high-end uncertainty” 24 hours before the event (from an ensemble forecast) in the past 4 years. The red line is the “forecast uncertainty” regression model with the 95% prediction interval (black dash line).</w:t>
      </w:r>
    </w:p>
    <w:p w14:paraId="7C846D5F" w14:textId="77777777" w:rsidR="000042BF" w:rsidRPr="00E13591" w:rsidRDefault="000042BF" w:rsidP="00D86929">
      <w:pPr>
        <w:pStyle w:val="MDPI52figure"/>
      </w:pPr>
      <w:r w:rsidRPr="00E13591">
        <w:rPr>
          <w:noProof/>
        </w:rPr>
        <w:drawing>
          <wp:inline distT="0" distB="0" distL="0" distR="0" wp14:anchorId="06556170" wp14:editId="0F3B0AE5">
            <wp:extent cx="4392827" cy="3337336"/>
            <wp:effectExtent l="0" t="0" r="825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824" cy="3344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64CF91" w14:textId="392B4E0F" w:rsidR="000042BF" w:rsidRPr="00E13591" w:rsidRDefault="00D86929" w:rsidP="00D86929">
      <w:pPr>
        <w:pStyle w:val="MDPI51figurecaption"/>
      </w:pPr>
      <w:r w:rsidRPr="00D86929">
        <w:rPr>
          <w:b/>
          <w:bCs/>
        </w:rPr>
        <w:t xml:space="preserve">Figure </w:t>
      </w:r>
      <w:r>
        <w:rPr>
          <w:b/>
          <w:bCs/>
        </w:rPr>
        <w:t>S</w:t>
      </w:r>
      <w:r w:rsidRPr="00D86929">
        <w:rPr>
          <w:b/>
          <w:bCs/>
        </w:rPr>
        <w:t>2.</w:t>
      </w:r>
      <w:r w:rsidR="000042BF" w:rsidRPr="00D86929">
        <w:rPr>
          <w:b/>
        </w:rPr>
        <w:t xml:space="preserve"> </w:t>
      </w:r>
      <w:r w:rsidR="000042BF" w:rsidRPr="00E13591">
        <w:t>Water level trigger future evolution by allowing constant AEP (0.5 year</w:t>
      </w:r>
      <w:r w:rsidR="000042BF" w:rsidRPr="00E13591">
        <w:rPr>
          <w:vertAlign w:val="superscript"/>
        </w:rPr>
        <w:t>-1</w:t>
      </w:r>
      <w:r w:rsidR="000042BF" w:rsidRPr="00E13591">
        <w:t>) based on RCP 4.5 (black) and RCP 8.5 (blue) future greenhouse gas emissions trajectories and the USACE intermediate SLR projection (</w:t>
      </w:r>
      <w:r w:rsidR="000042BF" w:rsidRPr="00E13591">
        <w:rPr>
          <w:rFonts w:hint="eastAsia"/>
        </w:rPr>
        <w:t>red</w:t>
      </w:r>
      <w:r w:rsidR="000042BF" w:rsidRPr="00E13591">
        <w:t>); these results are using observed data only (no forecast uncertainty has been incorporated), in contrast to Figure 7.</w:t>
      </w:r>
    </w:p>
    <w:p w14:paraId="597BE9D5" w14:textId="77777777" w:rsidR="000042BF" w:rsidRPr="00E13591" w:rsidRDefault="000042BF" w:rsidP="00D86929">
      <w:pPr>
        <w:pStyle w:val="MDPI52figure"/>
      </w:pPr>
      <w:r w:rsidRPr="00E13591">
        <w:rPr>
          <w:noProof/>
        </w:rPr>
        <w:lastRenderedPageBreak/>
        <w:drawing>
          <wp:inline distT="0" distB="0" distL="0" distR="0" wp14:anchorId="35C332D6" wp14:editId="7AFDE3A2">
            <wp:extent cx="4831492" cy="3670601"/>
            <wp:effectExtent l="0" t="0" r="762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6002" cy="3674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C66979" w14:textId="0AB05A81" w:rsidR="000042BF" w:rsidRDefault="00D86929" w:rsidP="00D86929">
      <w:pPr>
        <w:pStyle w:val="MDPI51figurecaption"/>
      </w:pPr>
      <w:r w:rsidRPr="00D86929">
        <w:rPr>
          <w:b/>
          <w:bCs/>
        </w:rPr>
        <w:t xml:space="preserve">Figure </w:t>
      </w:r>
      <w:r>
        <w:rPr>
          <w:b/>
          <w:bCs/>
        </w:rPr>
        <w:t>S</w:t>
      </w:r>
      <w:r w:rsidRPr="00D86929">
        <w:rPr>
          <w:b/>
          <w:bCs/>
        </w:rPr>
        <w:t>3.</w:t>
      </w:r>
      <w:r w:rsidR="000042BF" w:rsidRPr="00D86929">
        <w:rPr>
          <w:b/>
        </w:rPr>
        <w:t xml:space="preserve"> </w:t>
      </w:r>
      <w:r w:rsidR="000042BF" w:rsidRPr="00E13591">
        <w:t>Gate closure frequency analysis results based on constant 2.13 m flood trigger and RCP 4.5 future greenhouse gas emissions trajectory; Black dashed line is the 90</w:t>
      </w:r>
      <w:r w:rsidR="000042BF" w:rsidRPr="00E13591">
        <w:rPr>
          <w:vertAlign w:val="superscript"/>
        </w:rPr>
        <w:t>th</w:t>
      </w:r>
      <w:r w:rsidR="000042BF" w:rsidRPr="00E13591">
        <w:t xml:space="preserve"> percentile single-year closure frequency. Dashed line is as Figure 4.</w:t>
      </w:r>
    </w:p>
    <w:p w14:paraId="127B19CF" w14:textId="0FEB8F77" w:rsidR="006A68E3" w:rsidRPr="00E13591" w:rsidRDefault="006A68E3" w:rsidP="00D86929">
      <w:pPr>
        <w:pStyle w:val="MDPI52figure"/>
      </w:pPr>
      <w:commentRangeStart w:id="0"/>
      <w:r w:rsidRPr="00255565">
        <w:rPr>
          <w:noProof/>
          <w:highlight w:val="yellow"/>
          <w:lang w:eastAsia="en-US"/>
        </w:rPr>
        <w:drawing>
          <wp:inline distT="0" distB="0" distL="0" distR="0" wp14:anchorId="5AEB8BAA" wp14:editId="08C919E9">
            <wp:extent cx="5128054" cy="3712679"/>
            <wp:effectExtent l="0" t="0" r="0" b="254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32556" cy="3715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commentRangeEnd w:id="0"/>
      <w:r w:rsidR="00255565">
        <w:rPr>
          <w:rStyle w:val="CommentReference"/>
          <w:rFonts w:eastAsiaTheme="minorEastAsia"/>
          <w:noProof/>
          <w:snapToGrid/>
          <w:lang w:eastAsia="zh-CN" w:bidi="ar-SA"/>
        </w:rPr>
        <w:commentReference w:id="0"/>
      </w:r>
    </w:p>
    <w:p w14:paraId="6D3603AB" w14:textId="03857DCA" w:rsidR="000042BF" w:rsidRPr="00E13591" w:rsidRDefault="00D86929" w:rsidP="00D86929">
      <w:pPr>
        <w:pStyle w:val="MDPI51figurecaption"/>
      </w:pPr>
      <w:r w:rsidRPr="00D86929">
        <w:rPr>
          <w:b/>
        </w:rPr>
        <w:t xml:space="preserve">Figure </w:t>
      </w:r>
      <w:r>
        <w:rPr>
          <w:b/>
        </w:rPr>
        <w:t>S</w:t>
      </w:r>
      <w:r w:rsidRPr="00D86929">
        <w:rPr>
          <w:b/>
        </w:rPr>
        <w:t>4.</w:t>
      </w:r>
      <w:r w:rsidR="000042BF" w:rsidRPr="00D86929">
        <w:rPr>
          <w:b/>
        </w:rPr>
        <w:t xml:space="preserve"> </w:t>
      </w:r>
      <w:r w:rsidR="000042BF" w:rsidRPr="00142F09">
        <w:t>The study area with the USGS gauge locations (Purple dots), the three barriers’ closure system (red dots) and the Battery tide gauge location (Green square).</w:t>
      </w:r>
    </w:p>
    <w:p w14:paraId="4C379D06" w14:textId="77777777" w:rsidR="000042BF" w:rsidRPr="00E13591" w:rsidRDefault="000042BF" w:rsidP="00D86929">
      <w:pPr>
        <w:pStyle w:val="MDPI52figure"/>
      </w:pPr>
      <w:r w:rsidRPr="00E13591">
        <w:rPr>
          <w:noProof/>
        </w:rPr>
        <w:lastRenderedPageBreak/>
        <w:drawing>
          <wp:inline distT="0" distB="0" distL="0" distR="0" wp14:anchorId="14BD648C" wp14:editId="2621CA03">
            <wp:extent cx="4584357" cy="3480783"/>
            <wp:effectExtent l="0" t="0" r="6985" b="5715"/>
            <wp:docPr id="12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488" cy="348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8FCA39" w14:textId="504E479C" w:rsidR="000042BF" w:rsidRPr="00E13591" w:rsidRDefault="00D86929" w:rsidP="00D86929">
      <w:pPr>
        <w:pStyle w:val="MDPI51figurecaption"/>
      </w:pPr>
      <w:r w:rsidRPr="00D86929">
        <w:rPr>
          <w:b/>
          <w:bCs/>
        </w:rPr>
        <w:t xml:space="preserve">Figure </w:t>
      </w:r>
      <w:r>
        <w:rPr>
          <w:b/>
          <w:bCs/>
        </w:rPr>
        <w:t>S</w:t>
      </w:r>
      <w:r w:rsidRPr="00D86929">
        <w:rPr>
          <w:b/>
          <w:bCs/>
        </w:rPr>
        <w:t>5.</w:t>
      </w:r>
      <w:r w:rsidR="000042BF" w:rsidRPr="00D86929">
        <w:rPr>
          <w:b/>
        </w:rPr>
        <w:t xml:space="preserve"> </w:t>
      </w:r>
      <w:r w:rsidR="000042BF" w:rsidRPr="00E13591">
        <w:rPr>
          <w:rFonts w:hint="eastAsia"/>
        </w:rPr>
        <w:t>The</w:t>
      </w:r>
      <w:r w:rsidR="000042BF" w:rsidRPr="00E13591">
        <w:t xml:space="preserve"> relationship between water elevation rise at Battery and total accumulated water volume. Different colors are corresponding to different historical flood events with multiple points for different time of the event; the points recorded the modeled water rise at Battery and the corresponding total freshwater input; the dash lines are the linear fit of each flood event; the black solid line is the final relationship fitted by using all the points .</w:t>
      </w:r>
    </w:p>
    <w:p w14:paraId="034D946C" w14:textId="77777777" w:rsidR="000042BF" w:rsidRPr="00E13591" w:rsidRDefault="000042BF" w:rsidP="00D86929">
      <w:pPr>
        <w:pStyle w:val="MDPI52figure"/>
      </w:pPr>
      <w:r w:rsidRPr="00E13591">
        <w:rPr>
          <w:noProof/>
        </w:rPr>
        <w:drawing>
          <wp:inline distT="0" distB="0" distL="0" distR="0" wp14:anchorId="2CCB7943" wp14:editId="04E6C4A4">
            <wp:extent cx="4905633" cy="3726928"/>
            <wp:effectExtent l="0" t="0" r="9525" b="698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815" cy="373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FE2C5F" w14:textId="5ADE4194" w:rsidR="00055DDB" w:rsidRPr="00E06592" w:rsidRDefault="00D86929" w:rsidP="00D86929">
      <w:pPr>
        <w:pStyle w:val="MDPI51figurecaption"/>
      </w:pPr>
      <w:r w:rsidRPr="00D86929">
        <w:rPr>
          <w:b/>
          <w:bCs/>
        </w:rPr>
        <w:t xml:space="preserve">Figure </w:t>
      </w:r>
      <w:r>
        <w:rPr>
          <w:b/>
          <w:bCs/>
        </w:rPr>
        <w:t>S</w:t>
      </w:r>
      <w:r w:rsidRPr="00D86929">
        <w:rPr>
          <w:b/>
          <w:bCs/>
        </w:rPr>
        <w:t>6.</w:t>
      </w:r>
      <w:r w:rsidR="000042BF" w:rsidRPr="00D86929">
        <w:rPr>
          <w:b/>
        </w:rPr>
        <w:t xml:space="preserve"> </w:t>
      </w:r>
      <w:r w:rsidR="000042BF" w:rsidRPr="00E13591">
        <w:t>Trapped river flooding analysis results based on constant 2.13 m flood trigger assuming gates close/open at low tide, in contrast to Figure 9.</w:t>
      </w:r>
    </w:p>
    <w:sectPr w:rsidR="00055DDB" w:rsidRPr="00E06592" w:rsidSect="00E131E4">
      <w:headerReference w:type="even" r:id="rId18"/>
      <w:headerReference w:type="default" r:id="rId19"/>
      <w:footerReference w:type="default" r:id="rId20"/>
      <w:footerReference w:type="first" r:id="rId21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comment w:id="0" w:author="MDPI-13" w:date="2020-09-10T13:28:00Z" w:initials="M">
    <w:p w14:paraId="4DAE463E" w14:textId="1EDDF5FE" w:rsidR="00255565" w:rsidRDefault="00255565">
      <w:pPr>
        <w:pStyle w:val="CommentText"/>
      </w:pPr>
      <w:r>
        <w:rPr>
          <w:rStyle w:val="CommentReference"/>
        </w:rPr>
        <w:annotationRef/>
      </w:r>
      <w:r>
        <w:t>To avoid any changes to the figure, we have replaced it with a screenshot. Please confirm.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4DAE463E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304A88D" w16cex:dateUtc="2020-09-10T11:2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4DAE463E" w16cid:durableId="2304A88D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53BB01" w14:textId="77777777" w:rsidR="00355193" w:rsidRDefault="00355193" w:rsidP="00C1340D">
      <w:r>
        <w:separator/>
      </w:r>
    </w:p>
  </w:endnote>
  <w:endnote w:type="continuationSeparator" w:id="0">
    <w:p w14:paraId="6B44E17B" w14:textId="77777777" w:rsidR="00355193" w:rsidRDefault="00355193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1BA29B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601841894"/>
      <w:docPartObj>
        <w:docPartGallery w:val="Page Numbers (Bottom of Page)"/>
        <w:docPartUnique/>
      </w:docPartObj>
    </w:sdtPr>
    <w:sdtEndPr/>
    <w:sdtContent>
      <w:p w14:paraId="25419E35" w14:textId="77777777" w:rsidR="00E27016" w:rsidRDefault="00355193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615F1DE9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62C9B8E" w14:textId="77777777" w:rsidR="00355193" w:rsidRDefault="00355193" w:rsidP="00C1340D">
      <w:r>
        <w:separator/>
      </w:r>
    </w:p>
  </w:footnote>
  <w:footnote w:type="continuationSeparator" w:id="0">
    <w:p w14:paraId="342893E8" w14:textId="77777777" w:rsidR="00355193" w:rsidRDefault="00355193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B95335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7560CF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6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5"/>
  </w:num>
  <w:num w:numId="2">
    <w:abstractNumId w:val="6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IdMacAtCleanup w:val="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MDPI-13">
    <w15:presenceInfo w15:providerId="AD" w15:userId="S::mdpi13@mdpibelgrade.onmicrosoft.com::7df23c38-9075-41b8-b6d7-a84bb1eed25f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9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852EB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2BF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0E68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182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74D"/>
    <w:rsid w:val="000908F8"/>
    <w:rsid w:val="00090923"/>
    <w:rsid w:val="00090ABD"/>
    <w:rsid w:val="00090B76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34BB"/>
    <w:rsid w:val="000B35D3"/>
    <w:rsid w:val="000B3761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08E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B1D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A46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D7F9E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133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98F"/>
    <w:rsid w:val="00247BF8"/>
    <w:rsid w:val="00247C62"/>
    <w:rsid w:val="0025014E"/>
    <w:rsid w:val="0025021B"/>
    <w:rsid w:val="00250220"/>
    <w:rsid w:val="00250261"/>
    <w:rsid w:val="00250360"/>
    <w:rsid w:val="002508D0"/>
    <w:rsid w:val="00250B94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565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6ED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3E7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193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4EA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74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11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4C0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77E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ADF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A3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CDE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94"/>
    <w:rsid w:val="00666D9E"/>
    <w:rsid w:val="00666DC4"/>
    <w:rsid w:val="00666E2F"/>
    <w:rsid w:val="00666E6D"/>
    <w:rsid w:val="006673BA"/>
    <w:rsid w:val="006673C6"/>
    <w:rsid w:val="006673EB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8E3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125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971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5E72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BAA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57B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7C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96C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008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16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9C0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2EB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015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5A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997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B9A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1E"/>
    <w:rsid w:val="00D67068"/>
    <w:rsid w:val="00D67E1B"/>
    <w:rsid w:val="00D67F02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6929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BB0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3F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A8C"/>
    <w:rsid w:val="00E60C88"/>
    <w:rsid w:val="00E60D96"/>
    <w:rsid w:val="00E61061"/>
    <w:rsid w:val="00E612FC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231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004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8E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15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4B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F4ACD4"/>
  <w15:chartTrackingRefBased/>
  <w15:docId w15:val="{58E03EEE-68D3-4DE9-A2D8-A094A0506B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42BF"/>
    <w:pPr>
      <w:spacing w:line="340" w:lineRule="atLeast"/>
    </w:pPr>
    <w:rPr>
      <w:rFonts w:ascii="Times New Roman" w:eastAsia="Times New Roman" w:hAnsi="Times New Roman"/>
      <w:sz w:val="24"/>
      <w:lang w:eastAsia="de-DE"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 w:line="260" w:lineRule="atLeast"/>
      <w:outlineLvl w:val="0"/>
    </w:pPr>
    <w:rPr>
      <w:rFonts w:ascii="Arial" w:eastAsiaTheme="minorEastAsia" w:hAnsi="Arial"/>
      <w:b/>
      <w:noProof/>
      <w:sz w:val="20"/>
      <w:u w:val="single"/>
      <w:lang w:eastAsia="zh-CN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 w:line="260" w:lineRule="atLeast"/>
      <w:outlineLvl w:val="1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3">
    <w:name w:val="heading 3"/>
    <w:basedOn w:val="Normal"/>
    <w:next w:val="Normal"/>
    <w:link w:val="Heading3Char"/>
    <w:qFormat/>
    <w:rsid w:val="007C0926"/>
    <w:pPr>
      <w:spacing w:line="260" w:lineRule="atLeast"/>
      <w:ind w:left="360"/>
      <w:outlineLvl w:val="2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eastAsiaTheme="minorEastAsia" w:hAnsi="Arial" w:cstheme="majorBidi"/>
      <w:b/>
      <w:noProof/>
      <w:sz w:val="20"/>
      <w:lang w:eastAsia="zh-CN"/>
    </w:rPr>
  </w:style>
  <w:style w:type="paragraph" w:styleId="Heading5">
    <w:name w:val="heading 5"/>
    <w:basedOn w:val="Normal"/>
    <w:next w:val="Normal"/>
    <w:link w:val="Heading5Char"/>
    <w:qFormat/>
    <w:rsid w:val="007C0926"/>
    <w:pPr>
      <w:spacing w:line="260" w:lineRule="atLeast"/>
      <w:ind w:left="706"/>
      <w:outlineLvl w:val="4"/>
    </w:pPr>
    <w:rPr>
      <w:rFonts w:ascii="Palatino Linotype" w:eastAsiaTheme="minorEastAsia" w:hAnsi="Palatino Linotype"/>
      <w:b/>
      <w:noProof/>
      <w:sz w:val="20"/>
      <w:lang w:eastAsia="zh-CN"/>
    </w:rPr>
  </w:style>
  <w:style w:type="paragraph" w:styleId="Heading6">
    <w:name w:val="heading 6"/>
    <w:basedOn w:val="Normal"/>
    <w:next w:val="Normal"/>
    <w:link w:val="Heading6Char"/>
    <w:qFormat/>
    <w:rsid w:val="007C0926"/>
    <w:pPr>
      <w:spacing w:line="260" w:lineRule="atLeast"/>
      <w:ind w:left="706"/>
      <w:outlineLvl w:val="5"/>
    </w:pPr>
    <w:rPr>
      <w:rFonts w:ascii="Palatino Linotype" w:eastAsiaTheme="minorEastAsia" w:hAnsi="Palatino Linotype" w:cstheme="majorBidi"/>
      <w:noProof/>
      <w:sz w:val="20"/>
      <w:u w:val="single"/>
      <w:lang w:eastAsia="zh-CN"/>
    </w:rPr>
  </w:style>
  <w:style w:type="paragraph" w:styleId="Heading7">
    <w:name w:val="heading 7"/>
    <w:basedOn w:val="Normal"/>
    <w:next w:val="Normal"/>
    <w:link w:val="Heading7Char"/>
    <w:qFormat/>
    <w:rsid w:val="007C0926"/>
    <w:pPr>
      <w:spacing w:line="260" w:lineRule="atLeast"/>
      <w:ind w:left="706"/>
      <w:outlineLvl w:val="6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styleId="Heading8">
    <w:name w:val="heading 8"/>
    <w:basedOn w:val="Normal"/>
    <w:next w:val="Normal"/>
    <w:link w:val="Heading8Char"/>
    <w:qFormat/>
    <w:rsid w:val="007C0926"/>
    <w:pPr>
      <w:spacing w:line="260" w:lineRule="atLeast"/>
      <w:ind w:left="706"/>
      <w:outlineLvl w:val="7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paragraph" w:styleId="Heading9">
    <w:name w:val="heading 9"/>
    <w:basedOn w:val="Normal"/>
    <w:next w:val="Normal"/>
    <w:link w:val="Heading9Char"/>
    <w:qFormat/>
    <w:rsid w:val="007C0926"/>
    <w:pPr>
      <w:spacing w:line="260" w:lineRule="atLeast"/>
      <w:ind w:left="706"/>
      <w:outlineLvl w:val="8"/>
    </w:pPr>
    <w:rPr>
      <w:rFonts w:ascii="Palatino Linotype" w:eastAsiaTheme="minorEastAsia" w:hAnsi="Palatino Linotype" w:cstheme="majorBidi"/>
      <w:i/>
      <w:noProof/>
      <w:sz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spacing w:line="260" w:lineRule="atLeast"/>
      <w:ind w:right="360"/>
      <w:outlineLvl w:val="0"/>
    </w:pPr>
    <w:rPr>
      <w:rFonts w:ascii="Palatino Linotype" w:eastAsiaTheme="minorEastAsia" w:hAnsi="Palatino Linotype"/>
      <w:i/>
      <w:noProof/>
      <w:sz w:val="20"/>
      <w:lang w:eastAsia="zh-CN"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eastAsiaTheme="minorEastAsia" w:hAnsi="Minion Pro"/>
      <w:noProof/>
      <w:color w:val="000000" w:themeColor="text1"/>
      <w:sz w:val="20"/>
      <w:lang w:eastAsia="zh-CN"/>
    </w:rPr>
  </w:style>
  <w:style w:type="paragraph" w:customStyle="1" w:styleId="Maddress">
    <w:name w:val="M_address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rFonts w:ascii="Palatino Linotype" w:eastAsiaTheme="minorEastAsia" w:hAnsi="Palatino Linotype"/>
      <w:b/>
      <w:noProof/>
      <w:sz w:val="20"/>
      <w:lang w:val="it-IT" w:eastAsia="zh-CN"/>
    </w:rPr>
  </w:style>
  <w:style w:type="paragraph" w:customStyle="1" w:styleId="MCaption">
    <w:name w:val="M_Caption"/>
    <w:basedOn w:val="Normal"/>
    <w:rsid w:val="007C0926"/>
    <w:pPr>
      <w:spacing w:before="240" w:after="240" w:line="260" w:lineRule="atLeast"/>
      <w:jc w:val="center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 w:line="260" w:lineRule="atLeast"/>
      <w:ind w:left="425"/>
    </w:pPr>
    <w:rPr>
      <w:rFonts w:ascii="Minion Pro" w:eastAsiaTheme="minorEastAsia" w:hAnsi="Minion Pro"/>
      <w:noProof/>
      <w:sz w:val="20"/>
      <w:lang w:eastAsia="zh-CN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 w:line="260" w:lineRule="atLeast"/>
      <w:jc w:val="righ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 w:line="260" w:lineRule="atLeast"/>
      <w:jc w:val="right"/>
    </w:pPr>
    <w:rPr>
      <w:rFonts w:ascii="Palatino Linotype" w:eastAsiaTheme="minorEastAsia" w:hAnsi="Palatino Linotype"/>
      <w:b/>
      <w:i/>
      <w:noProof/>
      <w:sz w:val="64"/>
      <w:lang w:eastAsia="zh-CN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spacing w:line="260" w:lineRule="atLeast"/>
      <w:ind w:left="461" w:hanging="461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spacing w:line="260" w:lineRule="atLeast"/>
      <w:ind w:firstLine="288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MTitel">
    <w:name w:val="M_Titel"/>
    <w:basedOn w:val="Normal"/>
    <w:rsid w:val="007C0926"/>
    <w:pPr>
      <w:spacing w:before="240" w:line="260" w:lineRule="atLeast"/>
    </w:pPr>
    <w:rPr>
      <w:rFonts w:ascii="Palatino Linotype" w:eastAsiaTheme="minorEastAsia" w:hAnsi="Palatino Linotype"/>
      <w:b/>
      <w:noProof/>
      <w:sz w:val="36"/>
      <w:lang w:val="en-GB" w:eastAsia="zh-CN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eastAsiaTheme="minorEastAsia" w:hAnsi="Arial"/>
      <w:noProof/>
      <w:sz w:val="20"/>
      <w:lang w:val="de-DE" w:eastAsia="zh-CN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Bullet">
    <w:name w:val="List Bullet"/>
    <w:basedOn w:val="Normal"/>
    <w:rsid w:val="007C0926"/>
    <w:pPr>
      <w:tabs>
        <w:tab w:val="num" w:pos="360"/>
      </w:tabs>
      <w:spacing w:line="260" w:lineRule="atLeast"/>
      <w:ind w:left="200" w:hangingChars="200" w:hanging="200"/>
      <w:contextualSpacing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ListParagraph">
    <w:name w:val="List Paragraph"/>
    <w:basedOn w:val="Normal"/>
    <w:uiPriority w:val="34"/>
    <w:qFormat/>
    <w:rsid w:val="007C0926"/>
    <w:pPr>
      <w:spacing w:line="260" w:lineRule="atLeast"/>
      <w:ind w:firstLineChars="200" w:firstLine="420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BalloonText">
    <w:name w:val="Balloon Text"/>
    <w:basedOn w:val="Normal"/>
    <w:link w:val="BalloonTextChar"/>
    <w:uiPriority w:val="99"/>
    <w:rsid w:val="007C0926"/>
    <w:pPr>
      <w:spacing w:line="260" w:lineRule="atLeast"/>
    </w:pPr>
    <w:rPr>
      <w:rFonts w:ascii="Palatino Linotype" w:eastAsiaTheme="minorEastAsia" w:hAnsi="Palatino Linotype" w:cs="Tahoma"/>
      <w:noProof/>
      <w:sz w:val="20"/>
      <w:szCs w:val="18"/>
      <w:lang w:eastAsia="zh-CN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szCs w:val="24"/>
      <w:lang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  <w:pPr>
      <w:spacing w:line="260" w:lineRule="atLeast"/>
    </w:pPr>
    <w:rPr>
      <w:rFonts w:ascii="Palatino Linotype" w:eastAsiaTheme="minorEastAsia" w:hAnsi="Palatino Linotype"/>
      <w:noProof/>
      <w:sz w:val="20"/>
      <w:lang w:eastAsia="zh-CN"/>
    </w:rPr>
  </w:style>
  <w:style w:type="paragraph" w:styleId="Caption">
    <w:name w:val="caption"/>
    <w:basedOn w:val="Normal"/>
    <w:next w:val="Normal"/>
    <w:qFormat/>
    <w:rsid w:val="007C0926"/>
    <w:pPr>
      <w:spacing w:line="260" w:lineRule="atLeast"/>
      <w:ind w:left="850" w:hanging="850"/>
      <w:jc w:val="center"/>
    </w:pPr>
    <w:rPr>
      <w:rFonts w:ascii="Palatino Linotype" w:eastAsiaTheme="minorEastAsia" w:hAnsi="Palatino Linotype"/>
      <w:b/>
      <w:bCs/>
      <w:noProof/>
      <w:sz w:val="20"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rFonts w:ascii="Palatino Linotype" w:eastAsiaTheme="minorEastAsia" w:hAnsi="Palatino Linotype"/>
      <w:noProof/>
      <w:sz w:val="16"/>
      <w:szCs w:val="16"/>
      <w:lang w:eastAsia="zh-CN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  <w:rPr>
      <w:rFonts w:ascii="Palatino Linotype" w:eastAsiaTheme="minorEastAsia" w:hAnsi="Palatino Linotype"/>
      <w:noProof/>
      <w:sz w:val="20"/>
      <w:lang w:eastAsia="zh-CN"/>
    </w:r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rFonts w:ascii="Palatino Linotype" w:eastAsiaTheme="minorEastAsia" w:hAnsi="Palatino Linotype"/>
      <w:noProof/>
      <w:sz w:val="20"/>
      <w:szCs w:val="18"/>
      <w:lang w:eastAsia="zh-CN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SimSun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ascii="Palatino Linotype" w:eastAsia="SimSun" w:hAnsi="Palatino Linotype"/>
      <w:b/>
      <w:bCs/>
      <w:noProof/>
      <w:color w:val="auto"/>
      <w:sz w:val="20"/>
      <w:szCs w:val="24"/>
      <w:lang w:eastAsia="zh-CN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  <w:rPr>
      <w:rFonts w:ascii="Palatino Linotype" w:eastAsiaTheme="minorEastAsia" w:hAnsi="Palatino Linotype"/>
      <w:noProof/>
      <w:sz w:val="20"/>
      <w:lang w:eastAsia="zh-CN"/>
    </w:r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b/>
      <w:noProof/>
      <w:sz w:val="22"/>
      <w:szCs w:val="22"/>
      <w:lang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paragraph" w:customStyle="1" w:styleId="EndNoteBibliography">
    <w:name w:val="EndNote Bibliography"/>
    <w:basedOn w:val="Normal"/>
    <w:link w:val="EndNoteBibliographyChar"/>
    <w:rsid w:val="00B852EB"/>
    <w:pPr>
      <w:spacing w:line="240" w:lineRule="atLeast"/>
    </w:pPr>
    <w:rPr>
      <w:rFonts w:ascii="Palatino Linotype" w:hAnsi="Palatino Linotype"/>
      <w:noProof/>
      <w:sz w:val="18"/>
      <w:lang w:val="de-DE"/>
    </w:rPr>
  </w:style>
  <w:style w:type="character" w:customStyle="1" w:styleId="EndNoteBibliographyChar">
    <w:name w:val="EndNote Bibliography Char"/>
    <w:link w:val="EndNoteBibliography"/>
    <w:rsid w:val="00B852EB"/>
    <w:rPr>
      <w:rFonts w:eastAsia="Times New Roman"/>
      <w:noProof/>
      <w:sz w:val="18"/>
      <w:lang w:val="de-DE"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11/relationships/commentsExtended" Target="commentsExtended.xm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comments" Target="comments.xml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microsoft.com/office/2018/08/relationships/commentsExtensible" Target="commentsExtensible.xml"/><Relationship Id="rId23" Type="http://schemas.microsoft.com/office/2011/relationships/people" Target="people.xml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16/09/relationships/commentsIds" Target="commentsIds.xm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21D5C4-B63B-41DC-8B7A-62ED3E522A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270</Words>
  <Characters>1460</Characters>
  <Application>Microsoft Office Word</Application>
  <DocSecurity>0</DocSecurity>
  <Lines>27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1722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MDPI-13</dc:creator>
  <cp:keywords/>
  <dc:description/>
  <cp:lastModifiedBy>MDPI-13</cp:lastModifiedBy>
  <cp:revision>3</cp:revision>
  <dcterms:created xsi:type="dcterms:W3CDTF">2020-09-09T08:58:00Z</dcterms:created>
  <dcterms:modified xsi:type="dcterms:W3CDTF">2020-09-10T11:28:00Z</dcterms:modified>
</cp:coreProperties>
</file>