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2"/>
        <w:tblW w:w="5000" w:type="pct"/>
        <w:jc w:val="center"/>
        <w:tblBorders>
          <w:top w:val="none" w:sz="0" w:space="0" w:color="auto"/>
          <w:bottom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1844"/>
        <w:gridCol w:w="2124"/>
        <w:gridCol w:w="1987"/>
        <w:gridCol w:w="141"/>
        <w:gridCol w:w="2408"/>
      </w:tblGrid>
      <w:tr w:rsidR="003741A0" w:rsidRPr="006D755F" w14:paraId="6C03DA14" w14:textId="77777777" w:rsidTr="00E94B93">
        <w:trPr>
          <w:trHeight w:val="2316"/>
          <w:jc w:val="center"/>
        </w:trPr>
        <w:tc>
          <w:tcPr>
            <w:tcW w:w="1084" w:type="pct"/>
            <w:vAlign w:val="top"/>
          </w:tcPr>
          <w:p w14:paraId="1DE4031D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a)</w:t>
            </w:r>
          </w:p>
          <w:p w14:paraId="4F583AEA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</w:p>
          <w:p w14:paraId="06D8F283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  <w:t>Orange II</w:t>
            </w:r>
          </w:p>
          <w:p w14:paraId="4BDC345A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</w:pPr>
          </w:p>
          <w:p w14:paraId="59D13357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OII [633-96-5]</w:t>
            </w:r>
          </w:p>
          <w:p w14:paraId="49AB77DB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C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>16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H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>11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N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>2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O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>4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SNa</w:t>
            </w:r>
          </w:p>
          <w:p w14:paraId="5221F1F0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Sigma Aldrich</w:t>
            </w:r>
          </w:p>
          <w:p w14:paraId="7B4B54CF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St. Louis, MI, USA</w:t>
            </w:r>
          </w:p>
          <w:p w14:paraId="14017420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Azo dye</w:t>
            </w:r>
          </w:p>
          <w:p w14:paraId="16D0AAE5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λ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 xml:space="preserve">max 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(nm) = 473</w:t>
            </w:r>
          </w:p>
        </w:tc>
        <w:tc>
          <w:tcPr>
            <w:tcW w:w="1249" w:type="pct"/>
          </w:tcPr>
          <w:p w14:paraId="5E38E0AA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 wp14:anchorId="55101839" wp14:editId="657E31F9">
                  <wp:extent cx="911968" cy="1190625"/>
                  <wp:effectExtent l="0" t="0" r="2540" b="0"/>
                  <wp:docPr id="172" name="Imagen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804" cy="1193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pct"/>
            <w:vAlign w:val="top"/>
          </w:tcPr>
          <w:p w14:paraId="470FD2EB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b)</w:t>
            </w:r>
          </w:p>
          <w:p w14:paraId="451B5032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</w:p>
          <w:p w14:paraId="43E06B4D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  <w:t>Methyl green</w:t>
            </w:r>
          </w:p>
          <w:p w14:paraId="13813A59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</w:pPr>
          </w:p>
          <w:p w14:paraId="5FA825D9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MG [7114-03-6]</w:t>
            </w:r>
          </w:p>
          <w:p w14:paraId="50C0D48A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GB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GB"/>
              </w:rPr>
              <w:t>C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GB"/>
              </w:rPr>
              <w:t>27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GB"/>
              </w:rPr>
              <w:t>H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GB"/>
              </w:rPr>
              <w:t>35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GB"/>
              </w:rPr>
              <w:t>BrClN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GB"/>
              </w:rPr>
              <w:t>3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GB"/>
              </w:rPr>
              <w:t>·ZnCl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GB"/>
              </w:rPr>
              <w:t>2</w:t>
            </w:r>
          </w:p>
          <w:p w14:paraId="10A6A2C1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Sigma Aldrich</w:t>
            </w:r>
          </w:p>
          <w:p w14:paraId="63BE79D0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St. Louis, MI, USA</w:t>
            </w:r>
          </w:p>
          <w:p w14:paraId="1D540724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Triarylmethane dye</w:t>
            </w:r>
          </w:p>
          <w:p w14:paraId="3BA2BD1B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λ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 xml:space="preserve">max 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(nm) = 633</w:t>
            </w:r>
          </w:p>
        </w:tc>
        <w:tc>
          <w:tcPr>
            <w:tcW w:w="1499" w:type="pct"/>
            <w:gridSpan w:val="2"/>
          </w:tcPr>
          <w:p w14:paraId="6D3D8428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object w:dxaOrig="3043" w:dyaOrig="2411" w14:anchorId="299A77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.75pt;height:97.5pt" o:ole="">
                  <v:imagedata r:id="rId9" o:title=""/>
                </v:shape>
                <o:OLEObject Type="Embed" ProgID="ChemDraw.Document.6.0" ShapeID="_x0000_i1025" DrawAspect="Content" ObjectID="_1674893732" r:id="rId10"/>
              </w:object>
            </w:r>
          </w:p>
        </w:tc>
      </w:tr>
      <w:tr w:rsidR="003741A0" w:rsidRPr="006D755F" w14:paraId="77AE3693" w14:textId="77777777" w:rsidTr="00E94B93">
        <w:trPr>
          <w:trHeight w:val="2689"/>
          <w:jc w:val="center"/>
        </w:trPr>
        <w:tc>
          <w:tcPr>
            <w:tcW w:w="1084" w:type="pct"/>
            <w:vAlign w:val="top"/>
          </w:tcPr>
          <w:p w14:paraId="6AD232AA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c)</w:t>
            </w:r>
          </w:p>
          <w:p w14:paraId="1CEE9846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</w:p>
          <w:p w14:paraId="08547A4B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  <w:t>Cooper (II) phtalocyanine</w:t>
            </w:r>
          </w:p>
          <w:p w14:paraId="2BE43FF3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Cu(II)Pc [147-14-8]</w:t>
            </w:r>
          </w:p>
          <w:p w14:paraId="6E7629A9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C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>32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H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>16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CuN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>8</w:t>
            </w:r>
          </w:p>
          <w:p w14:paraId="4629372C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Sigma Aldrich</w:t>
            </w:r>
          </w:p>
          <w:p w14:paraId="363679B6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St. Louis, MI, USA</w:t>
            </w:r>
          </w:p>
          <w:p w14:paraId="62E81614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Phthalocyanine dye</w:t>
            </w:r>
          </w:p>
          <w:p w14:paraId="7CA3EABC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λ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 xml:space="preserve">max 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(nm) = 754</w:t>
            </w:r>
          </w:p>
        </w:tc>
        <w:tc>
          <w:tcPr>
            <w:tcW w:w="1249" w:type="pct"/>
          </w:tcPr>
          <w:p w14:paraId="37711699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object w:dxaOrig="2260" w:dyaOrig="2260" w14:anchorId="25E2E423">
                <v:shape id="_x0000_i1026" type="#_x0000_t75" style="width:95.25pt;height:95.25pt" o:ole="">
                  <v:imagedata r:id="rId11" o:title=""/>
                </v:shape>
                <o:OLEObject Type="Embed" ProgID="ChemDraw.Document.6.0" ShapeID="_x0000_i1026" DrawAspect="Content" ObjectID="_1674893733" r:id="rId12"/>
              </w:object>
            </w:r>
          </w:p>
        </w:tc>
        <w:tc>
          <w:tcPr>
            <w:tcW w:w="1251" w:type="pct"/>
            <w:gridSpan w:val="2"/>
            <w:vAlign w:val="top"/>
          </w:tcPr>
          <w:p w14:paraId="087CBF6E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d)</w:t>
            </w:r>
          </w:p>
          <w:p w14:paraId="34C89C41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</w:p>
          <w:p w14:paraId="0F1F336C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  <w:t>Reactive blue 19</w:t>
            </w:r>
          </w:p>
          <w:p w14:paraId="3B04667D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</w:pPr>
          </w:p>
          <w:p w14:paraId="32DCA25A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RB19 [2580-78-1]</w:t>
            </w:r>
          </w:p>
          <w:p w14:paraId="554D2179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C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>22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H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>16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N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>2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Na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>2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O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>11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S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>3</w:t>
            </w:r>
          </w:p>
          <w:p w14:paraId="0B0A0370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Sigma Aldrich</w:t>
            </w:r>
          </w:p>
          <w:p w14:paraId="1A32A96B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St. Louis, MI, USA</w:t>
            </w:r>
          </w:p>
          <w:p w14:paraId="249A3D86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Anthroquinone dye</w:t>
            </w:r>
          </w:p>
          <w:p w14:paraId="4C36F460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λ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  <w:lang w:val="en-US"/>
              </w:rPr>
              <w:t xml:space="preserve">max 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(nm) = 593</w:t>
            </w:r>
          </w:p>
        </w:tc>
        <w:tc>
          <w:tcPr>
            <w:tcW w:w="1416" w:type="pct"/>
          </w:tcPr>
          <w:p w14:paraId="7349F7A4" w14:textId="77777777" w:rsidR="003741A0" w:rsidRPr="006D755F" w:rsidRDefault="003741A0" w:rsidP="00E94B93">
            <w:pPr>
              <w:pStyle w:val="NoSpacing"/>
              <w:keepNext/>
              <w:spacing w:line="276" w:lineRule="auto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</w:rPr>
              <w:object w:dxaOrig="2275" w:dyaOrig="3905" w14:anchorId="0C56DE05">
                <v:shape id="_x0000_i1027" type="#_x0000_t75" style="width:93pt;height:159pt" o:ole="">
                  <v:imagedata r:id="rId13" o:title=""/>
                </v:shape>
                <o:OLEObject Type="Embed" ProgID="ChemDraw.Document.6.0" ShapeID="_x0000_i1027" DrawAspect="Content" ObjectID="_1674893734" r:id="rId14"/>
              </w:object>
            </w:r>
          </w:p>
        </w:tc>
      </w:tr>
      <w:tr w:rsidR="003741A0" w:rsidRPr="006D755F" w14:paraId="1FDC4A85" w14:textId="77777777" w:rsidTr="00E94B93">
        <w:trPr>
          <w:trHeight w:val="2547"/>
          <w:jc w:val="center"/>
        </w:trPr>
        <w:tc>
          <w:tcPr>
            <w:tcW w:w="1084" w:type="pct"/>
            <w:vAlign w:val="top"/>
          </w:tcPr>
          <w:p w14:paraId="7170AA19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</w:pPr>
            <w:r w:rsidRPr="006D755F"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>e)</w:t>
            </w:r>
          </w:p>
          <w:p w14:paraId="0A3A754D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</w:pPr>
          </w:p>
          <w:p w14:paraId="7FB2B3F4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GB"/>
              </w:rPr>
            </w:pPr>
            <w:r w:rsidRPr="006D755F"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GB"/>
              </w:rPr>
              <w:t>Eriochrome® black T</w:t>
            </w:r>
          </w:p>
          <w:p w14:paraId="05AEA58F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GB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GB"/>
              </w:rPr>
              <w:t>EBT</w:t>
            </w:r>
          </w:p>
          <w:p w14:paraId="181213A0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GB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GB"/>
              </w:rPr>
              <w:t>[1787-61-7]</w:t>
            </w:r>
          </w:p>
          <w:p w14:paraId="0887AF34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C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>20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H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>12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N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>3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NaO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>7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S</w:t>
            </w:r>
          </w:p>
          <w:p w14:paraId="58591BB5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Panreac Química</w:t>
            </w:r>
          </w:p>
          <w:p w14:paraId="6D88C2F9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Barcelona, CT, ES</w:t>
            </w:r>
          </w:p>
          <w:p w14:paraId="32ACAA97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Azo dye</w:t>
            </w:r>
          </w:p>
          <w:p w14:paraId="25193E7F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λ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 xml:space="preserve">max 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(nm) = 524</w:t>
            </w:r>
          </w:p>
        </w:tc>
        <w:tc>
          <w:tcPr>
            <w:tcW w:w="1249" w:type="pct"/>
            <w:vAlign w:val="top"/>
          </w:tcPr>
          <w:p w14:paraId="547F473B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object w:dxaOrig="2393" w:dyaOrig="3238" w14:anchorId="7B902E58">
                <v:shape id="_x0000_i1028" type="#_x0000_t75" style="width:91.5pt;height:126pt" o:ole="">
                  <v:imagedata r:id="rId15" o:title=""/>
                </v:shape>
                <o:OLEObject Type="Embed" ProgID="ChemDraw.Document.6.0" ShapeID="_x0000_i1028" DrawAspect="Content" ObjectID="_1674893735" r:id="rId16"/>
              </w:object>
            </w:r>
          </w:p>
        </w:tc>
        <w:tc>
          <w:tcPr>
            <w:tcW w:w="1251" w:type="pct"/>
            <w:gridSpan w:val="2"/>
            <w:vAlign w:val="top"/>
          </w:tcPr>
          <w:p w14:paraId="31DC8C02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f)</w:t>
            </w:r>
          </w:p>
          <w:p w14:paraId="74F3FFF1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</w:p>
          <w:p w14:paraId="4FAEAAE0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Sulfamethoxazole</w:t>
            </w:r>
          </w:p>
          <w:p w14:paraId="7ADE239F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</w:p>
          <w:p w14:paraId="37097935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  <w:t>SMZ</w:t>
            </w:r>
          </w:p>
          <w:p w14:paraId="017BB635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  <w:t>[723-46-6]</w:t>
            </w:r>
          </w:p>
          <w:p w14:paraId="0209BB77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  <w:t>C</w:t>
            </w: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vertAlign w:val="subscript"/>
                <w:lang w:val="en-US"/>
              </w:rPr>
              <w:t>10</w:t>
            </w: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  <w:t>H</w:t>
            </w: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vertAlign w:val="subscript"/>
                <w:lang w:val="en-US"/>
              </w:rPr>
              <w:t>11</w:t>
            </w: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  <w:t>N</w:t>
            </w: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vertAlign w:val="subscript"/>
                <w:lang w:val="en-US"/>
              </w:rPr>
              <w:t>3</w:t>
            </w: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  <w:t>O</w:t>
            </w: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vertAlign w:val="subscript"/>
                <w:lang w:val="en-US"/>
              </w:rPr>
              <w:t>3</w:t>
            </w: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  <w:t>S</w:t>
            </w:r>
          </w:p>
          <w:p w14:paraId="4A697E27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  <w:lang w:val="en-US"/>
              </w:rPr>
              <w:t>Sigma Aldrich</w:t>
            </w:r>
          </w:p>
          <w:p w14:paraId="4C196CCD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</w:rPr>
              <w:t>St. Louis, MI, USA</w:t>
            </w:r>
          </w:p>
          <w:p w14:paraId="066FE2C5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Cs/>
                <w:sz w:val="18"/>
                <w:szCs w:val="18"/>
              </w:rPr>
            </w:pPr>
            <w:proofErr w:type="spellStart"/>
            <w:r w:rsidRPr="006D755F">
              <w:rPr>
                <w:rFonts w:ascii="Palatino Linotype" w:hAnsi="Palatino Linotype" w:cstheme="minorHAnsi"/>
                <w:bCs/>
                <w:sz w:val="18"/>
                <w:szCs w:val="18"/>
              </w:rPr>
              <w:t>Sulfonamide</w:t>
            </w:r>
            <w:proofErr w:type="spellEnd"/>
          </w:p>
          <w:p w14:paraId="0D5B616F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hAnsi="Palatino Linotype" w:cstheme="minorHAnsi"/>
                <w:b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lang w:val="en-US"/>
              </w:rPr>
              <w:t>λ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  <w:vertAlign w:val="subscript"/>
              </w:rPr>
              <w:t xml:space="preserve">max </w:t>
            </w:r>
            <w:r w:rsidRPr="006D755F">
              <w:rPr>
                <w:rFonts w:ascii="Palatino Linotype" w:hAnsi="Palatino Linotype" w:cstheme="minorHAnsi"/>
                <w:bCs/>
                <w:noProof/>
                <w:sz w:val="18"/>
                <w:szCs w:val="18"/>
              </w:rPr>
              <w:t>(nm) = 257</w:t>
            </w:r>
          </w:p>
        </w:tc>
        <w:tc>
          <w:tcPr>
            <w:tcW w:w="1416" w:type="pct"/>
          </w:tcPr>
          <w:p w14:paraId="05B585D7" w14:textId="77777777" w:rsidR="003741A0" w:rsidRPr="006D755F" w:rsidRDefault="003741A0" w:rsidP="00E94B93">
            <w:pPr>
              <w:pStyle w:val="NoSpacing"/>
              <w:keepNext/>
              <w:spacing w:line="276" w:lineRule="auto"/>
              <w:jc w:val="center"/>
              <w:rPr>
                <w:rFonts w:ascii="Palatino Linotype" w:hAnsi="Palatino Linotype" w:cstheme="minorHAnsi"/>
                <w:b/>
                <w:noProof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object w:dxaOrig="2417" w:dyaOrig="1166" w14:anchorId="654EDF93">
                <v:shape id="_x0000_i1029" type="#_x0000_t75" style="width:105.75pt;height:51pt" o:ole="">
                  <v:imagedata r:id="rId17" o:title=""/>
                </v:shape>
                <o:OLEObject Type="Embed" ProgID="ChemDraw.Document.6.0" ShapeID="_x0000_i1029" DrawAspect="Content" ObjectID="_1674893736" r:id="rId18"/>
              </w:object>
            </w:r>
          </w:p>
        </w:tc>
      </w:tr>
    </w:tbl>
    <w:p w14:paraId="2DCE0E87" w14:textId="0D33420A" w:rsidR="003741A0" w:rsidRPr="006D755F" w:rsidRDefault="003741A0" w:rsidP="00AE3735">
      <w:pPr>
        <w:spacing w:before="240" w:line="276" w:lineRule="auto"/>
        <w:jc w:val="center"/>
        <w:rPr>
          <w:rFonts w:ascii="Palatino Linotype" w:hAnsi="Palatino Linotype" w:cstheme="minorHAnsi"/>
          <w:sz w:val="18"/>
          <w:szCs w:val="18"/>
          <w:lang w:val="en-US"/>
        </w:rPr>
      </w:pPr>
      <w:r w:rsidRPr="006D755F">
        <w:rPr>
          <w:rFonts w:ascii="Palatino Linotype" w:hAnsi="Palatino Linotype" w:cstheme="minorHAnsi"/>
          <w:b/>
          <w:bCs/>
          <w:sz w:val="18"/>
          <w:szCs w:val="18"/>
          <w:lang w:val="en-US"/>
        </w:rPr>
        <w:t>Figure S1.</w:t>
      </w:r>
      <w:r w:rsidRPr="006D755F">
        <w:rPr>
          <w:rFonts w:ascii="Palatino Linotype" w:hAnsi="Palatino Linotype" w:cstheme="minorHAnsi"/>
          <w:sz w:val="18"/>
          <w:szCs w:val="18"/>
          <w:lang w:val="en-US"/>
        </w:rPr>
        <w:t xml:space="preserve"> Target compounds used in degradation experiments</w:t>
      </w:r>
      <w:r w:rsidR="00991BD5">
        <w:rPr>
          <w:rFonts w:ascii="Palatino Linotype" w:hAnsi="Palatino Linotype" w:cstheme="minorHAnsi"/>
          <w:sz w:val="18"/>
          <w:szCs w:val="18"/>
          <w:lang w:val="en-US"/>
        </w:rPr>
        <w:t>.</w:t>
      </w:r>
    </w:p>
    <w:p w14:paraId="2B565E99" w14:textId="2B77D84B" w:rsidR="003741A0" w:rsidRPr="006D755F" w:rsidRDefault="003741A0">
      <w:pPr>
        <w:spacing w:after="160" w:line="259" w:lineRule="auto"/>
        <w:jc w:val="left"/>
        <w:rPr>
          <w:rFonts w:ascii="Palatino Linotype" w:hAnsi="Palatino Linotype" w:cstheme="minorHAnsi"/>
          <w:sz w:val="18"/>
          <w:szCs w:val="18"/>
          <w:lang w:val="en-US"/>
        </w:rPr>
      </w:pPr>
      <w:r w:rsidRPr="006D755F">
        <w:rPr>
          <w:rFonts w:ascii="Palatino Linotype" w:hAnsi="Palatino Linotype" w:cstheme="minorHAnsi"/>
          <w:sz w:val="18"/>
          <w:szCs w:val="18"/>
          <w:lang w:val="en-US"/>
        </w:rPr>
        <w:br w:type="page"/>
      </w:r>
    </w:p>
    <w:p w14:paraId="474A0D81" w14:textId="0CD0723E" w:rsidR="003741A0" w:rsidRPr="006D755F" w:rsidRDefault="003741A0" w:rsidP="003741A0">
      <w:pPr>
        <w:spacing w:before="240"/>
        <w:ind w:left="1134" w:right="1133"/>
        <w:jc w:val="center"/>
        <w:rPr>
          <w:rFonts w:ascii="Palatino Linotype" w:hAnsi="Palatino Linotype" w:cstheme="minorHAnsi"/>
          <w:sz w:val="18"/>
          <w:szCs w:val="18"/>
          <w:lang w:val="en-US"/>
        </w:rPr>
      </w:pPr>
      <w:r w:rsidRPr="006D755F">
        <w:rPr>
          <w:rFonts w:ascii="Palatino Linotype" w:hAnsi="Palatino Linotype" w:cstheme="minorHAnsi"/>
          <w:b/>
          <w:bCs/>
          <w:sz w:val="18"/>
          <w:szCs w:val="18"/>
          <w:lang w:val="en-US"/>
        </w:rPr>
        <w:lastRenderedPageBreak/>
        <w:t xml:space="preserve">Table S1. </w:t>
      </w:r>
      <w:r w:rsidRPr="006D755F">
        <w:rPr>
          <w:rFonts w:ascii="Palatino Linotype" w:hAnsi="Palatino Linotype" w:cstheme="minorHAnsi"/>
          <w:sz w:val="18"/>
          <w:szCs w:val="18"/>
          <w:lang w:val="en-US"/>
        </w:rPr>
        <w:t>Chemical characterization of the wastewater (N</w:t>
      </w:r>
      <w:r w:rsidR="006D755F">
        <w:rPr>
          <w:rFonts w:ascii="Palatino Linotype" w:hAnsi="Palatino Linotype" w:cstheme="minorHAnsi"/>
          <w:sz w:val="18"/>
          <w:szCs w:val="18"/>
          <w:lang w:val="en-US"/>
        </w:rPr>
        <w:t xml:space="preserve"> </w:t>
      </w:r>
      <w:r w:rsidRPr="006D755F">
        <w:rPr>
          <w:rFonts w:ascii="Palatino Linotype" w:hAnsi="Palatino Linotype" w:cstheme="minorHAnsi"/>
          <w:sz w:val="18"/>
          <w:szCs w:val="18"/>
          <w:lang w:val="en-US"/>
        </w:rPr>
        <w:t>=</w:t>
      </w:r>
      <w:r w:rsidR="006D755F">
        <w:rPr>
          <w:rFonts w:ascii="Palatino Linotype" w:hAnsi="Palatino Linotype" w:cstheme="minorHAnsi"/>
          <w:sz w:val="18"/>
          <w:szCs w:val="18"/>
          <w:lang w:val="en-US"/>
        </w:rPr>
        <w:t xml:space="preserve"> </w:t>
      </w:r>
      <w:r w:rsidRPr="006D755F">
        <w:rPr>
          <w:rFonts w:ascii="Palatino Linotype" w:hAnsi="Palatino Linotype" w:cstheme="minorHAnsi"/>
          <w:sz w:val="18"/>
          <w:szCs w:val="18"/>
          <w:lang w:val="en-US"/>
        </w:rPr>
        <w:t>7)</w:t>
      </w:r>
    </w:p>
    <w:tbl>
      <w:tblPr>
        <w:tblStyle w:val="PlainTable2"/>
        <w:tblW w:w="3584" w:type="pct"/>
        <w:jc w:val="center"/>
        <w:tblLayout w:type="fixed"/>
        <w:tblLook w:val="0420" w:firstRow="1" w:lastRow="0" w:firstColumn="0" w:lastColumn="0" w:noHBand="0" w:noVBand="1"/>
      </w:tblPr>
      <w:tblGrid>
        <w:gridCol w:w="2259"/>
        <w:gridCol w:w="1711"/>
        <w:gridCol w:w="2126"/>
      </w:tblGrid>
      <w:tr w:rsidR="003741A0" w:rsidRPr="006D755F" w14:paraId="2FB42C1C" w14:textId="77777777" w:rsidTr="00E94B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1853" w:type="pct"/>
            <w:hideMark/>
          </w:tcPr>
          <w:p w14:paraId="7EF4E587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Parameter</w:t>
            </w:r>
          </w:p>
        </w:tc>
        <w:tc>
          <w:tcPr>
            <w:tcW w:w="1403" w:type="pct"/>
            <w:hideMark/>
          </w:tcPr>
          <w:p w14:paraId="141659D1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Average, μ</w:t>
            </w:r>
          </w:p>
        </w:tc>
        <w:tc>
          <w:tcPr>
            <w:tcW w:w="1744" w:type="pct"/>
            <w:hideMark/>
          </w:tcPr>
          <w:p w14:paraId="38805E73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Std. deviation, σ</w:t>
            </w:r>
          </w:p>
        </w:tc>
      </w:tr>
      <w:tr w:rsidR="003741A0" w:rsidRPr="006D755F" w14:paraId="4D27674F" w14:textId="77777777" w:rsidTr="00E94B93">
        <w:trPr>
          <w:trHeight w:val="283"/>
          <w:jc w:val="center"/>
        </w:trPr>
        <w:tc>
          <w:tcPr>
            <w:tcW w:w="1853" w:type="pct"/>
            <w:hideMark/>
          </w:tcPr>
          <w:p w14:paraId="2E0CE8D8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pH</w:t>
            </w:r>
          </w:p>
        </w:tc>
        <w:tc>
          <w:tcPr>
            <w:tcW w:w="1403" w:type="pct"/>
            <w:hideMark/>
          </w:tcPr>
          <w:p w14:paraId="404D6290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6.236</w:t>
            </w:r>
          </w:p>
        </w:tc>
        <w:tc>
          <w:tcPr>
            <w:tcW w:w="1744" w:type="pct"/>
            <w:hideMark/>
          </w:tcPr>
          <w:p w14:paraId="73CAFBB6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0.217</w:t>
            </w:r>
          </w:p>
        </w:tc>
      </w:tr>
      <w:tr w:rsidR="003741A0" w:rsidRPr="006D755F" w14:paraId="29878262" w14:textId="77777777" w:rsidTr="00E94B93">
        <w:trPr>
          <w:trHeight w:val="283"/>
          <w:jc w:val="center"/>
        </w:trPr>
        <w:tc>
          <w:tcPr>
            <w:tcW w:w="1853" w:type="pct"/>
            <w:hideMark/>
          </w:tcPr>
          <w:p w14:paraId="7BB314A4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TOC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  <w:hideMark/>
          </w:tcPr>
          <w:p w14:paraId="202BDAB4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4.719</w:t>
            </w:r>
          </w:p>
        </w:tc>
        <w:tc>
          <w:tcPr>
            <w:tcW w:w="1744" w:type="pct"/>
            <w:hideMark/>
          </w:tcPr>
          <w:p w14:paraId="4D72006F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2.409</w:t>
            </w:r>
          </w:p>
        </w:tc>
      </w:tr>
      <w:tr w:rsidR="003741A0" w:rsidRPr="006D755F" w14:paraId="3B4B669D" w14:textId="77777777" w:rsidTr="00E94B93">
        <w:trPr>
          <w:trHeight w:val="283"/>
          <w:jc w:val="center"/>
        </w:trPr>
        <w:tc>
          <w:tcPr>
            <w:tcW w:w="1853" w:type="pct"/>
          </w:tcPr>
          <w:p w14:paraId="4EA1BE32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Anions</w:t>
            </w:r>
          </w:p>
        </w:tc>
        <w:tc>
          <w:tcPr>
            <w:tcW w:w="1403" w:type="pct"/>
          </w:tcPr>
          <w:p w14:paraId="2E0A60C7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744" w:type="pct"/>
          </w:tcPr>
          <w:p w14:paraId="5F2F7940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highlight w:val="yellow"/>
                <w:lang w:val="en-US"/>
              </w:rPr>
            </w:pPr>
          </w:p>
        </w:tc>
      </w:tr>
      <w:tr w:rsidR="003741A0" w:rsidRPr="006D755F" w14:paraId="03BBCC10" w14:textId="77777777" w:rsidTr="00E94B93">
        <w:trPr>
          <w:trHeight w:val="283"/>
          <w:jc w:val="center"/>
        </w:trPr>
        <w:tc>
          <w:tcPr>
            <w:tcW w:w="1853" w:type="pct"/>
          </w:tcPr>
          <w:p w14:paraId="56AC711F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Chloride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</w:tcPr>
          <w:p w14:paraId="307C952B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19.239</w:t>
            </w:r>
          </w:p>
        </w:tc>
        <w:tc>
          <w:tcPr>
            <w:tcW w:w="1744" w:type="pct"/>
          </w:tcPr>
          <w:p w14:paraId="36736378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31.968</w:t>
            </w:r>
          </w:p>
        </w:tc>
      </w:tr>
      <w:tr w:rsidR="003741A0" w:rsidRPr="006D755F" w14:paraId="4822A98C" w14:textId="77777777" w:rsidTr="00E94B93">
        <w:trPr>
          <w:trHeight w:val="283"/>
          <w:jc w:val="center"/>
        </w:trPr>
        <w:tc>
          <w:tcPr>
            <w:tcW w:w="1853" w:type="pct"/>
          </w:tcPr>
          <w:p w14:paraId="569030A4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Nitrite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</w:tcPr>
          <w:p w14:paraId="74A6F192" w14:textId="4ED352D4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0.114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1744" w:type="pct"/>
          </w:tcPr>
          <w:p w14:paraId="438E60C1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0.159</w:t>
            </w:r>
          </w:p>
        </w:tc>
      </w:tr>
      <w:tr w:rsidR="003741A0" w:rsidRPr="006D755F" w14:paraId="4C0E387C" w14:textId="77777777" w:rsidTr="00E94B93">
        <w:trPr>
          <w:trHeight w:val="283"/>
          <w:jc w:val="center"/>
        </w:trPr>
        <w:tc>
          <w:tcPr>
            <w:tcW w:w="1853" w:type="pct"/>
          </w:tcPr>
          <w:p w14:paraId="74CF4D1A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Nitrate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</w:tcPr>
          <w:p w14:paraId="4FCDD834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9.530</w:t>
            </w:r>
          </w:p>
        </w:tc>
        <w:tc>
          <w:tcPr>
            <w:tcW w:w="1744" w:type="pct"/>
          </w:tcPr>
          <w:p w14:paraId="26EC232D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6.019</w:t>
            </w:r>
          </w:p>
        </w:tc>
      </w:tr>
      <w:tr w:rsidR="003741A0" w:rsidRPr="006D755F" w14:paraId="1F805C15" w14:textId="77777777" w:rsidTr="00E94B93">
        <w:trPr>
          <w:trHeight w:val="283"/>
          <w:jc w:val="center"/>
        </w:trPr>
        <w:tc>
          <w:tcPr>
            <w:tcW w:w="1853" w:type="pct"/>
          </w:tcPr>
          <w:p w14:paraId="5899BD4B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Bromide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</w:tcPr>
          <w:p w14:paraId="1CFFD4B1" w14:textId="3C98D940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0.037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1744" w:type="pct"/>
          </w:tcPr>
          <w:p w14:paraId="1D8F5A1A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0.098</w:t>
            </w:r>
          </w:p>
        </w:tc>
      </w:tr>
      <w:tr w:rsidR="003741A0" w:rsidRPr="006D755F" w14:paraId="579714F2" w14:textId="77777777" w:rsidTr="00E94B93">
        <w:trPr>
          <w:trHeight w:val="283"/>
          <w:jc w:val="center"/>
        </w:trPr>
        <w:tc>
          <w:tcPr>
            <w:tcW w:w="1853" w:type="pct"/>
            <w:tcBorders>
              <w:bottom w:val="nil"/>
            </w:tcBorders>
          </w:tcPr>
          <w:p w14:paraId="1A5953CB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Phosphate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  <w:tcBorders>
              <w:bottom w:val="nil"/>
            </w:tcBorders>
          </w:tcPr>
          <w:p w14:paraId="6FF05521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2.475</w:t>
            </w:r>
          </w:p>
        </w:tc>
        <w:tc>
          <w:tcPr>
            <w:tcW w:w="1744" w:type="pct"/>
            <w:tcBorders>
              <w:bottom w:val="nil"/>
            </w:tcBorders>
          </w:tcPr>
          <w:p w14:paraId="71FED0A4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0.654</w:t>
            </w:r>
          </w:p>
        </w:tc>
      </w:tr>
      <w:tr w:rsidR="003741A0" w:rsidRPr="006D755F" w14:paraId="7203BA1E" w14:textId="77777777" w:rsidTr="00E94B93">
        <w:trPr>
          <w:trHeight w:val="283"/>
          <w:jc w:val="center"/>
        </w:trPr>
        <w:tc>
          <w:tcPr>
            <w:tcW w:w="1853" w:type="pct"/>
            <w:tcBorders>
              <w:bottom w:val="nil"/>
            </w:tcBorders>
          </w:tcPr>
          <w:p w14:paraId="5A0B5B02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Sulfate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  <w:tcBorders>
              <w:bottom w:val="nil"/>
            </w:tcBorders>
          </w:tcPr>
          <w:p w14:paraId="00AF466E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12.426</w:t>
            </w:r>
          </w:p>
        </w:tc>
        <w:tc>
          <w:tcPr>
            <w:tcW w:w="1744" w:type="pct"/>
            <w:tcBorders>
              <w:bottom w:val="nil"/>
            </w:tcBorders>
          </w:tcPr>
          <w:p w14:paraId="5F2D903F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3.438</w:t>
            </w:r>
          </w:p>
        </w:tc>
      </w:tr>
      <w:tr w:rsidR="003741A0" w:rsidRPr="006D755F" w14:paraId="7B2FB8F6" w14:textId="77777777" w:rsidTr="00E94B93">
        <w:trPr>
          <w:trHeight w:val="283"/>
          <w:jc w:val="center"/>
        </w:trPr>
        <w:tc>
          <w:tcPr>
            <w:tcW w:w="1853" w:type="pct"/>
            <w:tcBorders>
              <w:bottom w:val="nil"/>
            </w:tcBorders>
          </w:tcPr>
          <w:p w14:paraId="14081886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Cations</w:t>
            </w:r>
          </w:p>
        </w:tc>
        <w:tc>
          <w:tcPr>
            <w:tcW w:w="1403" w:type="pct"/>
            <w:tcBorders>
              <w:bottom w:val="nil"/>
            </w:tcBorders>
          </w:tcPr>
          <w:p w14:paraId="15A17777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744" w:type="pct"/>
            <w:tcBorders>
              <w:bottom w:val="nil"/>
            </w:tcBorders>
          </w:tcPr>
          <w:p w14:paraId="6E70DF34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3741A0" w:rsidRPr="006D755F" w14:paraId="21AF9433" w14:textId="77777777" w:rsidTr="00E94B93">
        <w:trPr>
          <w:trHeight w:val="283"/>
          <w:jc w:val="center"/>
        </w:trPr>
        <w:tc>
          <w:tcPr>
            <w:tcW w:w="1853" w:type="pct"/>
            <w:tcBorders>
              <w:bottom w:val="nil"/>
            </w:tcBorders>
          </w:tcPr>
          <w:p w14:paraId="70D7A4EF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Lithium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  <w:tcBorders>
              <w:bottom w:val="nil"/>
            </w:tcBorders>
          </w:tcPr>
          <w:p w14:paraId="1BDF5080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&lt;LOD</w:t>
            </w:r>
          </w:p>
        </w:tc>
        <w:tc>
          <w:tcPr>
            <w:tcW w:w="1744" w:type="pct"/>
            <w:tcBorders>
              <w:bottom w:val="nil"/>
            </w:tcBorders>
          </w:tcPr>
          <w:p w14:paraId="611FF2B9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&lt;LOD</w:t>
            </w:r>
          </w:p>
        </w:tc>
      </w:tr>
      <w:tr w:rsidR="003741A0" w:rsidRPr="006D755F" w14:paraId="038D2E98" w14:textId="77777777" w:rsidTr="00E94B93">
        <w:trPr>
          <w:trHeight w:val="283"/>
          <w:jc w:val="center"/>
        </w:trPr>
        <w:tc>
          <w:tcPr>
            <w:tcW w:w="1853" w:type="pct"/>
            <w:tcBorders>
              <w:bottom w:val="nil"/>
            </w:tcBorders>
          </w:tcPr>
          <w:p w14:paraId="67D53F11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Sodium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  <w:tcBorders>
              <w:bottom w:val="nil"/>
            </w:tcBorders>
          </w:tcPr>
          <w:p w14:paraId="7AE16782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16.515</w:t>
            </w:r>
          </w:p>
        </w:tc>
        <w:tc>
          <w:tcPr>
            <w:tcW w:w="1744" w:type="pct"/>
            <w:tcBorders>
              <w:bottom w:val="nil"/>
            </w:tcBorders>
          </w:tcPr>
          <w:p w14:paraId="344CDB7E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4.974</w:t>
            </w:r>
          </w:p>
        </w:tc>
      </w:tr>
      <w:tr w:rsidR="003741A0" w:rsidRPr="006D755F" w14:paraId="0AD8BFDF" w14:textId="77777777" w:rsidTr="00E94B93">
        <w:trPr>
          <w:trHeight w:val="283"/>
          <w:jc w:val="center"/>
        </w:trPr>
        <w:tc>
          <w:tcPr>
            <w:tcW w:w="1853" w:type="pct"/>
            <w:tcBorders>
              <w:bottom w:val="nil"/>
            </w:tcBorders>
          </w:tcPr>
          <w:p w14:paraId="5A412B13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Ammonium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  <w:tcBorders>
              <w:bottom w:val="nil"/>
            </w:tcBorders>
          </w:tcPr>
          <w:p w14:paraId="111E580A" w14:textId="4F77A8F0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1.516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1744" w:type="pct"/>
            <w:tcBorders>
              <w:bottom w:val="nil"/>
            </w:tcBorders>
          </w:tcPr>
          <w:p w14:paraId="54242CD5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0.897</w:t>
            </w:r>
          </w:p>
        </w:tc>
      </w:tr>
      <w:tr w:rsidR="003741A0" w:rsidRPr="006D755F" w14:paraId="3CB870C6" w14:textId="77777777" w:rsidTr="00E94B93">
        <w:trPr>
          <w:trHeight w:val="283"/>
          <w:jc w:val="center"/>
        </w:trPr>
        <w:tc>
          <w:tcPr>
            <w:tcW w:w="1853" w:type="pct"/>
            <w:tcBorders>
              <w:bottom w:val="nil"/>
            </w:tcBorders>
          </w:tcPr>
          <w:p w14:paraId="38459558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Potassium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  <w:tcBorders>
              <w:bottom w:val="nil"/>
            </w:tcBorders>
          </w:tcPr>
          <w:p w14:paraId="607F27CF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</w:rPr>
              <w:t>4.706</w:t>
            </w:r>
          </w:p>
        </w:tc>
        <w:tc>
          <w:tcPr>
            <w:tcW w:w="1744" w:type="pct"/>
            <w:tcBorders>
              <w:bottom w:val="nil"/>
            </w:tcBorders>
          </w:tcPr>
          <w:p w14:paraId="09271E0C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1.191</w:t>
            </w:r>
          </w:p>
        </w:tc>
      </w:tr>
      <w:tr w:rsidR="003741A0" w:rsidRPr="006D755F" w14:paraId="61536048" w14:textId="77777777" w:rsidTr="00E94B93">
        <w:trPr>
          <w:trHeight w:val="283"/>
          <w:jc w:val="center"/>
        </w:trPr>
        <w:tc>
          <w:tcPr>
            <w:tcW w:w="1853" w:type="pct"/>
            <w:tcBorders>
              <w:bottom w:val="nil"/>
            </w:tcBorders>
          </w:tcPr>
          <w:p w14:paraId="0ACB4189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Magnesium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  <w:tcBorders>
              <w:bottom w:val="nil"/>
            </w:tcBorders>
          </w:tcPr>
          <w:p w14:paraId="329DE3EF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1.871</w:t>
            </w:r>
          </w:p>
        </w:tc>
        <w:tc>
          <w:tcPr>
            <w:tcW w:w="1744" w:type="pct"/>
            <w:tcBorders>
              <w:bottom w:val="nil"/>
            </w:tcBorders>
          </w:tcPr>
          <w:p w14:paraId="6E3E2662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0.167</w:t>
            </w:r>
          </w:p>
        </w:tc>
      </w:tr>
      <w:tr w:rsidR="003741A0" w:rsidRPr="006D755F" w14:paraId="6D9CBEB2" w14:textId="77777777" w:rsidTr="00E94B93">
        <w:trPr>
          <w:trHeight w:val="283"/>
          <w:jc w:val="center"/>
        </w:trPr>
        <w:tc>
          <w:tcPr>
            <w:tcW w:w="1853" w:type="pct"/>
            <w:tcBorders>
              <w:top w:val="nil"/>
              <w:bottom w:val="single" w:sz="4" w:space="0" w:color="auto"/>
            </w:tcBorders>
          </w:tcPr>
          <w:p w14:paraId="56A18C89" w14:textId="77777777" w:rsidR="003741A0" w:rsidRPr="006D755F" w:rsidRDefault="003741A0" w:rsidP="00E94B93">
            <w:pPr>
              <w:pStyle w:val="NoSpacing"/>
              <w:jc w:val="left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Calcium (mg L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US"/>
              </w:rPr>
              <w:t>-1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pct"/>
            <w:tcBorders>
              <w:top w:val="nil"/>
              <w:bottom w:val="single" w:sz="4" w:space="0" w:color="auto"/>
            </w:tcBorders>
          </w:tcPr>
          <w:p w14:paraId="0E995092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6.781</w:t>
            </w:r>
          </w:p>
        </w:tc>
        <w:tc>
          <w:tcPr>
            <w:tcW w:w="1744" w:type="pct"/>
            <w:tcBorders>
              <w:top w:val="nil"/>
              <w:bottom w:val="single" w:sz="4" w:space="0" w:color="auto"/>
            </w:tcBorders>
          </w:tcPr>
          <w:p w14:paraId="2AB49AA0" w14:textId="77777777" w:rsidR="003741A0" w:rsidRPr="006D755F" w:rsidRDefault="003741A0" w:rsidP="00E94B93">
            <w:pPr>
              <w:pStyle w:val="NoSpacing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0.579</w:t>
            </w:r>
          </w:p>
        </w:tc>
      </w:tr>
    </w:tbl>
    <w:p w14:paraId="314C92F3" w14:textId="78B1D484" w:rsidR="003741A0" w:rsidRPr="006D755F" w:rsidRDefault="006D755F" w:rsidP="003741A0">
      <w:pPr>
        <w:spacing w:line="276" w:lineRule="auto"/>
        <w:ind w:left="1276" w:right="1274"/>
        <w:rPr>
          <w:rFonts w:ascii="Palatino Linotype" w:hAnsi="Palatino Linotype" w:cstheme="minorHAnsi"/>
          <w:sz w:val="18"/>
          <w:szCs w:val="18"/>
          <w:lang w:val="en-US"/>
        </w:rPr>
      </w:pPr>
      <w:r>
        <w:rPr>
          <w:rFonts w:ascii="Palatino Linotype" w:hAnsi="Palatino Linotype" w:cstheme="minorHAnsi"/>
          <w:sz w:val="18"/>
          <w:szCs w:val="18"/>
          <w:vertAlign w:val="superscript"/>
          <w:lang w:val="en-US"/>
        </w:rPr>
        <w:t>1</w:t>
      </w:r>
      <w:r w:rsidR="003741A0" w:rsidRPr="006D755F">
        <w:rPr>
          <w:rFonts w:ascii="Palatino Linotype" w:hAnsi="Palatino Linotype" w:cstheme="minorHAnsi"/>
          <w:sz w:val="18"/>
          <w:szCs w:val="18"/>
          <w:lang w:val="en-US"/>
        </w:rPr>
        <w:t xml:space="preserve"> In some measures was obtained a value of &lt;</w:t>
      </w:r>
      <w:r>
        <w:rPr>
          <w:rFonts w:ascii="Palatino Linotype" w:hAnsi="Palatino Linotype" w:cstheme="minorHAnsi"/>
          <w:sz w:val="18"/>
          <w:szCs w:val="18"/>
          <w:lang w:val="en-US"/>
        </w:rPr>
        <w:t xml:space="preserve"> </w:t>
      </w:r>
      <w:r w:rsidR="003741A0" w:rsidRPr="006D755F">
        <w:rPr>
          <w:rFonts w:ascii="Palatino Linotype" w:hAnsi="Palatino Linotype" w:cstheme="minorHAnsi"/>
          <w:sz w:val="18"/>
          <w:szCs w:val="18"/>
          <w:lang w:val="en-US"/>
        </w:rPr>
        <w:t>LOD, considered zero to calculate the average.</w:t>
      </w:r>
    </w:p>
    <w:p w14:paraId="2FB17E61" w14:textId="77777777" w:rsidR="003741A0" w:rsidRPr="00D27136" w:rsidRDefault="003741A0" w:rsidP="003741A0">
      <w:pPr>
        <w:spacing w:line="276" w:lineRule="auto"/>
        <w:jc w:val="center"/>
        <w:rPr>
          <w:rFonts w:asciiTheme="minorHAnsi" w:hAnsiTheme="minorHAnsi" w:cstheme="minorHAnsi"/>
          <w:lang w:val="en-US"/>
        </w:rPr>
      </w:pPr>
    </w:p>
    <w:p w14:paraId="509D8F90" w14:textId="122110CB" w:rsidR="00D37A0B" w:rsidRDefault="003741A0" w:rsidP="00D37A0B">
      <w:pPr>
        <w:jc w:val="center"/>
        <w:rPr>
          <w:lang w:val="en-US"/>
        </w:rPr>
      </w:pPr>
      <w:r>
        <w:rPr>
          <w:rFonts w:asciiTheme="minorHAnsi" w:hAnsiTheme="minorHAnsi" w:cstheme="minorHAnsi"/>
        </w:rPr>
        <w:br w:type="page"/>
      </w:r>
      <w:r w:rsidR="004B4F10">
        <w:rPr>
          <w:noProof/>
          <w:lang w:val="en-US"/>
        </w:rPr>
        <w:lastRenderedPageBreak/>
        <w:drawing>
          <wp:inline distT="0" distB="0" distL="0" distR="0" wp14:anchorId="69B54494" wp14:editId="51D2EB20">
            <wp:extent cx="4895237" cy="3462035"/>
            <wp:effectExtent l="0" t="0" r="63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770" cy="3469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979E1" w14:textId="46C8FF63" w:rsidR="00D37A0B" w:rsidRPr="00217E8C" w:rsidRDefault="00D37A0B" w:rsidP="004B4F10">
      <w:pPr>
        <w:pStyle w:val="Estilo1"/>
        <w:ind w:left="851" w:right="849"/>
        <w:rPr>
          <w:rFonts w:ascii="Palatino Linotype" w:hAnsi="Palatino Linotype"/>
          <w:color w:val="auto"/>
          <w:sz w:val="18"/>
          <w:szCs w:val="18"/>
          <w:lang w:val="en-US"/>
        </w:rPr>
      </w:pPr>
      <w:bookmarkStart w:id="0" w:name="_Hlk63025530"/>
      <w:r w:rsidRPr="00217E8C">
        <w:rPr>
          <w:rFonts w:ascii="Palatino Linotype" w:hAnsi="Palatino Linotype"/>
          <w:b/>
          <w:bCs/>
          <w:color w:val="auto"/>
          <w:sz w:val="18"/>
          <w:szCs w:val="18"/>
          <w:lang w:val="en-US"/>
        </w:rPr>
        <w:t>Figure S2.</w:t>
      </w:r>
      <w:r w:rsidRPr="00217E8C">
        <w:rPr>
          <w:rFonts w:ascii="Palatino Linotype" w:hAnsi="Palatino Linotype"/>
          <w:color w:val="auto"/>
          <w:sz w:val="18"/>
          <w:szCs w:val="18"/>
          <w:lang w:val="en-US"/>
        </w:rPr>
        <w:t xml:space="preserve"> XRD characterization of fresh nanoparticles and after cycles 1, 5 and 10.</w:t>
      </w:r>
    </w:p>
    <w:bookmarkEnd w:id="0"/>
    <w:p w14:paraId="3CE68D6E" w14:textId="3658F04F" w:rsidR="00D37A0B" w:rsidRDefault="00D37A0B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p w14:paraId="6774C01B" w14:textId="119C38C1" w:rsidR="003741A0" w:rsidRPr="006D755F" w:rsidRDefault="003741A0" w:rsidP="00AD2E8A">
      <w:pPr>
        <w:spacing w:before="480" w:line="276" w:lineRule="auto"/>
        <w:jc w:val="center"/>
        <w:rPr>
          <w:rFonts w:ascii="Palatino Linotype" w:hAnsi="Palatino Linotype" w:cstheme="minorHAnsi"/>
          <w:sz w:val="18"/>
          <w:szCs w:val="18"/>
        </w:rPr>
      </w:pPr>
      <w:r w:rsidRPr="006D755F">
        <w:rPr>
          <w:rFonts w:ascii="Palatino Linotype" w:hAnsi="Palatino Linotype" w:cstheme="minorHAnsi"/>
          <w:b/>
          <w:bCs/>
          <w:sz w:val="18"/>
          <w:szCs w:val="18"/>
        </w:rPr>
        <w:lastRenderedPageBreak/>
        <w:t>Table S2.</w:t>
      </w:r>
      <w:r w:rsidRPr="006D755F">
        <w:rPr>
          <w:rFonts w:ascii="Palatino Linotype" w:hAnsi="Palatino Linotype" w:cstheme="minorHAnsi"/>
          <w:sz w:val="18"/>
          <w:szCs w:val="18"/>
        </w:rPr>
        <w:t xml:space="preserve"> </w:t>
      </w:r>
      <w:bookmarkStart w:id="1" w:name="_Hlk63025639"/>
      <w:r w:rsidRPr="006D755F">
        <w:rPr>
          <w:rFonts w:ascii="Palatino Linotype" w:hAnsi="Palatino Linotype" w:cstheme="minorHAnsi"/>
          <w:sz w:val="18"/>
          <w:szCs w:val="18"/>
        </w:rPr>
        <w:t>Statistic</w:t>
      </w:r>
      <w:r w:rsidR="005277BE" w:rsidRPr="006D755F">
        <w:rPr>
          <w:rFonts w:ascii="Palatino Linotype" w:hAnsi="Palatino Linotype" w:cstheme="minorHAnsi"/>
          <w:sz w:val="18"/>
          <w:szCs w:val="18"/>
        </w:rPr>
        <w:t>al</w:t>
      </w:r>
      <w:r w:rsidRPr="006D755F">
        <w:rPr>
          <w:rFonts w:ascii="Palatino Linotype" w:hAnsi="Palatino Linotype" w:cstheme="minorHAnsi"/>
          <w:sz w:val="18"/>
          <w:szCs w:val="18"/>
        </w:rPr>
        <w:t xml:space="preserve"> parameters obtained from Box-Behnken optimization</w:t>
      </w:r>
      <w:r w:rsidR="006D755F">
        <w:rPr>
          <w:rFonts w:ascii="Palatino Linotype" w:hAnsi="Palatino Linotype" w:cstheme="minorHAnsi"/>
          <w:sz w:val="18"/>
          <w:szCs w:val="18"/>
        </w:rPr>
        <w:t>.</w:t>
      </w:r>
    </w:p>
    <w:bookmarkEnd w:id="1"/>
    <w:tbl>
      <w:tblPr>
        <w:tblStyle w:val="PlainTable2"/>
        <w:tblW w:w="6937" w:type="dxa"/>
        <w:jc w:val="center"/>
        <w:tblLook w:val="04A0" w:firstRow="1" w:lastRow="0" w:firstColumn="1" w:lastColumn="0" w:noHBand="0" w:noVBand="1"/>
      </w:tblPr>
      <w:tblGrid>
        <w:gridCol w:w="1320"/>
        <w:gridCol w:w="1657"/>
        <w:gridCol w:w="1320"/>
        <w:gridCol w:w="1320"/>
        <w:gridCol w:w="1320"/>
      </w:tblGrid>
      <w:tr w:rsidR="003741A0" w:rsidRPr="006D755F" w14:paraId="63D20E65" w14:textId="77777777" w:rsidTr="00E94B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0" w:type="dxa"/>
            <w:noWrap/>
            <w:hideMark/>
          </w:tcPr>
          <w:p w14:paraId="04FAADE5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GB" w:eastAsia="en-GB"/>
              </w:rPr>
            </w:pPr>
          </w:p>
        </w:tc>
        <w:tc>
          <w:tcPr>
            <w:tcW w:w="1657" w:type="dxa"/>
            <w:noWrap/>
            <w:hideMark/>
          </w:tcPr>
          <w:p w14:paraId="1FEDD4C1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Coefficient</w:t>
            </w:r>
          </w:p>
        </w:tc>
        <w:tc>
          <w:tcPr>
            <w:tcW w:w="1320" w:type="dxa"/>
            <w:noWrap/>
            <w:hideMark/>
          </w:tcPr>
          <w:p w14:paraId="0207AA30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σ²</w:t>
            </w:r>
          </w:p>
        </w:tc>
        <w:tc>
          <w:tcPr>
            <w:tcW w:w="1320" w:type="dxa"/>
            <w:noWrap/>
            <w:hideMark/>
          </w:tcPr>
          <w:p w14:paraId="7B189E25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1320" w:type="dxa"/>
            <w:noWrap/>
            <w:hideMark/>
          </w:tcPr>
          <w:p w14:paraId="7A77DFCF" w14:textId="43D363A9" w:rsidR="003741A0" w:rsidRPr="006D755F" w:rsidRDefault="006D755F" w:rsidP="00E94B93">
            <w:pPr>
              <w:pStyle w:val="NoSpacing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val="en-US" w:eastAsia="en-GB"/>
              </w:rPr>
            </w:pPr>
            <w:r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 w:eastAsia="en-GB"/>
              </w:rPr>
              <w:t xml:space="preserve">p </w:t>
            </w:r>
            <w:r>
              <w:rPr>
                <w:rFonts w:ascii="Palatino Linotype" w:hAnsi="Palatino Linotype" w:cstheme="minorHAnsi"/>
                <w:color w:val="000000"/>
                <w:sz w:val="18"/>
                <w:szCs w:val="18"/>
                <w:vertAlign w:val="superscript"/>
                <w:lang w:val="en-US" w:eastAsia="en-GB"/>
              </w:rPr>
              <w:t>1</w:t>
            </w:r>
          </w:p>
        </w:tc>
      </w:tr>
      <w:tr w:rsidR="003741A0" w:rsidRPr="006D755F" w14:paraId="428ED991" w14:textId="77777777" w:rsidTr="00E94B93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C7F1ED2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Average</w:t>
            </w:r>
          </w:p>
        </w:tc>
        <w:tc>
          <w:tcPr>
            <w:tcW w:w="1657" w:type="dxa"/>
            <w:noWrap/>
            <w:vAlign w:val="top"/>
            <w:hideMark/>
          </w:tcPr>
          <w:p w14:paraId="03CE27DF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0.116</w:t>
            </w:r>
          </w:p>
        </w:tc>
        <w:tc>
          <w:tcPr>
            <w:tcW w:w="1320" w:type="dxa"/>
            <w:noWrap/>
            <w:vAlign w:val="top"/>
            <w:hideMark/>
          </w:tcPr>
          <w:p w14:paraId="16DC57BA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0.119</w:t>
            </w:r>
          </w:p>
        </w:tc>
        <w:tc>
          <w:tcPr>
            <w:tcW w:w="1320" w:type="dxa"/>
            <w:noWrap/>
            <w:hideMark/>
          </w:tcPr>
          <w:p w14:paraId="1E1E3983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320" w:type="dxa"/>
            <w:noWrap/>
            <w:hideMark/>
          </w:tcPr>
          <w:p w14:paraId="08912040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</w:p>
        </w:tc>
      </w:tr>
      <w:tr w:rsidR="003741A0" w:rsidRPr="006D755F" w14:paraId="5B91310A" w14:textId="77777777" w:rsidTr="00E94B93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</w:tcPr>
          <w:p w14:paraId="7D3D70DB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A: [Cat]</w:t>
            </w:r>
          </w:p>
        </w:tc>
        <w:tc>
          <w:tcPr>
            <w:tcW w:w="1657" w:type="dxa"/>
            <w:noWrap/>
            <w:vAlign w:val="top"/>
          </w:tcPr>
          <w:p w14:paraId="391F71F4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-0.161</w:t>
            </w:r>
          </w:p>
        </w:tc>
        <w:tc>
          <w:tcPr>
            <w:tcW w:w="1320" w:type="dxa"/>
            <w:noWrap/>
            <w:vAlign w:val="top"/>
          </w:tcPr>
          <w:p w14:paraId="066362CE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0.222</w:t>
            </w:r>
          </w:p>
        </w:tc>
        <w:tc>
          <w:tcPr>
            <w:tcW w:w="1320" w:type="dxa"/>
            <w:noWrap/>
          </w:tcPr>
          <w:p w14:paraId="2DD21F0D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0.53</w:t>
            </w:r>
          </w:p>
        </w:tc>
        <w:tc>
          <w:tcPr>
            <w:tcW w:w="1320" w:type="dxa"/>
            <w:noWrap/>
          </w:tcPr>
          <w:p w14:paraId="70FE019F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0.488</w:t>
            </w:r>
          </w:p>
        </w:tc>
      </w:tr>
      <w:tr w:rsidR="003741A0" w:rsidRPr="006D755F" w14:paraId="5AC9EC6D" w14:textId="77777777" w:rsidTr="00E94B93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C132545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B: [H₂O₂]</w:t>
            </w:r>
          </w:p>
        </w:tc>
        <w:tc>
          <w:tcPr>
            <w:tcW w:w="1657" w:type="dxa"/>
            <w:noWrap/>
            <w:vAlign w:val="top"/>
            <w:hideMark/>
          </w:tcPr>
          <w:p w14:paraId="3589C3B3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0.517</w:t>
            </w:r>
          </w:p>
        </w:tc>
        <w:tc>
          <w:tcPr>
            <w:tcW w:w="1320" w:type="dxa"/>
            <w:noWrap/>
            <w:vAlign w:val="top"/>
            <w:hideMark/>
          </w:tcPr>
          <w:p w14:paraId="012578C8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0.222</w:t>
            </w:r>
          </w:p>
        </w:tc>
        <w:tc>
          <w:tcPr>
            <w:tcW w:w="1320" w:type="dxa"/>
            <w:noWrap/>
            <w:hideMark/>
          </w:tcPr>
          <w:p w14:paraId="15974077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5.43</w:t>
            </w:r>
          </w:p>
        </w:tc>
        <w:tc>
          <w:tcPr>
            <w:tcW w:w="1320" w:type="dxa"/>
            <w:noWrap/>
            <w:hideMark/>
          </w:tcPr>
          <w:p w14:paraId="6690C45C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0.048</w:t>
            </w:r>
          </w:p>
        </w:tc>
      </w:tr>
      <w:tr w:rsidR="003741A0" w:rsidRPr="006D755F" w14:paraId="707167F8" w14:textId="77777777" w:rsidTr="00E94B93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F800271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C: pH</w:t>
            </w:r>
          </w:p>
        </w:tc>
        <w:tc>
          <w:tcPr>
            <w:tcW w:w="1657" w:type="dxa"/>
            <w:noWrap/>
            <w:vAlign w:val="top"/>
            <w:hideMark/>
          </w:tcPr>
          <w:p w14:paraId="3CEA71A8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-2.806</w:t>
            </w:r>
          </w:p>
        </w:tc>
        <w:tc>
          <w:tcPr>
            <w:tcW w:w="1320" w:type="dxa"/>
            <w:noWrap/>
            <w:vAlign w:val="top"/>
            <w:hideMark/>
          </w:tcPr>
          <w:p w14:paraId="09171440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0.222</w:t>
            </w:r>
          </w:p>
        </w:tc>
        <w:tc>
          <w:tcPr>
            <w:tcW w:w="1320" w:type="dxa"/>
            <w:noWrap/>
            <w:hideMark/>
          </w:tcPr>
          <w:p w14:paraId="55708309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160.03</w:t>
            </w:r>
          </w:p>
        </w:tc>
        <w:tc>
          <w:tcPr>
            <w:tcW w:w="1320" w:type="dxa"/>
            <w:noWrap/>
            <w:hideMark/>
          </w:tcPr>
          <w:p w14:paraId="585FDB6A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0.000</w:t>
            </w:r>
          </w:p>
        </w:tc>
      </w:tr>
      <w:tr w:rsidR="003741A0" w:rsidRPr="006D755F" w14:paraId="6E4F6EF0" w14:textId="77777777" w:rsidTr="00E94B93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49AE759A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AC</w:t>
            </w:r>
          </w:p>
        </w:tc>
        <w:tc>
          <w:tcPr>
            <w:tcW w:w="1657" w:type="dxa"/>
            <w:noWrap/>
            <w:vAlign w:val="top"/>
            <w:hideMark/>
          </w:tcPr>
          <w:p w14:paraId="44E26CFC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0.429</w:t>
            </w:r>
          </w:p>
        </w:tc>
        <w:tc>
          <w:tcPr>
            <w:tcW w:w="1320" w:type="dxa"/>
            <w:noWrap/>
            <w:vAlign w:val="top"/>
            <w:hideMark/>
          </w:tcPr>
          <w:p w14:paraId="3D7BE9CC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0.314</w:t>
            </w:r>
          </w:p>
        </w:tc>
        <w:tc>
          <w:tcPr>
            <w:tcW w:w="1320" w:type="dxa"/>
            <w:noWrap/>
            <w:hideMark/>
          </w:tcPr>
          <w:p w14:paraId="55C50050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1.87</w:t>
            </w:r>
          </w:p>
        </w:tc>
        <w:tc>
          <w:tcPr>
            <w:tcW w:w="1320" w:type="dxa"/>
            <w:noWrap/>
            <w:hideMark/>
          </w:tcPr>
          <w:p w14:paraId="01A9E8AA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0.209</w:t>
            </w:r>
          </w:p>
        </w:tc>
      </w:tr>
      <w:tr w:rsidR="003741A0" w:rsidRPr="006D755F" w14:paraId="5646CCE6" w14:textId="77777777" w:rsidTr="00E94B93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85FDB55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BC</w:t>
            </w:r>
          </w:p>
        </w:tc>
        <w:tc>
          <w:tcPr>
            <w:tcW w:w="1657" w:type="dxa"/>
            <w:noWrap/>
            <w:vAlign w:val="top"/>
            <w:hideMark/>
          </w:tcPr>
          <w:p w14:paraId="106E31B6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-1.245</w:t>
            </w:r>
          </w:p>
        </w:tc>
        <w:tc>
          <w:tcPr>
            <w:tcW w:w="1320" w:type="dxa"/>
            <w:noWrap/>
            <w:vAlign w:val="top"/>
            <w:hideMark/>
          </w:tcPr>
          <w:p w14:paraId="6E75C0E5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0.314</w:t>
            </w:r>
          </w:p>
        </w:tc>
        <w:tc>
          <w:tcPr>
            <w:tcW w:w="1320" w:type="dxa"/>
            <w:noWrap/>
            <w:hideMark/>
          </w:tcPr>
          <w:p w14:paraId="367610B8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15.75</w:t>
            </w:r>
          </w:p>
        </w:tc>
        <w:tc>
          <w:tcPr>
            <w:tcW w:w="1320" w:type="dxa"/>
            <w:noWrap/>
            <w:hideMark/>
          </w:tcPr>
          <w:p w14:paraId="6A6C42AD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0.004</w:t>
            </w:r>
          </w:p>
        </w:tc>
      </w:tr>
      <w:tr w:rsidR="003741A0" w:rsidRPr="006D755F" w14:paraId="4EF6F25A" w14:textId="77777777" w:rsidTr="00E94B93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52F7C87" w14:textId="77777777" w:rsidR="003741A0" w:rsidRPr="006D755F" w:rsidRDefault="003741A0" w:rsidP="00E94B93">
            <w:pPr>
              <w:pStyle w:val="NoSpacing"/>
              <w:spacing w:line="276" w:lineRule="auto"/>
              <w:jc w:val="left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CC</w:t>
            </w:r>
          </w:p>
        </w:tc>
        <w:tc>
          <w:tcPr>
            <w:tcW w:w="1657" w:type="dxa"/>
            <w:noWrap/>
            <w:vAlign w:val="top"/>
            <w:hideMark/>
          </w:tcPr>
          <w:p w14:paraId="39C9333D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2.854</w:t>
            </w:r>
          </w:p>
        </w:tc>
        <w:tc>
          <w:tcPr>
            <w:tcW w:w="1320" w:type="dxa"/>
            <w:noWrap/>
            <w:vAlign w:val="top"/>
            <w:hideMark/>
          </w:tcPr>
          <w:p w14:paraId="76BF9016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0.325</w:t>
            </w:r>
          </w:p>
        </w:tc>
        <w:tc>
          <w:tcPr>
            <w:tcW w:w="1320" w:type="dxa"/>
            <w:noWrap/>
            <w:hideMark/>
          </w:tcPr>
          <w:p w14:paraId="2E078F88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77.23</w:t>
            </w:r>
          </w:p>
        </w:tc>
        <w:tc>
          <w:tcPr>
            <w:tcW w:w="1320" w:type="dxa"/>
            <w:noWrap/>
            <w:hideMark/>
          </w:tcPr>
          <w:p w14:paraId="731A31D7" w14:textId="77777777" w:rsidR="003741A0" w:rsidRPr="006D755F" w:rsidRDefault="003741A0" w:rsidP="00E94B9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en-GB"/>
              </w:rPr>
            </w:pPr>
            <w:r w:rsidRPr="006D755F">
              <w:rPr>
                <w:rFonts w:ascii="Palatino Linotype" w:hAnsi="Palatino Linotype" w:cstheme="minorHAnsi"/>
                <w:color w:val="000000"/>
                <w:sz w:val="18"/>
                <w:szCs w:val="18"/>
                <w:lang w:val="en-US"/>
              </w:rPr>
              <w:t>0.000</w:t>
            </w:r>
          </w:p>
        </w:tc>
      </w:tr>
    </w:tbl>
    <w:p w14:paraId="20043874" w14:textId="4E61BE1C" w:rsidR="006F41F6" w:rsidRDefault="006D755F" w:rsidP="00AE3735">
      <w:pPr>
        <w:spacing w:after="160" w:line="259" w:lineRule="auto"/>
        <w:ind w:left="851"/>
        <w:jc w:val="left"/>
      </w:pPr>
      <w:r>
        <w:rPr>
          <w:rFonts w:ascii="Palatino Linotype" w:hAnsi="Palatino Linotype"/>
          <w:sz w:val="18"/>
          <w:szCs w:val="18"/>
          <w:vertAlign w:val="superscript"/>
        </w:rPr>
        <w:t>1</w:t>
      </w:r>
      <w:r w:rsidR="00AE0CC0" w:rsidRPr="006D755F">
        <w:rPr>
          <w:rFonts w:ascii="Palatino Linotype" w:hAnsi="Palatino Linotype"/>
          <w:sz w:val="18"/>
          <w:szCs w:val="18"/>
        </w:rPr>
        <w:t xml:space="preserve"> </w:t>
      </w:r>
      <w:r w:rsidR="00F64A39" w:rsidRPr="006D755F">
        <w:rPr>
          <w:rFonts w:ascii="Palatino Linotype" w:hAnsi="Palatino Linotype" w:cstheme="minorHAnsi"/>
          <w:sz w:val="18"/>
          <w:szCs w:val="18"/>
        </w:rPr>
        <w:t>Considered significant when p &lt; 0.05</w:t>
      </w:r>
      <w:r w:rsidR="006F41F6">
        <w:br w:type="page"/>
      </w:r>
    </w:p>
    <w:p w14:paraId="15C344BF" w14:textId="28B1EFE3" w:rsidR="00796B33" w:rsidRPr="006D755F" w:rsidRDefault="00AD2E8A" w:rsidP="009F261B">
      <w:pPr>
        <w:spacing w:line="276" w:lineRule="auto"/>
        <w:ind w:left="851" w:right="849"/>
        <w:jc w:val="center"/>
        <w:rPr>
          <w:rFonts w:ascii="Palatino Linotype" w:hAnsi="Palatino Linotype" w:cstheme="minorHAnsi"/>
          <w:sz w:val="18"/>
          <w:szCs w:val="18"/>
        </w:rPr>
      </w:pPr>
      <w:bookmarkStart w:id="2" w:name="_Hlk63025732"/>
      <w:bookmarkStart w:id="3" w:name="_Ref12294089"/>
      <w:bookmarkStart w:id="4" w:name="_Ref12294084"/>
      <w:bookmarkStart w:id="5" w:name="_Toc12579748"/>
      <w:r w:rsidRPr="006D755F">
        <w:rPr>
          <w:rFonts w:ascii="Palatino Linotype" w:hAnsi="Palatino Linotype" w:cstheme="minorHAnsi"/>
          <w:b/>
          <w:bCs/>
          <w:sz w:val="18"/>
          <w:szCs w:val="18"/>
        </w:rPr>
        <w:lastRenderedPageBreak/>
        <w:t>Table S3.</w:t>
      </w:r>
      <w:r w:rsidRPr="006D755F">
        <w:rPr>
          <w:rFonts w:ascii="Palatino Linotype" w:hAnsi="Palatino Linotype" w:cstheme="minorHAnsi"/>
          <w:sz w:val="18"/>
          <w:szCs w:val="18"/>
        </w:rPr>
        <w:t xml:space="preserve"> </w:t>
      </w:r>
      <w:proofErr w:type="spellStart"/>
      <w:r w:rsidRPr="006D755F">
        <w:rPr>
          <w:rFonts w:ascii="Palatino Linotype" w:hAnsi="Palatino Linotype" w:cstheme="minorHAnsi"/>
          <w:sz w:val="18"/>
          <w:szCs w:val="18"/>
        </w:rPr>
        <w:t>MicroTox</w:t>
      </w:r>
      <w:proofErr w:type="spellEnd"/>
      <w:r w:rsidRPr="006D755F">
        <w:rPr>
          <w:rFonts w:ascii="Palatino Linotype" w:hAnsi="Palatino Linotype" w:cstheme="minorHAnsi"/>
          <w:sz w:val="18"/>
          <w:szCs w:val="18"/>
        </w:rPr>
        <w:t>® results of different treated effluents</w:t>
      </w:r>
      <w:r w:rsidR="00313633" w:rsidRPr="006D755F">
        <w:rPr>
          <w:rFonts w:ascii="Palatino Linotype" w:hAnsi="Palatino Linotype" w:cstheme="minorHAnsi"/>
          <w:sz w:val="18"/>
          <w:szCs w:val="18"/>
        </w:rPr>
        <w:t xml:space="preserve"> after OII removal </w:t>
      </w:r>
      <w:r w:rsidR="009F261B" w:rsidRPr="006D755F">
        <w:rPr>
          <w:rFonts w:ascii="Palatino Linotype" w:hAnsi="Palatino Linotype" w:cstheme="minorHAnsi"/>
          <w:sz w:val="18"/>
          <w:szCs w:val="18"/>
        </w:rPr>
        <w:t>at lab-scale experiments</w:t>
      </w:r>
      <w:r w:rsidR="006D755F">
        <w:rPr>
          <w:rFonts w:ascii="Palatino Linotype" w:hAnsi="Palatino Linotype" w:cstheme="minorHAnsi"/>
          <w:sz w:val="18"/>
          <w:szCs w:val="18"/>
        </w:rPr>
        <w:t>.</w:t>
      </w:r>
    </w:p>
    <w:tbl>
      <w:tblPr>
        <w:tblStyle w:val="PlainTable2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2127"/>
        <w:gridCol w:w="1587"/>
        <w:gridCol w:w="1587"/>
        <w:gridCol w:w="1587"/>
      </w:tblGrid>
      <w:tr w:rsidR="00796B33" w:rsidRPr="006D755F" w14:paraId="6117EE17" w14:textId="77777777" w:rsidTr="006D75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  <w:jc w:val="center"/>
        </w:trPr>
        <w:tc>
          <w:tcPr>
            <w:tcW w:w="2127" w:type="dxa"/>
          </w:tcPr>
          <w:bookmarkEnd w:id="2"/>
          <w:p w14:paraId="7F311924" w14:textId="77777777" w:rsidR="00796B33" w:rsidRPr="006D755F" w:rsidRDefault="00796B33" w:rsidP="00C41680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Sample</w:t>
            </w:r>
          </w:p>
        </w:tc>
        <w:tc>
          <w:tcPr>
            <w:tcW w:w="1587" w:type="dxa"/>
          </w:tcPr>
          <w:p w14:paraId="199E7E67" w14:textId="77777777" w:rsidR="00796B33" w:rsidRPr="006D755F" w:rsidRDefault="00796B33" w:rsidP="00C41680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vertAlign w:val="subscript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EC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bscript"/>
                <w:lang w:val="en-US"/>
              </w:rPr>
              <w:t>50,5</w:t>
            </w:r>
          </w:p>
        </w:tc>
        <w:tc>
          <w:tcPr>
            <w:tcW w:w="1587" w:type="dxa"/>
          </w:tcPr>
          <w:p w14:paraId="706406DD" w14:textId="77777777" w:rsidR="00796B33" w:rsidRPr="006D755F" w:rsidRDefault="00796B33" w:rsidP="00C41680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vertAlign w:val="subscript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EC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bscript"/>
                <w:lang w:val="en-US"/>
              </w:rPr>
              <w:t>50,15</w:t>
            </w:r>
          </w:p>
        </w:tc>
        <w:tc>
          <w:tcPr>
            <w:tcW w:w="1587" w:type="dxa"/>
          </w:tcPr>
          <w:p w14:paraId="48683722" w14:textId="77777777" w:rsidR="00796B33" w:rsidRPr="006D755F" w:rsidRDefault="00796B33" w:rsidP="00C41680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vertAlign w:val="subscript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EC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bscript"/>
                <w:lang w:val="en-US"/>
              </w:rPr>
              <w:t>50,30</w:t>
            </w:r>
          </w:p>
        </w:tc>
      </w:tr>
      <w:tr w:rsidR="00796B33" w:rsidRPr="006D755F" w14:paraId="4E121423" w14:textId="77777777" w:rsidTr="00C41680">
        <w:trPr>
          <w:jc w:val="center"/>
        </w:trPr>
        <w:tc>
          <w:tcPr>
            <w:tcW w:w="2127" w:type="dxa"/>
          </w:tcPr>
          <w:p w14:paraId="6E15C0EB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Raw water + OII</w:t>
            </w:r>
          </w:p>
        </w:tc>
        <w:tc>
          <w:tcPr>
            <w:tcW w:w="1587" w:type="dxa"/>
          </w:tcPr>
          <w:p w14:paraId="5396EC09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9</w:t>
            </w:r>
          </w:p>
        </w:tc>
        <w:tc>
          <w:tcPr>
            <w:tcW w:w="1587" w:type="dxa"/>
          </w:tcPr>
          <w:p w14:paraId="5FE9E810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5</w:t>
            </w:r>
          </w:p>
        </w:tc>
        <w:tc>
          <w:tcPr>
            <w:tcW w:w="1587" w:type="dxa"/>
          </w:tcPr>
          <w:p w14:paraId="2B78A300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4</w:t>
            </w:r>
          </w:p>
        </w:tc>
      </w:tr>
      <w:tr w:rsidR="00796B33" w:rsidRPr="006D755F" w14:paraId="6328EFEE" w14:textId="77777777" w:rsidTr="00C41680">
        <w:trPr>
          <w:jc w:val="center"/>
        </w:trPr>
        <w:tc>
          <w:tcPr>
            <w:tcW w:w="2127" w:type="dxa"/>
          </w:tcPr>
          <w:p w14:paraId="269B5417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Effluent cycle 1</w:t>
            </w:r>
          </w:p>
        </w:tc>
        <w:tc>
          <w:tcPr>
            <w:tcW w:w="1587" w:type="dxa"/>
          </w:tcPr>
          <w:p w14:paraId="2FF5B3DF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11</w:t>
            </w:r>
          </w:p>
        </w:tc>
        <w:tc>
          <w:tcPr>
            <w:tcW w:w="1587" w:type="dxa"/>
          </w:tcPr>
          <w:p w14:paraId="000250BA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12</w:t>
            </w:r>
          </w:p>
        </w:tc>
        <w:tc>
          <w:tcPr>
            <w:tcW w:w="1587" w:type="dxa"/>
          </w:tcPr>
          <w:p w14:paraId="73DF9375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19</w:t>
            </w:r>
          </w:p>
        </w:tc>
      </w:tr>
      <w:tr w:rsidR="00796B33" w:rsidRPr="006D755F" w14:paraId="46600EEC" w14:textId="77777777" w:rsidTr="00C41680">
        <w:trPr>
          <w:jc w:val="center"/>
        </w:trPr>
        <w:tc>
          <w:tcPr>
            <w:tcW w:w="2127" w:type="dxa"/>
          </w:tcPr>
          <w:p w14:paraId="348971FA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Effluent cycle 5</w:t>
            </w:r>
          </w:p>
        </w:tc>
        <w:tc>
          <w:tcPr>
            <w:tcW w:w="1587" w:type="dxa"/>
          </w:tcPr>
          <w:p w14:paraId="17E6489B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14</w:t>
            </w:r>
          </w:p>
        </w:tc>
        <w:tc>
          <w:tcPr>
            <w:tcW w:w="1587" w:type="dxa"/>
          </w:tcPr>
          <w:p w14:paraId="787C3267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17</w:t>
            </w:r>
          </w:p>
        </w:tc>
        <w:tc>
          <w:tcPr>
            <w:tcW w:w="1587" w:type="dxa"/>
          </w:tcPr>
          <w:p w14:paraId="4FA6A04A" w14:textId="77777777" w:rsidR="00796B33" w:rsidRPr="006D755F" w:rsidRDefault="00796B33" w:rsidP="00C41680">
            <w:pPr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18</w:t>
            </w:r>
          </w:p>
        </w:tc>
      </w:tr>
    </w:tbl>
    <w:p w14:paraId="7F29AB35" w14:textId="5FF51837" w:rsidR="00F602CD" w:rsidRDefault="00F602CD">
      <w:pPr>
        <w:spacing w:after="160" w:line="259" w:lineRule="auto"/>
        <w:jc w:val="left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br w:type="page"/>
      </w:r>
    </w:p>
    <w:p w14:paraId="7C9A0E0E" w14:textId="77777777" w:rsidR="00F602CD" w:rsidRPr="006D755F" w:rsidRDefault="00F602CD" w:rsidP="00F602CD">
      <w:pPr>
        <w:spacing w:line="276" w:lineRule="auto"/>
        <w:jc w:val="center"/>
        <w:rPr>
          <w:rFonts w:ascii="Palatino Linotype" w:hAnsi="Palatino Linotype" w:cstheme="minorHAnsi"/>
        </w:rPr>
      </w:pPr>
      <w:r w:rsidRPr="006D755F">
        <w:rPr>
          <w:rFonts w:ascii="Palatino Linotype" w:hAnsi="Palatino Linotype" w:cstheme="minorHAnsi"/>
          <w:b/>
          <w:bCs/>
          <w:sz w:val="18"/>
          <w:szCs w:val="18"/>
        </w:rPr>
        <w:lastRenderedPageBreak/>
        <w:t>Table S4.</w:t>
      </w:r>
      <w:r w:rsidRPr="006D755F">
        <w:rPr>
          <w:rFonts w:ascii="Palatino Linotype" w:hAnsi="Palatino Linotype" w:cstheme="minorHAnsi"/>
          <w:sz w:val="18"/>
          <w:szCs w:val="18"/>
        </w:rPr>
        <w:t xml:space="preserve"> </w:t>
      </w:r>
      <w:bookmarkStart w:id="6" w:name="_Hlk63025767"/>
      <w:r w:rsidRPr="006D755F">
        <w:rPr>
          <w:rFonts w:ascii="Palatino Linotype" w:hAnsi="Palatino Linotype" w:cstheme="minorHAnsi"/>
          <w:sz w:val="18"/>
          <w:szCs w:val="18"/>
        </w:rPr>
        <w:t>Optimization results for Fenton removal of OII using SBA15/</w:t>
      </w:r>
      <w:proofErr w:type="spellStart"/>
      <w:r w:rsidRPr="006D755F">
        <w:rPr>
          <w:rFonts w:ascii="Palatino Linotype" w:hAnsi="Palatino Linotype" w:cstheme="minorHAnsi"/>
          <w:sz w:val="18"/>
          <w:szCs w:val="18"/>
        </w:rPr>
        <w:t>Fe₃O</w:t>
      </w:r>
      <w:proofErr w:type="spellEnd"/>
      <w:r w:rsidRPr="006D755F">
        <w:rPr>
          <w:rFonts w:ascii="Palatino Linotype" w:hAnsi="Palatino Linotype" w:cstheme="minorHAnsi"/>
          <w:sz w:val="18"/>
          <w:szCs w:val="18"/>
        </w:rPr>
        <w:t>₄@</w:t>
      </w:r>
      <w:proofErr w:type="gramStart"/>
      <w:r w:rsidRPr="006D755F">
        <w:rPr>
          <w:rFonts w:ascii="Palatino Linotype" w:hAnsi="Palatino Linotype" w:cstheme="minorHAnsi"/>
          <w:sz w:val="18"/>
          <w:szCs w:val="18"/>
        </w:rPr>
        <w:t>PAA</w:t>
      </w:r>
      <w:bookmarkEnd w:id="6"/>
      <w:proofErr w:type="gramEnd"/>
    </w:p>
    <w:tbl>
      <w:tblPr>
        <w:tblStyle w:val="PlainTable2"/>
        <w:tblW w:w="0" w:type="auto"/>
        <w:jc w:val="center"/>
        <w:tblLook w:val="0420" w:firstRow="1" w:lastRow="0" w:firstColumn="0" w:lastColumn="0" w:noHBand="0" w:noVBand="1"/>
      </w:tblPr>
      <w:tblGrid>
        <w:gridCol w:w="1417"/>
        <w:gridCol w:w="1560"/>
        <w:gridCol w:w="1275"/>
        <w:gridCol w:w="1418"/>
        <w:gridCol w:w="1418"/>
      </w:tblGrid>
      <w:tr w:rsidR="00F602CD" w:rsidRPr="006D755F" w14:paraId="3975C901" w14:textId="77777777" w:rsidTr="006D75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tcW w:w="1417" w:type="dxa"/>
          </w:tcPr>
          <w:p w14:paraId="3D1A2E64" w14:textId="4C1E0D2E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[Cat]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(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mg Lˉ¹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560" w:type="dxa"/>
          </w:tcPr>
          <w:p w14:paraId="30727D2F" w14:textId="045A3D6B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[H₂O₂]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(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mg Lˉ¹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275" w:type="dxa"/>
          </w:tcPr>
          <w:p w14:paraId="33393929" w14:textId="4F5FFBC8" w:rsidR="00F602CD" w:rsidRPr="006D755F" w:rsidRDefault="006D755F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k </w:t>
            </w:r>
            <w:r w:rsidR="00F602CD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(hˉ¹)</w:t>
            </w:r>
          </w:p>
        </w:tc>
        <w:tc>
          <w:tcPr>
            <w:tcW w:w="1418" w:type="dxa"/>
          </w:tcPr>
          <w:p w14:paraId="35529F81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R²</w:t>
            </w:r>
          </w:p>
        </w:tc>
        <w:tc>
          <w:tcPr>
            <w:tcW w:w="1418" w:type="dxa"/>
          </w:tcPr>
          <w:p w14:paraId="3DBDE7E3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%</w:t>
            </w:r>
            <w:proofErr w:type="spellStart"/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OII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vertAlign w:val="subscript"/>
                <w:lang w:val="en-US"/>
              </w:rPr>
              <w:t>rem</w:t>
            </w:r>
            <w:proofErr w:type="spellEnd"/>
          </w:p>
        </w:tc>
      </w:tr>
      <w:tr w:rsidR="00F602CD" w:rsidRPr="006D755F" w14:paraId="50626C10" w14:textId="77777777" w:rsidTr="006D755F">
        <w:trPr>
          <w:trHeight w:val="340"/>
          <w:jc w:val="center"/>
        </w:trPr>
        <w:tc>
          <w:tcPr>
            <w:tcW w:w="1417" w:type="dxa"/>
          </w:tcPr>
          <w:p w14:paraId="76AD0786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350</w:t>
            </w:r>
          </w:p>
        </w:tc>
        <w:tc>
          <w:tcPr>
            <w:tcW w:w="1560" w:type="dxa"/>
          </w:tcPr>
          <w:p w14:paraId="6706898D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300</w:t>
            </w:r>
          </w:p>
        </w:tc>
        <w:tc>
          <w:tcPr>
            <w:tcW w:w="1275" w:type="dxa"/>
          </w:tcPr>
          <w:p w14:paraId="00D7D964" w14:textId="75435929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.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229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±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0.062</w:t>
            </w:r>
          </w:p>
        </w:tc>
        <w:tc>
          <w:tcPr>
            <w:tcW w:w="1418" w:type="dxa"/>
          </w:tcPr>
          <w:p w14:paraId="73BB8BC5" w14:textId="76896CEC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</w:t>
            </w:r>
            <w:r w:rsidR="00FD42A0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.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98</w:t>
            </w:r>
          </w:p>
        </w:tc>
        <w:tc>
          <w:tcPr>
            <w:tcW w:w="1418" w:type="dxa"/>
          </w:tcPr>
          <w:p w14:paraId="7CEDF87A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97</w:t>
            </w:r>
          </w:p>
        </w:tc>
      </w:tr>
      <w:tr w:rsidR="00F602CD" w:rsidRPr="006D755F" w14:paraId="345B3006" w14:textId="77777777" w:rsidTr="006D755F">
        <w:trPr>
          <w:trHeight w:val="340"/>
          <w:jc w:val="center"/>
        </w:trPr>
        <w:tc>
          <w:tcPr>
            <w:tcW w:w="1417" w:type="dxa"/>
          </w:tcPr>
          <w:p w14:paraId="6AD87282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500</w:t>
            </w:r>
          </w:p>
        </w:tc>
        <w:tc>
          <w:tcPr>
            <w:tcW w:w="1560" w:type="dxa"/>
          </w:tcPr>
          <w:p w14:paraId="0CADD71F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14:paraId="04227757" w14:textId="68433489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.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026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±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0.083</w:t>
            </w:r>
          </w:p>
        </w:tc>
        <w:tc>
          <w:tcPr>
            <w:tcW w:w="1418" w:type="dxa"/>
          </w:tcPr>
          <w:p w14:paraId="3948E520" w14:textId="42C54E49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</w:t>
            </w:r>
            <w:r w:rsidR="00FD42A0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.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97</w:t>
            </w:r>
          </w:p>
        </w:tc>
        <w:tc>
          <w:tcPr>
            <w:tcW w:w="1418" w:type="dxa"/>
          </w:tcPr>
          <w:p w14:paraId="3C8AD005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96</w:t>
            </w:r>
          </w:p>
        </w:tc>
      </w:tr>
      <w:tr w:rsidR="00F602CD" w:rsidRPr="006D755F" w14:paraId="3CBE66C8" w14:textId="77777777" w:rsidTr="006D755F">
        <w:trPr>
          <w:trHeight w:val="340"/>
          <w:jc w:val="center"/>
        </w:trPr>
        <w:tc>
          <w:tcPr>
            <w:tcW w:w="1417" w:type="dxa"/>
          </w:tcPr>
          <w:p w14:paraId="294E38B6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200</w:t>
            </w:r>
          </w:p>
        </w:tc>
        <w:tc>
          <w:tcPr>
            <w:tcW w:w="1560" w:type="dxa"/>
          </w:tcPr>
          <w:p w14:paraId="38E2727D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14:paraId="624EED1D" w14:textId="1060AFC1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.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398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±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0.023</w:t>
            </w:r>
          </w:p>
        </w:tc>
        <w:tc>
          <w:tcPr>
            <w:tcW w:w="1418" w:type="dxa"/>
          </w:tcPr>
          <w:p w14:paraId="08EB6B39" w14:textId="421BF389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</w:t>
            </w:r>
            <w:r w:rsidR="00FD42A0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.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98</w:t>
            </w:r>
          </w:p>
        </w:tc>
        <w:tc>
          <w:tcPr>
            <w:tcW w:w="1418" w:type="dxa"/>
          </w:tcPr>
          <w:p w14:paraId="4A7D1C95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72</w:t>
            </w:r>
          </w:p>
        </w:tc>
      </w:tr>
      <w:tr w:rsidR="00F602CD" w:rsidRPr="006D755F" w14:paraId="5837ABE0" w14:textId="77777777" w:rsidTr="006D755F">
        <w:trPr>
          <w:trHeight w:val="340"/>
          <w:jc w:val="center"/>
        </w:trPr>
        <w:tc>
          <w:tcPr>
            <w:tcW w:w="1417" w:type="dxa"/>
          </w:tcPr>
          <w:p w14:paraId="6F79DAA6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350</w:t>
            </w:r>
          </w:p>
        </w:tc>
        <w:tc>
          <w:tcPr>
            <w:tcW w:w="1560" w:type="dxa"/>
          </w:tcPr>
          <w:p w14:paraId="30C603E6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100</w:t>
            </w:r>
          </w:p>
        </w:tc>
        <w:tc>
          <w:tcPr>
            <w:tcW w:w="1275" w:type="dxa"/>
          </w:tcPr>
          <w:p w14:paraId="3790501E" w14:textId="76680A51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.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121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±</w:t>
            </w:r>
            <w:r w:rsid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="007D5421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0.011</w:t>
            </w:r>
          </w:p>
        </w:tc>
        <w:tc>
          <w:tcPr>
            <w:tcW w:w="1418" w:type="dxa"/>
          </w:tcPr>
          <w:p w14:paraId="365E6644" w14:textId="43AF8713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</w:t>
            </w:r>
            <w:r w:rsidR="00FD42A0"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.</w:t>
            </w: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92</w:t>
            </w:r>
          </w:p>
        </w:tc>
        <w:tc>
          <w:tcPr>
            <w:tcW w:w="1418" w:type="dxa"/>
          </w:tcPr>
          <w:p w14:paraId="5E861099" w14:textId="77777777" w:rsidR="00F602CD" w:rsidRPr="006D755F" w:rsidRDefault="00F602CD" w:rsidP="00C41157">
            <w:pPr>
              <w:pStyle w:val="NoSpacing"/>
              <w:spacing w:line="276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6D755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28</w:t>
            </w:r>
          </w:p>
        </w:tc>
      </w:tr>
    </w:tbl>
    <w:p w14:paraId="31123707" w14:textId="15414858" w:rsidR="00385265" w:rsidRPr="00D27136" w:rsidRDefault="00F602CD" w:rsidP="00F602CD">
      <w:pPr>
        <w:keepNext/>
        <w:spacing w:line="276" w:lineRule="auto"/>
        <w:rPr>
          <w:rFonts w:asciiTheme="minorHAnsi" w:hAnsiTheme="minorHAnsi" w:cstheme="minorHAnsi"/>
          <w:lang w:val="en-US"/>
        </w:rPr>
      </w:pPr>
      <w:r>
        <w:br w:type="page"/>
      </w:r>
      <w:r w:rsidR="00FD42A0">
        <w:rPr>
          <w:noProof/>
        </w:rPr>
        <w:lastRenderedPageBreak/>
        <w:drawing>
          <wp:inline distT="0" distB="0" distL="0" distR="0" wp14:anchorId="6145F4B3" wp14:editId="541DD005">
            <wp:extent cx="5400040" cy="2910205"/>
            <wp:effectExtent l="0" t="0" r="0" b="4445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454BFD85-E01C-4F12-8F30-4B03345BB2A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22D5D83E" w14:textId="6A43D8A7" w:rsidR="00385265" w:rsidRPr="006D755F" w:rsidRDefault="00385265" w:rsidP="00385265">
      <w:pPr>
        <w:pStyle w:val="Estilo37"/>
        <w:spacing w:line="276" w:lineRule="auto"/>
        <w:rPr>
          <w:rFonts w:ascii="Palatino Linotype" w:hAnsi="Palatino Linotype" w:cstheme="minorHAnsi"/>
          <w:sz w:val="18"/>
          <w:szCs w:val="18"/>
          <w:lang w:val="en-GB"/>
        </w:rPr>
      </w:pPr>
      <w:bookmarkStart w:id="7" w:name="_Ref12297192"/>
      <w:bookmarkStart w:id="8" w:name="_Ref12297188"/>
      <w:bookmarkStart w:id="9" w:name="_Toc12552993"/>
      <w:bookmarkStart w:id="10" w:name="_Toc12579803"/>
      <w:r w:rsidRPr="006D755F">
        <w:rPr>
          <w:rFonts w:ascii="Palatino Linotype" w:hAnsi="Palatino Linotype" w:cstheme="minorHAnsi"/>
          <w:b/>
          <w:bCs w:val="0"/>
          <w:sz w:val="18"/>
          <w:szCs w:val="18"/>
          <w:lang w:val="en-GB"/>
        </w:rPr>
        <w:t>Figur</w:t>
      </w:r>
      <w:bookmarkEnd w:id="7"/>
      <w:r w:rsidRPr="006D755F">
        <w:rPr>
          <w:rFonts w:ascii="Palatino Linotype" w:hAnsi="Palatino Linotype" w:cstheme="minorHAnsi"/>
          <w:b/>
          <w:bCs w:val="0"/>
          <w:sz w:val="18"/>
          <w:szCs w:val="18"/>
          <w:lang w:val="en-GB"/>
        </w:rPr>
        <w:t>e S</w:t>
      </w:r>
      <w:r w:rsidR="002A5F7F">
        <w:rPr>
          <w:rFonts w:ascii="Palatino Linotype" w:hAnsi="Palatino Linotype" w:cstheme="minorHAnsi"/>
          <w:b/>
          <w:bCs w:val="0"/>
          <w:sz w:val="18"/>
          <w:szCs w:val="18"/>
          <w:lang w:val="en-GB"/>
        </w:rPr>
        <w:t>3</w:t>
      </w:r>
      <w:r w:rsidRPr="006D755F">
        <w:rPr>
          <w:rFonts w:ascii="Palatino Linotype" w:hAnsi="Palatino Linotype" w:cstheme="minorHAnsi"/>
          <w:b/>
          <w:bCs w:val="0"/>
          <w:sz w:val="18"/>
          <w:szCs w:val="18"/>
          <w:lang w:val="en-GB"/>
        </w:rPr>
        <w:t xml:space="preserve">. </w:t>
      </w:r>
      <w:bookmarkStart w:id="11" w:name="_Hlk63025855"/>
      <w:bookmarkEnd w:id="8"/>
      <w:bookmarkEnd w:id="9"/>
      <w:bookmarkEnd w:id="10"/>
      <w:r w:rsidRPr="006D755F">
        <w:rPr>
          <w:rFonts w:ascii="Palatino Linotype" w:hAnsi="Palatino Linotype" w:cstheme="minorHAnsi"/>
          <w:sz w:val="18"/>
          <w:szCs w:val="18"/>
          <w:lang w:val="en-GB"/>
        </w:rPr>
        <w:t>Kinetic constants (hˉ¹) [blue], TOC [green] and OII removal [orange] for lab-scale Fenton experiments.</w:t>
      </w:r>
      <w:bookmarkEnd w:id="11"/>
    </w:p>
    <w:p w14:paraId="381F7CDD" w14:textId="77777777" w:rsidR="00385265" w:rsidRPr="00D27136" w:rsidRDefault="00385265" w:rsidP="00385265">
      <w:pPr>
        <w:keepNext/>
        <w:spacing w:line="276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highlight w:val="yellow"/>
        </w:rPr>
        <w:br w:type="page"/>
      </w:r>
      <w:r w:rsidRPr="00D27136">
        <w:rPr>
          <w:rFonts w:asciiTheme="minorHAnsi" w:hAnsiTheme="minorHAnsi" w:cstheme="minorHAnsi"/>
          <w:noProof/>
          <w:lang w:val="en-US"/>
        </w:rPr>
        <w:lastRenderedPageBreak/>
        <w:drawing>
          <wp:inline distT="0" distB="0" distL="0" distR="0" wp14:anchorId="238EB48D" wp14:editId="31C4FAB5">
            <wp:extent cx="5551170" cy="2732567"/>
            <wp:effectExtent l="0" t="0" r="0" b="0"/>
            <wp:docPr id="56" name="Gráfico 56">
              <a:extLst xmlns:a="http://schemas.openxmlformats.org/drawingml/2006/main">
                <a:ext uri="{FF2B5EF4-FFF2-40B4-BE49-F238E27FC236}">
                  <a16:creationId xmlns:a16="http://schemas.microsoft.com/office/drawing/2014/main" id="{8EEF47F3-940D-4706-B733-A5C97B86C78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B05EC73" w14:textId="3D199DE0" w:rsidR="00385265" w:rsidRPr="006D755F" w:rsidRDefault="00385265" w:rsidP="00385265">
      <w:pPr>
        <w:pStyle w:val="Estilo37"/>
        <w:spacing w:line="276" w:lineRule="auto"/>
        <w:rPr>
          <w:rFonts w:ascii="Palatino Linotype" w:hAnsi="Palatino Linotype" w:cstheme="minorHAnsi"/>
          <w:sz w:val="18"/>
          <w:szCs w:val="18"/>
          <w:lang w:val="en-GB"/>
        </w:rPr>
      </w:pPr>
      <w:r w:rsidRPr="006D755F">
        <w:rPr>
          <w:rFonts w:ascii="Palatino Linotype" w:hAnsi="Palatino Linotype" w:cstheme="minorHAnsi"/>
          <w:b/>
          <w:bCs w:val="0"/>
          <w:sz w:val="18"/>
          <w:szCs w:val="18"/>
          <w:lang w:val="en-GB"/>
        </w:rPr>
        <w:t>Figure S</w:t>
      </w:r>
      <w:r w:rsidR="00A41225">
        <w:rPr>
          <w:rFonts w:ascii="Palatino Linotype" w:hAnsi="Palatino Linotype" w:cstheme="minorHAnsi"/>
          <w:b/>
          <w:bCs w:val="0"/>
          <w:sz w:val="18"/>
          <w:szCs w:val="18"/>
          <w:lang w:val="en-GB"/>
        </w:rPr>
        <w:t>4</w:t>
      </w:r>
      <w:r w:rsidRPr="006D755F">
        <w:rPr>
          <w:rFonts w:ascii="Palatino Linotype" w:hAnsi="Palatino Linotype" w:cstheme="minorHAnsi"/>
          <w:b/>
          <w:bCs w:val="0"/>
          <w:sz w:val="18"/>
          <w:szCs w:val="18"/>
          <w:lang w:val="en-GB"/>
        </w:rPr>
        <w:t>.</w:t>
      </w:r>
      <w:r w:rsidRPr="006D755F">
        <w:rPr>
          <w:rFonts w:ascii="Palatino Linotype" w:hAnsi="Palatino Linotype" w:cstheme="minorHAnsi"/>
          <w:sz w:val="18"/>
          <w:szCs w:val="18"/>
          <w:lang w:val="en-GB"/>
        </w:rPr>
        <w:t xml:space="preserve"> </w:t>
      </w:r>
      <w:bookmarkStart w:id="12" w:name="_Hlk63025921"/>
      <w:r w:rsidRPr="006D755F">
        <w:rPr>
          <w:rFonts w:ascii="Palatino Linotype" w:hAnsi="Palatino Linotype" w:cstheme="minorHAnsi"/>
          <w:sz w:val="18"/>
          <w:szCs w:val="18"/>
          <w:lang w:val="en-GB"/>
        </w:rPr>
        <w:t>Kinetic constants</w:t>
      </w:r>
      <w:r w:rsidRPr="006D755F">
        <w:rPr>
          <w:rFonts w:ascii="Palatino Linotype" w:hAnsi="Palatino Linotype"/>
          <w:sz w:val="18"/>
          <w:szCs w:val="18"/>
          <w:lang w:val="en-US"/>
        </w:rPr>
        <w:t xml:space="preserve"> (hˉ¹) [blue], TOC [green] and SMX removal [orange] for lab-scale Fenton experiments</w:t>
      </w:r>
      <w:r w:rsidRPr="006D755F">
        <w:rPr>
          <w:rFonts w:ascii="Palatino Linotype" w:hAnsi="Palatino Linotype" w:cstheme="minorHAnsi"/>
          <w:sz w:val="18"/>
          <w:szCs w:val="18"/>
          <w:lang w:val="en-GB"/>
        </w:rPr>
        <w:t>.</w:t>
      </w:r>
      <w:bookmarkEnd w:id="12"/>
    </w:p>
    <w:bookmarkEnd w:id="3"/>
    <w:bookmarkEnd w:id="4"/>
    <w:bookmarkEnd w:id="5"/>
    <w:p w14:paraId="41B9F39A" w14:textId="78710E57" w:rsidR="00385265" w:rsidRPr="00DC53BD" w:rsidRDefault="00385265" w:rsidP="00DC53BD">
      <w:pPr>
        <w:spacing w:after="160" w:line="259" w:lineRule="auto"/>
        <w:jc w:val="left"/>
        <w:rPr>
          <w:rFonts w:asciiTheme="minorHAnsi" w:hAnsiTheme="minorHAnsi"/>
          <w:lang w:val="en-US"/>
        </w:rPr>
      </w:pPr>
    </w:p>
    <w:sectPr w:rsidR="00385265" w:rsidRPr="00DC53BD" w:rsidSect="00AB67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81301C"/>
    <w:multiLevelType w:val="hybridMultilevel"/>
    <w:tmpl w:val="1D083712"/>
    <w:lvl w:ilvl="0" w:tplc="84B0F70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1A0"/>
    <w:rsid w:val="00062435"/>
    <w:rsid w:val="000A5678"/>
    <w:rsid w:val="000B00F9"/>
    <w:rsid w:val="000B4FC4"/>
    <w:rsid w:val="000C602D"/>
    <w:rsid w:val="001200E8"/>
    <w:rsid w:val="00200E31"/>
    <w:rsid w:val="0021507B"/>
    <w:rsid w:val="00217E8C"/>
    <w:rsid w:val="002226A5"/>
    <w:rsid w:val="002A5F7F"/>
    <w:rsid w:val="00313633"/>
    <w:rsid w:val="003741A0"/>
    <w:rsid w:val="00385265"/>
    <w:rsid w:val="003C406C"/>
    <w:rsid w:val="0044569A"/>
    <w:rsid w:val="004B4F10"/>
    <w:rsid w:val="004C26DB"/>
    <w:rsid w:val="004D6BEF"/>
    <w:rsid w:val="005277BE"/>
    <w:rsid w:val="005C2A07"/>
    <w:rsid w:val="00682D95"/>
    <w:rsid w:val="006D755F"/>
    <w:rsid w:val="006F41F6"/>
    <w:rsid w:val="007344E2"/>
    <w:rsid w:val="00796B33"/>
    <w:rsid w:val="007D5421"/>
    <w:rsid w:val="007F7C48"/>
    <w:rsid w:val="00800D1F"/>
    <w:rsid w:val="008C4E57"/>
    <w:rsid w:val="00940AA0"/>
    <w:rsid w:val="00991BD5"/>
    <w:rsid w:val="009C0C14"/>
    <w:rsid w:val="009F261B"/>
    <w:rsid w:val="00A00B0A"/>
    <w:rsid w:val="00A067D4"/>
    <w:rsid w:val="00A41225"/>
    <w:rsid w:val="00AB6795"/>
    <w:rsid w:val="00AD2E8A"/>
    <w:rsid w:val="00AE0CC0"/>
    <w:rsid w:val="00AE3735"/>
    <w:rsid w:val="00C571FB"/>
    <w:rsid w:val="00CF407A"/>
    <w:rsid w:val="00D37A0B"/>
    <w:rsid w:val="00D5221E"/>
    <w:rsid w:val="00DC53BD"/>
    <w:rsid w:val="00E20398"/>
    <w:rsid w:val="00ED3921"/>
    <w:rsid w:val="00EE648A"/>
    <w:rsid w:val="00EF6E67"/>
    <w:rsid w:val="00F2313F"/>
    <w:rsid w:val="00F400BF"/>
    <w:rsid w:val="00F602CD"/>
    <w:rsid w:val="00F64A39"/>
    <w:rsid w:val="00FD42A0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1498A"/>
  <w15:chartTrackingRefBased/>
  <w15:docId w15:val="{DF7E88DF-BE7B-44C7-BFC7-43621D56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1A0"/>
    <w:pPr>
      <w:spacing w:after="0" w:line="360" w:lineRule="auto"/>
      <w:jc w:val="both"/>
    </w:pPr>
    <w:rPr>
      <w:rFonts w:ascii="Times New Roman" w:hAnsi="Times New Roman" w:cs="Times New Roman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1A0"/>
    <w:pPr>
      <w:spacing w:line="240" w:lineRule="auto"/>
      <w:jc w:val="left"/>
    </w:pPr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1A0"/>
    <w:rPr>
      <w:rFonts w:ascii="Segoe UI" w:hAnsi="Segoe UI" w:cs="Segoe UI"/>
      <w:sz w:val="18"/>
      <w:szCs w:val="18"/>
    </w:rPr>
  </w:style>
  <w:style w:type="table" w:styleId="PlainTable2">
    <w:name w:val="Plain Table 2"/>
    <w:aliases w:val="Tabla plantilla"/>
    <w:basedOn w:val="TableNormal"/>
    <w:uiPriority w:val="42"/>
    <w:rsid w:val="003741A0"/>
    <w:pPr>
      <w:spacing w:after="0" w:line="240" w:lineRule="auto"/>
      <w:contextualSpacing/>
      <w:jc w:val="center"/>
    </w:pPr>
    <w:rPr>
      <w:rFonts w:eastAsiaTheme="minorEastAsia" w:cs="Times New Roman"/>
      <w:lang w:val="es-E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mirrorIndents w:val="0"/>
        <w:jc w:val="center"/>
      </w:pPr>
      <w:rPr>
        <w:rFonts w:asciiTheme="minorHAnsi" w:hAnsiTheme="minorHAnsi"/>
        <w:b/>
        <w:bCs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nil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  <w:contextualSpacing/>
        <w:mirrorIndents w:val="0"/>
        <w:jc w:val="left"/>
      </w:pPr>
      <w:rPr>
        <w:b/>
        <w:bCs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pPr>
        <w:wordWrap/>
        <w:spacing w:beforeLines="0" w:before="0" w:beforeAutospacing="0" w:afterLines="0" w:after="0" w:afterAutospacing="0" w:line="240" w:lineRule="exact"/>
        <w:contextualSpacing/>
        <w:mirrorIndents w:val="0"/>
      </w:pPr>
    </w:tblStylePr>
  </w:style>
  <w:style w:type="paragraph" w:styleId="NoSpacing">
    <w:name w:val="No Spacing"/>
    <w:aliases w:val="Texto tablas"/>
    <w:basedOn w:val="Normal"/>
    <w:link w:val="NoSpacingChar"/>
    <w:uiPriority w:val="1"/>
    <w:qFormat/>
    <w:rsid w:val="003741A0"/>
    <w:pPr>
      <w:spacing w:line="240" w:lineRule="auto"/>
    </w:pPr>
    <w:rPr>
      <w:rFonts w:asciiTheme="minorHAnsi" w:eastAsiaTheme="minorEastAsia" w:hAnsiTheme="minorHAnsi"/>
      <w:color w:val="auto"/>
      <w:szCs w:val="32"/>
      <w:lang w:val="es-ES"/>
    </w:rPr>
  </w:style>
  <w:style w:type="character" w:customStyle="1" w:styleId="NoSpacingChar">
    <w:name w:val="No Spacing Char"/>
    <w:aliases w:val="Texto tablas Char"/>
    <w:basedOn w:val="DefaultParagraphFont"/>
    <w:link w:val="NoSpacing"/>
    <w:uiPriority w:val="1"/>
    <w:rsid w:val="003741A0"/>
    <w:rPr>
      <w:rFonts w:eastAsiaTheme="minorEastAsia" w:cs="Times New Roman"/>
      <w:szCs w:val="3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374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41A0"/>
    <w:pPr>
      <w:spacing w:before="240" w:after="240" w:line="240" w:lineRule="auto"/>
    </w:pPr>
    <w:rPr>
      <w:rFonts w:asciiTheme="minorHAnsi" w:eastAsiaTheme="minorEastAsia" w:hAnsiTheme="minorHAnsi"/>
      <w:color w:val="auto"/>
      <w:sz w:val="20"/>
      <w:szCs w:val="20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41A0"/>
    <w:rPr>
      <w:rFonts w:eastAsiaTheme="minorEastAsia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0D1F"/>
    <w:pPr>
      <w:spacing w:before="0" w:after="0"/>
    </w:pPr>
    <w:rPr>
      <w:rFonts w:ascii="Times New Roman" w:eastAsiaTheme="minorHAnsi" w:hAnsi="Times New Roman"/>
      <w:b/>
      <w:bCs/>
      <w:color w:val="000000" w:themeColor="text1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0D1F"/>
    <w:rPr>
      <w:rFonts w:ascii="Times New Roman" w:eastAsiaTheme="minorEastAsia" w:hAnsi="Times New Roman" w:cs="Times New Roman"/>
      <w:b/>
      <w:bCs/>
      <w:color w:val="000000" w:themeColor="text1"/>
      <w:sz w:val="20"/>
      <w:szCs w:val="20"/>
      <w:lang w:val="es-ES"/>
    </w:rPr>
  </w:style>
  <w:style w:type="paragraph" w:customStyle="1" w:styleId="Estilo37">
    <w:name w:val="Estilo37"/>
    <w:basedOn w:val="Normal"/>
    <w:link w:val="Estilo37Car"/>
    <w:qFormat/>
    <w:rsid w:val="00385265"/>
    <w:pPr>
      <w:tabs>
        <w:tab w:val="left" w:pos="1134"/>
        <w:tab w:val="left" w:pos="5387"/>
      </w:tabs>
      <w:spacing w:after="200" w:line="240" w:lineRule="auto"/>
      <w:ind w:left="284" w:right="662"/>
      <w:contextualSpacing/>
    </w:pPr>
    <w:rPr>
      <w:rFonts w:asciiTheme="minorHAnsi" w:eastAsiaTheme="minorEastAsia" w:hAnsiTheme="minorHAnsi"/>
      <w:bCs/>
      <w:iCs/>
      <w:lang w:val="es-ES"/>
    </w:rPr>
  </w:style>
  <w:style w:type="character" w:customStyle="1" w:styleId="Estilo37Car">
    <w:name w:val="Estilo37 Car"/>
    <w:basedOn w:val="DefaultParagraphFont"/>
    <w:link w:val="Estilo37"/>
    <w:rsid w:val="00385265"/>
    <w:rPr>
      <w:rFonts w:eastAsiaTheme="minorEastAsia" w:cs="Times New Roman"/>
      <w:bCs/>
      <w:iCs/>
      <w:color w:val="000000" w:themeColor="text1"/>
      <w:lang w:val="es-ES"/>
    </w:rPr>
  </w:style>
  <w:style w:type="table" w:styleId="TableGrid">
    <w:name w:val="Table Grid"/>
    <w:basedOn w:val="TableNormal"/>
    <w:uiPriority w:val="39"/>
    <w:rsid w:val="00385265"/>
    <w:pPr>
      <w:spacing w:after="0" w:line="240" w:lineRule="auto"/>
    </w:pPr>
    <w:rPr>
      <w:rFonts w:eastAsiaTheme="minorEastAsia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1">
    <w:name w:val="Estilo1"/>
    <w:basedOn w:val="Normal"/>
    <w:link w:val="Estilo1Car"/>
    <w:qFormat/>
    <w:rsid w:val="00385265"/>
    <w:pPr>
      <w:spacing w:line="276" w:lineRule="auto"/>
    </w:pPr>
    <w:rPr>
      <w:rFonts w:asciiTheme="minorHAnsi" w:hAnsiTheme="minorHAnsi"/>
    </w:rPr>
  </w:style>
  <w:style w:type="character" w:customStyle="1" w:styleId="Estilo1Car">
    <w:name w:val="Estilo1 Car"/>
    <w:basedOn w:val="DefaultParagraphFont"/>
    <w:link w:val="Estilo1"/>
    <w:rsid w:val="00385265"/>
    <w:rPr>
      <w:rFonts w:cs="Times New Roman"/>
      <w:color w:val="000000" w:themeColor="text1"/>
    </w:rPr>
  </w:style>
  <w:style w:type="paragraph" w:styleId="ListParagraph">
    <w:name w:val="List Paragraph"/>
    <w:basedOn w:val="Normal"/>
    <w:uiPriority w:val="34"/>
    <w:qFormat/>
    <w:rsid w:val="00AE3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emf"/><Relationship Id="rId5" Type="http://schemas.openxmlformats.org/officeDocument/2006/relationships/styles" Target="style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jpeg"/><Relationship Id="rId4" Type="http://schemas.openxmlformats.org/officeDocument/2006/relationships/numbering" Target="numbering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nubeusc-my.sharepoint.com/personal/jorgegonzalez_rodriguez_usc_es/Documents/Projects/2016_MODENA/Documentos%20Jorge%20Gonz&#225;lez/20190503_CiclosReus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uario\Desktop\SMX%20ciclos\Ciclos%20SMX%20F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775001291207114"/>
          <c:y val="5.2194543297746143E-2"/>
          <c:w val="0.73409979387639168"/>
          <c:h val="0.73298586786971909"/>
        </c:manualLayout>
      </c:layout>
      <c:lineChart>
        <c:grouping val="standard"/>
        <c:varyColors val="0"/>
        <c:ser>
          <c:idx val="0"/>
          <c:order val="0"/>
          <c:tx>
            <c:strRef>
              <c:f>Resumen!$B$17</c:f>
              <c:strCache>
                <c:ptCount val="1"/>
                <c:pt idx="0">
                  <c:v>k PhF (hˉ¹)</c:v>
                </c:pt>
              </c:strCache>
            </c:strRef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6"/>
            <c:spPr>
              <a:noFill/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Resumen!$C$56:$C$65</c:f>
                <c:numCache>
                  <c:formatCode>General</c:formatCode>
                  <c:ptCount val="10"/>
                  <c:pt idx="0">
                    <c:v>2.2740753820958175E-2</c:v>
                  </c:pt>
                  <c:pt idx="1">
                    <c:v>4.4107916037731919E-2</c:v>
                  </c:pt>
                  <c:pt idx="2">
                    <c:v>8.1111822657280903E-3</c:v>
                  </c:pt>
                  <c:pt idx="3">
                    <c:v>3.8897724113279145E-2</c:v>
                  </c:pt>
                  <c:pt idx="4">
                    <c:v>5.5386190383886393E-3</c:v>
                  </c:pt>
                  <c:pt idx="5">
                    <c:v>7.0521128761776653E-3</c:v>
                  </c:pt>
                  <c:pt idx="6">
                    <c:v>5.1893356536386751E-3</c:v>
                  </c:pt>
                  <c:pt idx="7">
                    <c:v>1.1718284993997265E-2</c:v>
                  </c:pt>
                  <c:pt idx="8">
                    <c:v>2.5211244142226499E-2</c:v>
                  </c:pt>
                  <c:pt idx="9">
                    <c:v>1.1355864015690557E-2</c:v>
                  </c:pt>
                </c:numCache>
              </c:numRef>
            </c:plus>
            <c:minus>
              <c:numRef>
                <c:f>Resumen!$C$56:$C$65</c:f>
                <c:numCache>
                  <c:formatCode>General</c:formatCode>
                  <c:ptCount val="10"/>
                  <c:pt idx="0">
                    <c:v>2.2740753820958175E-2</c:v>
                  </c:pt>
                  <c:pt idx="1">
                    <c:v>4.4107916037731919E-2</c:v>
                  </c:pt>
                  <c:pt idx="2">
                    <c:v>8.1111822657280903E-3</c:v>
                  </c:pt>
                  <c:pt idx="3">
                    <c:v>3.8897724113279145E-2</c:v>
                  </c:pt>
                  <c:pt idx="4">
                    <c:v>5.5386190383886393E-3</c:v>
                  </c:pt>
                  <c:pt idx="5">
                    <c:v>7.0521128761776653E-3</c:v>
                  </c:pt>
                  <c:pt idx="6">
                    <c:v>5.1893356536386751E-3</c:v>
                  </c:pt>
                  <c:pt idx="7">
                    <c:v>1.1718284993997265E-2</c:v>
                  </c:pt>
                  <c:pt idx="8">
                    <c:v>2.5211244142226499E-2</c:v>
                  </c:pt>
                  <c:pt idx="9">
                    <c:v>1.1355864015690557E-2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Resumen!$A$19:$A$28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Resumen!$B$56:$B$65</c:f>
              <c:numCache>
                <c:formatCode>0.000</c:formatCode>
                <c:ptCount val="10"/>
                <c:pt idx="0">
                  <c:v>0.53446118586539482</c:v>
                </c:pt>
                <c:pt idx="1">
                  <c:v>0.62093278830947307</c:v>
                </c:pt>
                <c:pt idx="2">
                  <c:v>0.38540512094989432</c:v>
                </c:pt>
                <c:pt idx="3">
                  <c:v>0.47514228070478953</c:v>
                </c:pt>
                <c:pt idx="4">
                  <c:v>0.31653239316032239</c:v>
                </c:pt>
                <c:pt idx="5">
                  <c:v>0.35394834731639369</c:v>
                </c:pt>
                <c:pt idx="6">
                  <c:v>0.27936386261196089</c:v>
                </c:pt>
                <c:pt idx="7">
                  <c:v>0.22055632472914041</c:v>
                </c:pt>
                <c:pt idx="8">
                  <c:v>0.41138683834708795</c:v>
                </c:pt>
                <c:pt idx="9">
                  <c:v>0.29237004733961258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2D5-4156-B39F-0DF7497819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3749944"/>
        <c:axId val="1"/>
      </c:lineChart>
      <c:lineChart>
        <c:grouping val="standard"/>
        <c:varyColors val="0"/>
        <c:ser>
          <c:idx val="1"/>
          <c:order val="1"/>
          <c:tx>
            <c:strRef>
              <c:f>Resumen!$I$17</c:f>
              <c:strCache>
                <c:ptCount val="1"/>
                <c:pt idx="0">
                  <c:v>OII eliminado</c:v>
                </c:pt>
              </c:strCache>
            </c:strRef>
          </c:tx>
          <c:spPr>
            <a:ln w="12700" cap="rnd">
              <a:solidFill>
                <a:schemeClr val="accent2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rgbClr val="F5B487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Resumen!$H$57:$H$66</c:f>
              <c:numCache>
                <c:formatCode>0%</c:formatCode>
                <c:ptCount val="10"/>
                <c:pt idx="0">
                  <c:v>0.69345999999999997</c:v>
                </c:pt>
                <c:pt idx="1">
                  <c:v>0.77729999999999999</c:v>
                </c:pt>
                <c:pt idx="2">
                  <c:v>0.55722000000000005</c:v>
                </c:pt>
                <c:pt idx="3">
                  <c:v>0.69345999999999997</c:v>
                </c:pt>
                <c:pt idx="4">
                  <c:v>0.50482000000000005</c:v>
                </c:pt>
                <c:pt idx="5">
                  <c:v>0.52578000000000003</c:v>
                </c:pt>
                <c:pt idx="6">
                  <c:v>0.46814000000000011</c:v>
                </c:pt>
                <c:pt idx="7">
                  <c:v>0.36071999999999999</c:v>
                </c:pt>
                <c:pt idx="8">
                  <c:v>0.53364</c:v>
                </c:pt>
                <c:pt idx="9">
                  <c:v>0.43669999999999998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2D5-4156-B39F-0DF749781986}"/>
            </c:ext>
          </c:extLst>
        </c:ser>
        <c:ser>
          <c:idx val="2"/>
          <c:order val="2"/>
          <c:tx>
            <c:strRef>
              <c:f>Resumen!$J$17</c:f>
              <c:strCache>
                <c:ptCount val="1"/>
                <c:pt idx="0">
                  <c:v>TOC eliminado</c:v>
                </c:pt>
              </c:strCache>
            </c:strRef>
          </c:tx>
          <c:spPr>
            <a:ln w="12700" cap="rnd">
              <a:solidFill>
                <a:srgbClr val="00B050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rgbClr val="92D050"/>
              </a:solidFill>
              <a:ln w="9525">
                <a:solidFill>
                  <a:srgbClr val="00B050"/>
                </a:solidFill>
              </a:ln>
              <a:effectLst/>
            </c:spPr>
          </c:marker>
          <c:val>
            <c:numRef>
              <c:f>Resumen!$F$57:$F$66</c:f>
              <c:numCache>
                <c:formatCode>0%</c:formatCode>
                <c:ptCount val="10"/>
                <c:pt idx="0">
                  <c:v>0.45610894941634239</c:v>
                </c:pt>
                <c:pt idx="1">
                  <c:v>0.44038910505836576</c:v>
                </c:pt>
                <c:pt idx="2">
                  <c:v>0.51844357976653699</c:v>
                </c:pt>
                <c:pt idx="3">
                  <c:v>0.37603112840466918</c:v>
                </c:pt>
                <c:pt idx="4">
                  <c:v>0.52964980544747087</c:v>
                </c:pt>
                <c:pt idx="5">
                  <c:v>0.53821011673151753</c:v>
                </c:pt>
                <c:pt idx="6">
                  <c:v>0.5302723735408561</c:v>
                </c:pt>
                <c:pt idx="7">
                  <c:v>0.52544747081712062</c:v>
                </c:pt>
                <c:pt idx="8">
                  <c:v>0.44249027237354088</c:v>
                </c:pt>
                <c:pt idx="9">
                  <c:v>0.33073929961089493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2D5-4156-B39F-0DF7497819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0192976"/>
        <c:axId val="901065640"/>
      </c:lineChart>
      <c:catAx>
        <c:axId val="3737499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8" charset="0"/>
                    <a:ea typeface="Cambria" panose="02040503050406030204" pitchFamily="18" charset="0"/>
                    <a:cs typeface="+mn-cs"/>
                  </a:defRPr>
                </a:pPr>
                <a:r>
                  <a:rPr lang="en-GB"/>
                  <a:t>Cycle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Palatino Linotype" panose="02040502050505030304" pitchFamily="18" charset="0"/>
                  <a:ea typeface="Cambria" panose="02040503050406030204" pitchFamily="18" charset="0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8" charset="0"/>
                <a:ea typeface="Cambria" panose="02040503050406030204" pitchFamily="18" charset="0"/>
                <a:cs typeface="+mn-cs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noMultiLvlLbl val="1"/>
      </c:catAx>
      <c:valAx>
        <c:axId val="1"/>
        <c:scaling>
          <c:orientation val="minMax"/>
          <c:max val="2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8" charset="0"/>
                    <a:ea typeface="Cambria" panose="02040503050406030204" pitchFamily="18" charset="0"/>
                    <a:cs typeface="+mn-cs"/>
                  </a:defRPr>
                </a:pPr>
                <a:r>
                  <a:rPr lang="en-GB"/>
                  <a:t>k (hˉ¹)</a:t>
                </a:r>
              </a:p>
            </c:rich>
          </c:tx>
          <c:layout>
            <c:manualLayout>
              <c:xMode val="edge"/>
              <c:yMode val="edge"/>
              <c:x val="1.1926058437686345E-2"/>
              <c:y val="0.3533966617162179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Palatino Linotype" panose="02040502050505030304" pitchFamily="18" charset="0"/>
                  <a:ea typeface="Cambria" panose="02040503050406030204" pitchFamily="18" charset="0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8" charset="0"/>
                <a:ea typeface="Cambria" panose="02040503050406030204" pitchFamily="18" charset="0"/>
                <a:cs typeface="+mn-cs"/>
              </a:defRPr>
            </a:pPr>
            <a:endParaRPr lang="en-US"/>
          </a:p>
        </c:txPr>
        <c:crossAx val="373749944"/>
        <c:crosses val="autoZero"/>
        <c:crossBetween val="between"/>
      </c:valAx>
      <c:valAx>
        <c:axId val="901065640"/>
        <c:scaling>
          <c:orientation val="minMax"/>
          <c:max val="1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8" charset="0"/>
                    <a:ea typeface="Cambria" panose="02040503050406030204" pitchFamily="18" charset="0"/>
                    <a:cs typeface="+mn-cs"/>
                  </a:defRPr>
                </a:pPr>
                <a:r>
                  <a:rPr lang="en-GB"/>
                  <a:t>OII/TOC removal</a:t>
                </a:r>
              </a:p>
            </c:rich>
          </c:tx>
          <c:layout>
            <c:manualLayout>
              <c:xMode val="edge"/>
              <c:yMode val="edge"/>
              <c:x val="0.93301086022565605"/>
              <c:y val="0.2310361382763098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Palatino Linotype" panose="02040502050505030304" pitchFamily="18" charset="0"/>
                  <a:ea typeface="Cambria" panose="02040503050406030204" pitchFamily="18" charset="0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8" charset="0"/>
                <a:ea typeface="Cambria" panose="02040503050406030204" pitchFamily="18" charset="0"/>
                <a:cs typeface="+mn-cs"/>
              </a:defRPr>
            </a:pPr>
            <a:endParaRPr lang="en-US"/>
          </a:p>
        </c:txPr>
        <c:crossAx val="1060192976"/>
        <c:crosses val="max"/>
        <c:crossBetween val="between"/>
        <c:majorUnit val="0.2"/>
      </c:valAx>
      <c:catAx>
        <c:axId val="1060192976"/>
        <c:scaling>
          <c:orientation val="minMax"/>
        </c:scaling>
        <c:delete val="1"/>
        <c:axPos val="b"/>
        <c:majorTickMark val="out"/>
        <c:minorTickMark val="none"/>
        <c:tickLblPos val="nextTo"/>
        <c:crossAx val="90106564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 b="0">
          <a:solidFill>
            <a:sysClr val="windowText" lastClr="000000"/>
          </a:solidFill>
          <a:latin typeface="Palatino Linotype" panose="02040502050505030304" pitchFamily="18" charset="0"/>
          <a:ea typeface="Cambria" panose="02040503050406030204" pitchFamily="18" charset="0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775001291207114"/>
          <c:y val="5.2194543297746143E-2"/>
          <c:w val="0.73409979387639168"/>
          <c:h val="0.8009032598735808"/>
        </c:manualLayout>
      </c:layout>
      <c:lineChart>
        <c:grouping val="standard"/>
        <c:varyColors val="0"/>
        <c:ser>
          <c:idx val="0"/>
          <c:order val="0"/>
          <c:tx>
            <c:strRef>
              <c:f>General!$G$3</c:f>
              <c:strCache>
                <c:ptCount val="1"/>
                <c:pt idx="0">
                  <c:v>k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6"/>
            <c:spPr>
              <a:noFill/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General!$H$4:$H$13</c:f>
                <c:numCache>
                  <c:formatCode>General</c:formatCode>
                  <c:ptCount val="10"/>
                  <c:pt idx="0">
                    <c:v>6.2826629906755291E-3</c:v>
                  </c:pt>
                  <c:pt idx="1">
                    <c:v>0</c:v>
                  </c:pt>
                  <c:pt idx="2">
                    <c:v>9.3946896398021909E-2</c:v>
                  </c:pt>
                  <c:pt idx="3">
                    <c:v>6.4725870880004222E-3</c:v>
                  </c:pt>
                  <c:pt idx="4">
                    <c:v>5.7755602424061324E-2</c:v>
                  </c:pt>
                  <c:pt idx="5">
                    <c:v>2.2132123113061546E-2</c:v>
                  </c:pt>
                  <c:pt idx="6">
                    <c:v>8.4487284379005014E-3</c:v>
                  </c:pt>
                  <c:pt idx="7">
                    <c:v>4.8811653227293327E-3</c:v>
                  </c:pt>
                  <c:pt idx="8">
                    <c:v>0</c:v>
                  </c:pt>
                  <c:pt idx="9">
                    <c:v>1.9133800561826793E-3</c:v>
                  </c:pt>
                </c:numCache>
              </c:numRef>
            </c:plus>
            <c:minus>
              <c:numRef>
                <c:f>General!$H$4:$H$13</c:f>
                <c:numCache>
                  <c:formatCode>General</c:formatCode>
                  <c:ptCount val="10"/>
                  <c:pt idx="0">
                    <c:v>6.2826629906755291E-3</c:v>
                  </c:pt>
                  <c:pt idx="1">
                    <c:v>0</c:v>
                  </c:pt>
                  <c:pt idx="2">
                    <c:v>9.3946896398021909E-2</c:v>
                  </c:pt>
                  <c:pt idx="3">
                    <c:v>6.4725870880004222E-3</c:v>
                  </c:pt>
                  <c:pt idx="4">
                    <c:v>5.7755602424061324E-2</c:v>
                  </c:pt>
                  <c:pt idx="5">
                    <c:v>2.2132123113061546E-2</c:v>
                  </c:pt>
                  <c:pt idx="6">
                    <c:v>8.4487284379005014E-3</c:v>
                  </c:pt>
                  <c:pt idx="7">
                    <c:v>4.8811653227293327E-3</c:v>
                  </c:pt>
                  <c:pt idx="8">
                    <c:v>0</c:v>
                  </c:pt>
                  <c:pt idx="9">
                    <c:v>1.9133800561826793E-3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accent1"/>
                </a:solidFill>
                <a:round/>
              </a:ln>
              <a:effectLst/>
            </c:spPr>
          </c:errBars>
          <c:cat>
            <c:numRef>
              <c:f>[1]Hoja1!$G$3:$G$12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General!$G$4:$G$13</c:f>
              <c:numCache>
                <c:formatCode>General</c:formatCode>
                <c:ptCount val="10"/>
                <c:pt idx="0">
                  <c:v>0.16058892544522871</c:v>
                </c:pt>
                <c:pt idx="1">
                  <c:v>0.23041853477530128</c:v>
                </c:pt>
                <c:pt idx="2">
                  <c:v>0.12064987656674951</c:v>
                </c:pt>
                <c:pt idx="3">
                  <c:v>3.5899936730020302E-2</c:v>
                </c:pt>
                <c:pt idx="4">
                  <c:v>0.10443571748830041</c:v>
                </c:pt>
                <c:pt idx="5">
                  <c:v>0.12980058717916027</c:v>
                </c:pt>
                <c:pt idx="6">
                  <c:v>0.11850460179746183</c:v>
                </c:pt>
                <c:pt idx="7">
                  <c:v>0.11701263153403305</c:v>
                </c:pt>
                <c:pt idx="8">
                  <c:v>0.11712851434204184</c:v>
                </c:pt>
                <c:pt idx="9">
                  <c:v>0.11779786348256707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47C-4C0B-9DB0-590218F893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3749944"/>
        <c:axId val="1"/>
      </c:lineChart>
      <c:lineChart>
        <c:grouping val="standard"/>
        <c:varyColors val="0"/>
        <c:ser>
          <c:idx val="1"/>
          <c:order val="1"/>
          <c:tx>
            <c:strRef>
              <c:f>General!$I$3</c:f>
              <c:strCache>
                <c:ptCount val="1"/>
                <c:pt idx="0">
                  <c:v>SMX% elim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rgbClr val="F4B184"/>
              </a:solidFill>
              <a:ln w="9525">
                <a:solidFill>
                  <a:schemeClr val="accent2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General!$J$4:$J$13</c:f>
                <c:numCache>
                  <c:formatCode>General</c:formatCode>
                  <c:ptCount val="10"/>
                  <c:pt idx="0">
                    <c:v>5.0702287429038487E-4</c:v>
                  </c:pt>
                  <c:pt idx="1">
                    <c:v>4.7349505734802649E-2</c:v>
                  </c:pt>
                  <c:pt idx="3">
                    <c:v>4.5766941707867569E-2</c:v>
                  </c:pt>
                  <c:pt idx="4">
                    <c:v>0.13042862027945429</c:v>
                  </c:pt>
                  <c:pt idx="5">
                    <c:v>4.5766941707867569E-2</c:v>
                  </c:pt>
                  <c:pt idx="6">
                    <c:v>1.5687992063898377E-2</c:v>
                  </c:pt>
                  <c:pt idx="7">
                    <c:v>4.3054751075696424E-2</c:v>
                  </c:pt>
                  <c:pt idx="8">
                    <c:v>6.0879358559452743E-2</c:v>
                  </c:pt>
                  <c:pt idx="9">
                    <c:v>1.4368803857676847E-2</c:v>
                  </c:pt>
                </c:numCache>
              </c:numRef>
            </c:plus>
            <c:minus>
              <c:numRef>
                <c:f>General!$J$4:$J$13</c:f>
                <c:numCache>
                  <c:formatCode>General</c:formatCode>
                  <c:ptCount val="10"/>
                  <c:pt idx="0">
                    <c:v>5.0702287429038487E-4</c:v>
                  </c:pt>
                  <c:pt idx="1">
                    <c:v>4.7349505734802649E-2</c:v>
                  </c:pt>
                  <c:pt idx="3">
                    <c:v>4.5766941707867569E-2</c:v>
                  </c:pt>
                  <c:pt idx="4">
                    <c:v>0.13042862027945429</c:v>
                  </c:pt>
                  <c:pt idx="5">
                    <c:v>4.5766941707867569E-2</c:v>
                  </c:pt>
                  <c:pt idx="6">
                    <c:v>1.5687992063898377E-2</c:v>
                  </c:pt>
                  <c:pt idx="7">
                    <c:v>4.3054751075696424E-2</c:v>
                  </c:pt>
                  <c:pt idx="8">
                    <c:v>6.0879358559452743E-2</c:v>
                  </c:pt>
                  <c:pt idx="9">
                    <c:v>1.4368803857676847E-2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accent2"/>
                </a:solidFill>
                <a:round/>
              </a:ln>
              <a:effectLst/>
            </c:spPr>
          </c:errBars>
          <c:val>
            <c:numRef>
              <c:f>General!$I$4:$I$13</c:f>
              <c:numCache>
                <c:formatCode>0%</c:formatCode>
                <c:ptCount val="10"/>
                <c:pt idx="0">
                  <c:v>0.49086288024164093</c:v>
                </c:pt>
                <c:pt idx="1">
                  <c:v>0.56866642047237992</c:v>
                </c:pt>
                <c:pt idx="2">
                  <c:v>0.52683989354858485</c:v>
                </c:pt>
                <c:pt idx="3">
                  <c:v>0.53387279414206135</c:v>
                </c:pt>
                <c:pt idx="4">
                  <c:v>0.28976616786177223</c:v>
                </c:pt>
                <c:pt idx="5">
                  <c:v>0.48812272598572776</c:v>
                </c:pt>
                <c:pt idx="6">
                  <c:v>0.29593026461284372</c:v>
                </c:pt>
                <c:pt idx="7">
                  <c:v>0.29752663176102495</c:v>
                </c:pt>
                <c:pt idx="8">
                  <c:v>0.36782367199540622</c:v>
                </c:pt>
                <c:pt idx="9">
                  <c:v>0.31297091344604444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47C-4C0B-9DB0-590218F893C0}"/>
            </c:ext>
          </c:extLst>
        </c:ser>
        <c:ser>
          <c:idx val="2"/>
          <c:order val="2"/>
          <c:tx>
            <c:strRef>
              <c:f>General!$O$3</c:f>
              <c:strCache>
                <c:ptCount val="1"/>
                <c:pt idx="0">
                  <c:v>%TOCmedio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rgbClr val="92D050"/>
              </a:solidFill>
              <a:ln w="9525">
                <a:solidFill>
                  <a:srgbClr val="00B050"/>
                </a:solidFill>
              </a:ln>
              <a:effectLst/>
            </c:spPr>
          </c:marker>
          <c:dPt>
            <c:idx val="3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3-847C-4C0B-9DB0-590218F893C0}"/>
              </c:ext>
            </c:extLst>
          </c:dPt>
          <c:errBars>
            <c:errDir val="y"/>
            <c:errBarType val="both"/>
            <c:errValType val="cust"/>
            <c:noEndCap val="0"/>
            <c:plus>
              <c:numRef>
                <c:f>General!$P$4:$P$13</c:f>
                <c:numCache>
                  <c:formatCode>General</c:formatCode>
                  <c:ptCount val="10"/>
                  <c:pt idx="0">
                    <c:v>3.6584344378285547E-2</c:v>
                  </c:pt>
                  <c:pt idx="2">
                    <c:v>0.21493302322242672</c:v>
                  </c:pt>
                  <c:pt idx="4">
                    <c:v>5.6248429481613862E-2</c:v>
                  </c:pt>
                  <c:pt idx="5">
                    <c:v>1.4004944332312419E-2</c:v>
                  </c:pt>
                  <c:pt idx="6">
                    <c:v>4.9160212758320929E-2</c:v>
                  </c:pt>
                  <c:pt idx="7">
                    <c:v>0.10014964273555635</c:v>
                  </c:pt>
                  <c:pt idx="8">
                    <c:v>7.7570242689583041E-2</c:v>
                  </c:pt>
                  <c:pt idx="9">
                    <c:v>7.7741731803856141E-3</c:v>
                  </c:pt>
                </c:numCache>
              </c:numRef>
            </c:plus>
            <c:minus>
              <c:numRef>
                <c:f>General!$P$4:$P$13</c:f>
                <c:numCache>
                  <c:formatCode>General</c:formatCode>
                  <c:ptCount val="10"/>
                  <c:pt idx="0">
                    <c:v>3.6584344378285547E-2</c:v>
                  </c:pt>
                  <c:pt idx="2">
                    <c:v>0.21493302322242672</c:v>
                  </c:pt>
                  <c:pt idx="4">
                    <c:v>5.6248429481613862E-2</c:v>
                  </c:pt>
                  <c:pt idx="5">
                    <c:v>1.4004944332312419E-2</c:v>
                  </c:pt>
                  <c:pt idx="6">
                    <c:v>4.9160212758320929E-2</c:v>
                  </c:pt>
                  <c:pt idx="7">
                    <c:v>0.10014964273555635</c:v>
                  </c:pt>
                  <c:pt idx="8">
                    <c:v>7.7570242689583041E-2</c:v>
                  </c:pt>
                  <c:pt idx="9">
                    <c:v>7.7741731803856141E-3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accent6"/>
                </a:solidFill>
                <a:round/>
              </a:ln>
              <a:effectLst/>
            </c:spPr>
          </c:errBars>
          <c:val>
            <c:numRef>
              <c:f>General!$O$4:$O$13</c:f>
              <c:numCache>
                <c:formatCode>General</c:formatCode>
                <c:ptCount val="10"/>
                <c:pt idx="0">
                  <c:v>0.17784963621665317</c:v>
                </c:pt>
                <c:pt idx="1">
                  <c:v>0.40614389652384808</c:v>
                </c:pt>
                <c:pt idx="2">
                  <c:v>0.2450282942603072</c:v>
                </c:pt>
                <c:pt idx="3">
                  <c:v>0.22607113985448668</c:v>
                </c:pt>
                <c:pt idx="4">
                  <c:v>0.20711398544866616</c:v>
                </c:pt>
                <c:pt idx="5">
                  <c:v>0.33075990299110747</c:v>
                </c:pt>
                <c:pt idx="6">
                  <c:v>0.1285367825383994</c:v>
                </c:pt>
                <c:pt idx="7">
                  <c:v>0.15052546483427651</c:v>
                </c:pt>
                <c:pt idx="8">
                  <c:v>0.27134195634599845</c:v>
                </c:pt>
                <c:pt idx="9">
                  <c:v>0.40808407437348421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47C-4C0B-9DB0-590218F893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0192976"/>
        <c:axId val="901065640"/>
      </c:lineChart>
      <c:catAx>
        <c:axId val="3737499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8" charset="0"/>
                    <a:ea typeface="Cambria" panose="02040503050406030204" pitchFamily="18" charset="0"/>
                    <a:cs typeface="+mn-cs"/>
                  </a:defRPr>
                </a:pPr>
                <a:r>
                  <a:rPr lang="en-GB"/>
                  <a:t>Cycle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Palatino Linotype" panose="02040502050505030304" pitchFamily="18" charset="0"/>
                  <a:ea typeface="Cambria" panose="02040503050406030204" pitchFamily="18" charset="0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8" charset="0"/>
                <a:ea typeface="Cambria" panose="02040503050406030204" pitchFamily="18" charset="0"/>
                <a:cs typeface="+mn-cs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noMultiLvlLbl val="1"/>
      </c:catAx>
      <c:valAx>
        <c:axId val="1"/>
        <c:scaling>
          <c:orientation val="minMax"/>
          <c:max val="2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8" charset="0"/>
                    <a:ea typeface="Cambria" panose="02040503050406030204" pitchFamily="18" charset="0"/>
                    <a:cs typeface="+mn-cs"/>
                  </a:defRPr>
                </a:pPr>
                <a:r>
                  <a:rPr lang="en-GB"/>
                  <a:t>k (hˉ¹)</a:t>
                </a:r>
              </a:p>
            </c:rich>
          </c:tx>
          <c:layout>
            <c:manualLayout>
              <c:xMode val="edge"/>
              <c:yMode val="edge"/>
              <c:x val="1.1926058437686345E-2"/>
              <c:y val="0.3533966617162179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Palatino Linotype" panose="02040502050505030304" pitchFamily="18" charset="0"/>
                  <a:ea typeface="Cambria" panose="02040503050406030204" pitchFamily="18" charset="0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8" charset="0"/>
                <a:ea typeface="Cambria" panose="02040503050406030204" pitchFamily="18" charset="0"/>
                <a:cs typeface="+mn-cs"/>
              </a:defRPr>
            </a:pPr>
            <a:endParaRPr lang="en-US"/>
          </a:p>
        </c:txPr>
        <c:crossAx val="373749944"/>
        <c:crosses val="autoZero"/>
        <c:crossBetween val="between"/>
        <c:majorUnit val="0.4"/>
      </c:valAx>
      <c:valAx>
        <c:axId val="901065640"/>
        <c:scaling>
          <c:orientation val="minMax"/>
          <c:max val="1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8" charset="0"/>
                    <a:ea typeface="Cambria" panose="02040503050406030204" pitchFamily="18" charset="0"/>
                    <a:cs typeface="+mn-cs"/>
                  </a:defRPr>
                </a:pPr>
                <a:r>
                  <a:rPr lang="en-GB"/>
                  <a:t>SMX/TOC removal</a:t>
                </a:r>
              </a:p>
            </c:rich>
          </c:tx>
          <c:layout>
            <c:manualLayout>
              <c:xMode val="edge"/>
              <c:yMode val="edge"/>
              <c:x val="0.93301086022565605"/>
              <c:y val="0.2310361382763098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Palatino Linotype" panose="02040502050505030304" pitchFamily="18" charset="0"/>
                  <a:ea typeface="Cambria" panose="02040503050406030204" pitchFamily="18" charset="0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8" charset="0"/>
                <a:ea typeface="Cambria" panose="02040503050406030204" pitchFamily="18" charset="0"/>
                <a:cs typeface="+mn-cs"/>
              </a:defRPr>
            </a:pPr>
            <a:endParaRPr lang="en-US"/>
          </a:p>
        </c:txPr>
        <c:crossAx val="1060192976"/>
        <c:crosses val="max"/>
        <c:crossBetween val="between"/>
        <c:majorUnit val="0.2"/>
      </c:valAx>
      <c:catAx>
        <c:axId val="1060192976"/>
        <c:scaling>
          <c:orientation val="minMax"/>
        </c:scaling>
        <c:delete val="1"/>
        <c:axPos val="b"/>
        <c:majorTickMark val="out"/>
        <c:minorTickMark val="none"/>
        <c:tickLblPos val="nextTo"/>
        <c:crossAx val="90106564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 b="0">
          <a:solidFill>
            <a:sysClr val="windowText" lastClr="000000"/>
          </a:solidFill>
          <a:latin typeface="Palatino Linotype" panose="02040502050505030304" pitchFamily="18" charset="0"/>
          <a:ea typeface="Cambria" panose="020405030504060302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03447E259DF84EB859FE5148C9A8D9" ma:contentTypeVersion="13" ma:contentTypeDescription="Crear nuevo documento." ma:contentTypeScope="" ma:versionID="6d4d6f5d4a220c8e0c3f496c2c0a44c8">
  <xsd:schema xmlns:xsd="http://www.w3.org/2001/XMLSchema" xmlns:xs="http://www.w3.org/2001/XMLSchema" xmlns:p="http://schemas.microsoft.com/office/2006/metadata/properties" xmlns:ns3="27bc49df-6b37-43a4-a201-315c59dcabdc" xmlns:ns4="9a30165f-2685-4e1f-a773-e4d64995e0d5" targetNamespace="http://schemas.microsoft.com/office/2006/metadata/properties" ma:root="true" ma:fieldsID="1998607deb4e1d24fe156e61e72554cc" ns3:_="" ns4:_="">
    <xsd:import namespace="27bc49df-6b37-43a4-a201-315c59dcabdc"/>
    <xsd:import namespace="9a30165f-2685-4e1f-a773-e4d64995e0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c49df-6b37-43a4-a201-315c59dcab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0165f-2685-4e1f-a773-e4d64995e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4B017D-62E1-47F1-BC54-B6E0BE81C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393143-C2E6-4A22-9245-568DC10F3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c49df-6b37-43a4-a201-315c59dcabdc"/>
    <ds:schemaRef ds:uri="9a30165f-2685-4e1f-a773-e4d64995e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389E5-7FC1-4AEB-93D1-A5F3C9824D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RODRIGUEZ JORGE</dc:creator>
  <cp:keywords/>
  <dc:description/>
  <cp:lastModifiedBy>GONZALEZ RODRIGUEZ JORGE</cp:lastModifiedBy>
  <cp:revision>2</cp:revision>
  <dcterms:created xsi:type="dcterms:W3CDTF">2021-02-15T10:29:00Z</dcterms:created>
  <dcterms:modified xsi:type="dcterms:W3CDTF">2021-02-15T10:29:00Z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0x010100F203447E259DF84EB859FE5148C9A8D9</vt:lpwstr>
  </property>
</Properties>
</file>