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F2F3" w14:textId="7DDA2259" w:rsidR="00BC66C7" w:rsidRPr="00F5330A" w:rsidRDefault="00830BF8" w:rsidP="00F5330A">
      <w:pPr>
        <w:jc w:val="center"/>
        <w:rPr>
          <w:rFonts w:ascii="Palatino Linotype" w:hAnsi="Palatino Linotype"/>
          <w:b/>
          <w:bCs/>
          <w:sz w:val="36"/>
          <w:szCs w:val="40"/>
        </w:rPr>
      </w:pPr>
      <w:r w:rsidRPr="00F5330A">
        <w:rPr>
          <w:rFonts w:ascii="Palatino Linotype" w:hAnsi="Palatino Linotype"/>
          <w:b/>
          <w:bCs/>
          <w:sz w:val="36"/>
          <w:szCs w:val="40"/>
        </w:rPr>
        <w:t>Supporting Information</w:t>
      </w:r>
    </w:p>
    <w:p w14:paraId="174AF8B5" w14:textId="77777777" w:rsidR="00830BF8" w:rsidRPr="00830BF8" w:rsidRDefault="00830BF8">
      <w:pPr>
        <w:rPr>
          <w:rFonts w:ascii="Palatino Linotype" w:hAnsi="Palatino Linotype"/>
        </w:rPr>
      </w:pPr>
    </w:p>
    <w:p w14:paraId="49B886E3" w14:textId="77777777" w:rsidR="003F1922" w:rsidRPr="00C11126" w:rsidRDefault="003F1922" w:rsidP="003F1922">
      <w:pPr>
        <w:pStyle w:val="MDPI12title"/>
        <w:rPr>
          <w:color w:val="auto"/>
          <w:szCs w:val="36"/>
        </w:rPr>
      </w:pPr>
      <w:bookmarkStart w:id="0" w:name="_Hlk149672023"/>
      <w:bookmarkStart w:id="1" w:name="_Hlk149672020"/>
      <w:r w:rsidRPr="00516406">
        <w:rPr>
          <w:color w:val="auto"/>
        </w:rPr>
        <w:t>Tailoring</w:t>
      </w:r>
      <w:r>
        <w:rPr>
          <w:color w:val="auto"/>
        </w:rPr>
        <w:t xml:space="preserve"> a</w:t>
      </w:r>
      <w:r w:rsidRPr="00516406">
        <w:rPr>
          <w:color w:val="auto"/>
        </w:rPr>
        <w:t xml:space="preserve"> N-Doped Nanoporous </w:t>
      </w:r>
      <w:r w:rsidRPr="00C11126">
        <w:rPr>
          <w:color w:val="auto"/>
          <w:szCs w:val="36"/>
        </w:rPr>
        <w:t>Carbon Host for a Stable Lithium Metal Anode</w:t>
      </w:r>
    </w:p>
    <w:bookmarkEnd w:id="1"/>
    <w:p w14:paraId="3FFD1755" w14:textId="77777777" w:rsidR="003F1922" w:rsidRPr="00C11126" w:rsidRDefault="003F1922" w:rsidP="003F1922">
      <w:pPr>
        <w:pStyle w:val="MDPI13authornames"/>
        <w:rPr>
          <w:color w:val="auto"/>
        </w:rPr>
      </w:pPr>
      <w:r w:rsidRPr="00C11126">
        <w:rPr>
          <w:color w:val="auto"/>
        </w:rPr>
        <w:t xml:space="preserve">In-Hwan Lee </w:t>
      </w:r>
      <w:r w:rsidRPr="00C11126">
        <w:rPr>
          <w:color w:val="auto"/>
          <w:vertAlign w:val="superscript"/>
        </w:rPr>
        <w:t>1</w:t>
      </w:r>
      <w:r w:rsidRPr="00C11126">
        <w:rPr>
          <w:rFonts w:cs="Arial"/>
          <w:color w:val="auto"/>
          <w:szCs w:val="17"/>
          <w:shd w:val="clear" w:color="auto" w:fill="FFFFFF"/>
          <w:vertAlign w:val="superscript"/>
        </w:rPr>
        <w:t>,</w:t>
      </w:r>
      <w:r w:rsidRPr="00C11126">
        <w:rPr>
          <w:rFonts w:eastAsia="Malgun Gothic" w:cs="Arial"/>
          <w:color w:val="auto"/>
          <w:szCs w:val="17"/>
          <w:shd w:val="clear" w:color="auto" w:fill="FFFFFF"/>
          <w:vertAlign w:val="superscript"/>
        </w:rPr>
        <w:t>†</w:t>
      </w:r>
      <w:r w:rsidRPr="00C11126">
        <w:rPr>
          <w:color w:val="auto"/>
        </w:rPr>
        <w:t xml:space="preserve">, Yongsheng Jin </w:t>
      </w:r>
      <w:r w:rsidRPr="00C11126">
        <w:rPr>
          <w:color w:val="auto"/>
          <w:vertAlign w:val="superscript"/>
        </w:rPr>
        <w:t>1</w:t>
      </w:r>
      <w:r w:rsidRPr="00C11126">
        <w:rPr>
          <w:rFonts w:cs="Arial"/>
          <w:color w:val="auto"/>
          <w:szCs w:val="17"/>
          <w:shd w:val="clear" w:color="auto" w:fill="FFFFFF"/>
          <w:vertAlign w:val="superscript"/>
        </w:rPr>
        <w:t>,</w:t>
      </w:r>
      <w:r w:rsidRPr="00C11126">
        <w:rPr>
          <w:rFonts w:eastAsia="Malgun Gothic" w:cs="Arial"/>
          <w:color w:val="auto"/>
          <w:szCs w:val="17"/>
          <w:shd w:val="clear" w:color="auto" w:fill="FFFFFF"/>
          <w:vertAlign w:val="superscript"/>
        </w:rPr>
        <w:t>†</w:t>
      </w:r>
      <w:r w:rsidRPr="00C11126">
        <w:rPr>
          <w:color w:val="auto"/>
        </w:rPr>
        <w:t xml:space="preserve">, Hyeon-Sik Jang </w:t>
      </w:r>
      <w:r w:rsidRPr="00C11126">
        <w:rPr>
          <w:color w:val="auto"/>
          <w:vertAlign w:val="superscript"/>
        </w:rPr>
        <w:t>2,</w:t>
      </w:r>
      <w:r w:rsidRPr="00C11126">
        <w:rPr>
          <w:color w:val="auto"/>
        </w:rPr>
        <w:t xml:space="preserve">* and Dongmok Whang </w:t>
      </w:r>
      <w:r w:rsidRPr="00C11126">
        <w:rPr>
          <w:color w:val="auto"/>
          <w:vertAlign w:val="superscript"/>
        </w:rPr>
        <w:t>1,</w:t>
      </w:r>
      <w:r w:rsidRPr="00C11126">
        <w:rPr>
          <w:color w:val="auto"/>
        </w:rPr>
        <w:t>*</w:t>
      </w:r>
    </w:p>
    <w:p w14:paraId="6B74DE16" w14:textId="047A5736" w:rsidR="003F1922" w:rsidRPr="00516406" w:rsidRDefault="003F1922" w:rsidP="003F1922">
      <w:pPr>
        <w:pStyle w:val="MDPI16affiliation"/>
        <w:rPr>
          <w:color w:val="auto"/>
        </w:rPr>
      </w:pPr>
      <w:bookmarkStart w:id="2" w:name="_Hlk149672027"/>
      <w:bookmarkEnd w:id="0"/>
      <w:r w:rsidRPr="00516406">
        <w:rPr>
          <w:color w:val="auto"/>
          <w:vertAlign w:val="superscript"/>
        </w:rPr>
        <w:t>1</w:t>
      </w:r>
      <w:r w:rsidRPr="00516406">
        <w:rPr>
          <w:color w:val="auto"/>
        </w:rPr>
        <w:tab/>
        <w:t xml:space="preserve">Department of Advanced Materials Science and Engineering, Sungkyunkwan University (SKKU), Suwon 16419, Republic of Korea; </w:t>
      </w:r>
      <w:r w:rsidRPr="00350677">
        <w:rPr>
          <w:color w:val="auto"/>
        </w:rPr>
        <w:t>koggiree24@skku.edu (I.-H.L.); jinzuyeye@skku.edu (Y.J.)</w:t>
      </w:r>
    </w:p>
    <w:p w14:paraId="7D78D365" w14:textId="77777777" w:rsidR="003F1922" w:rsidRPr="00516406" w:rsidRDefault="003F1922" w:rsidP="003F1922">
      <w:pPr>
        <w:pStyle w:val="MDPI16affiliation"/>
        <w:rPr>
          <w:color w:val="auto"/>
        </w:rPr>
      </w:pPr>
      <w:r w:rsidRPr="00516406">
        <w:rPr>
          <w:color w:val="auto"/>
          <w:vertAlign w:val="superscript"/>
        </w:rPr>
        <w:t>2</w:t>
      </w:r>
      <w:r w:rsidRPr="00516406">
        <w:rPr>
          <w:color w:val="auto"/>
        </w:rPr>
        <w:tab/>
        <w:t xml:space="preserve">School of Semiconductor Science &amp; Technology, Jeonbuk National University, </w:t>
      </w:r>
      <w:r>
        <w:rPr>
          <w:color w:val="auto"/>
        </w:rPr>
        <w:br/>
      </w:r>
      <w:r w:rsidRPr="00516406">
        <w:rPr>
          <w:color w:val="auto"/>
        </w:rPr>
        <w:t>Jeonju 54896, Republic of Korea</w:t>
      </w:r>
    </w:p>
    <w:p w14:paraId="1F52CEFE" w14:textId="77777777" w:rsidR="003F1922" w:rsidRPr="00516406" w:rsidRDefault="003F1922" w:rsidP="003F1922">
      <w:pPr>
        <w:pStyle w:val="MDPI16affiliation"/>
        <w:rPr>
          <w:color w:val="auto"/>
        </w:rPr>
      </w:pPr>
      <w:r w:rsidRPr="00516406">
        <w:rPr>
          <w:color w:val="auto"/>
        </w:rPr>
        <w:t>*</w:t>
      </w:r>
      <w:r w:rsidRPr="00516406">
        <w:rPr>
          <w:color w:val="auto"/>
        </w:rPr>
        <w:tab/>
        <w:t>Correspondence: hsjang88@jbnu.ac.kr (H.-S.J.)</w:t>
      </w:r>
      <w:r>
        <w:rPr>
          <w:color w:val="auto"/>
        </w:rPr>
        <w:t xml:space="preserve">; </w:t>
      </w:r>
      <w:r w:rsidRPr="00516406">
        <w:rPr>
          <w:color w:val="auto"/>
        </w:rPr>
        <w:t>dwhang@skku.edu (D.W</w:t>
      </w:r>
      <w:r>
        <w:rPr>
          <w:color w:val="auto"/>
        </w:rPr>
        <w:t>.)</w:t>
      </w:r>
    </w:p>
    <w:p w14:paraId="46DB9F25" w14:textId="77777777" w:rsidR="003F1922" w:rsidRPr="00516406" w:rsidRDefault="003F1922" w:rsidP="003F1922">
      <w:pPr>
        <w:pStyle w:val="MDPI16affiliation"/>
        <w:rPr>
          <w:color w:val="auto"/>
        </w:rPr>
      </w:pPr>
      <w:r w:rsidRPr="00516406">
        <w:rPr>
          <w:rFonts w:eastAsia="Malgun Gothic" w:cs="Arial"/>
          <w:color w:val="auto"/>
          <w:sz w:val="17"/>
          <w:szCs w:val="17"/>
          <w:shd w:val="clear" w:color="auto" w:fill="FFFFFF"/>
          <w:vertAlign w:val="superscript"/>
        </w:rPr>
        <w:t>†</w:t>
      </w:r>
      <w:r w:rsidRPr="00516406">
        <w:rPr>
          <w:color w:val="auto"/>
        </w:rPr>
        <w:tab/>
        <w:t>These authors contributed equally to this work.</w:t>
      </w:r>
    </w:p>
    <w:bookmarkEnd w:id="2"/>
    <w:p w14:paraId="515F1234" w14:textId="77777777" w:rsidR="00830BF8" w:rsidRDefault="00830BF8">
      <w:pPr>
        <w:widowControl/>
        <w:wordWrap/>
        <w:autoSpaceDE/>
        <w:autoSpaceDN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7E867F46" w14:textId="45342B2F" w:rsidR="00830BF8" w:rsidRDefault="00830BF8" w:rsidP="00830BF8">
      <w:pPr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lastRenderedPageBreak/>
        <w:drawing>
          <wp:inline distT="0" distB="0" distL="0" distR="0" wp14:anchorId="05A9136D" wp14:editId="60CC81AC">
            <wp:extent cx="2880000" cy="2203104"/>
            <wp:effectExtent l="0" t="0" r="0" b="6985"/>
            <wp:docPr id="636164379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20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F7378" w14:textId="13645EBF" w:rsidR="00830BF8" w:rsidRDefault="00830BF8" w:rsidP="00830BF8">
      <w:pPr>
        <w:spacing w:after="240" w:line="360" w:lineRule="auto"/>
        <w:ind w:rightChars="47" w:right="94"/>
        <w:jc w:val="center"/>
        <w:rPr>
          <w:rFonts w:ascii="Times New Roman" w:eastAsia="Dotum" w:hAnsi="Times New Roman" w:cs="Times New Roman"/>
          <w:color w:val="000000"/>
          <w:sz w:val="24"/>
          <w:szCs w:val="24"/>
        </w:rPr>
      </w:pPr>
      <w:r w:rsidRPr="00830BF8">
        <w:rPr>
          <w:rFonts w:ascii="Palatino Linotype" w:hAnsi="Palatino Linotype" w:hint="eastAsia"/>
          <w:b/>
          <w:bCs/>
        </w:rPr>
        <w:t>F</w:t>
      </w:r>
      <w:r w:rsidRPr="00830BF8">
        <w:rPr>
          <w:rFonts w:ascii="Palatino Linotype" w:hAnsi="Palatino Linotype"/>
          <w:b/>
          <w:bCs/>
        </w:rPr>
        <w:t>igure S1.</w:t>
      </w:r>
      <w:r>
        <w:rPr>
          <w:rFonts w:ascii="Palatino Linotype" w:hAnsi="Palatino Linotype"/>
        </w:rPr>
        <w:t xml:space="preserve"> </w:t>
      </w:r>
      <w:r>
        <w:rPr>
          <w:rFonts w:ascii="Times New Roman" w:eastAsia="Dotum" w:hAnsi="Times New Roman" w:cs="Times New Roman"/>
          <w:color w:val="000000"/>
          <w:sz w:val="24"/>
          <w:szCs w:val="24"/>
        </w:rPr>
        <w:t>N</w:t>
      </w:r>
      <w:r w:rsidRPr="00B52879">
        <w:rPr>
          <w:rFonts w:ascii="Times New Roman" w:eastAsia="Dotum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Dotum" w:hAnsi="Times New Roman" w:cs="Times New Roman"/>
          <w:color w:val="000000"/>
          <w:sz w:val="24"/>
          <w:szCs w:val="24"/>
        </w:rPr>
        <w:t xml:space="preserve"> adsorption-desorption isotherm of CZ-8.</w:t>
      </w:r>
    </w:p>
    <w:p w14:paraId="0C939364" w14:textId="77777777" w:rsidR="00830BF8" w:rsidRDefault="00830BF8">
      <w:pPr>
        <w:widowControl/>
        <w:wordWrap/>
        <w:autoSpaceDE/>
        <w:autoSpaceDN/>
        <w:rPr>
          <w:rFonts w:ascii="Times New Roman" w:eastAsia="Dotum" w:hAnsi="Times New Roman" w:cs="Times New Roman"/>
          <w:color w:val="000000"/>
          <w:sz w:val="24"/>
          <w:szCs w:val="24"/>
        </w:rPr>
      </w:pPr>
      <w:r>
        <w:rPr>
          <w:rFonts w:ascii="Times New Roman" w:eastAsia="Dotum" w:hAnsi="Times New Roman" w:cs="Times New Roman"/>
          <w:color w:val="000000"/>
          <w:sz w:val="24"/>
          <w:szCs w:val="24"/>
        </w:rPr>
        <w:br w:type="page"/>
      </w:r>
    </w:p>
    <w:p w14:paraId="065F5C4B" w14:textId="412B34C3" w:rsidR="00830BF8" w:rsidRPr="00830BF8" w:rsidRDefault="00F5330A" w:rsidP="00830BF8">
      <w:pPr>
        <w:spacing w:after="240" w:line="360" w:lineRule="auto"/>
        <w:ind w:rightChars="47" w:right="94"/>
        <w:rPr>
          <w:rFonts w:ascii="Times New Roman" w:eastAsia="Dotum" w:hAnsi="Times New Roman" w:cs="Times New Roman"/>
          <w:color w:val="000000"/>
          <w:sz w:val="24"/>
          <w:szCs w:val="24"/>
        </w:rPr>
      </w:pPr>
      <w:r>
        <w:rPr>
          <w:rFonts w:ascii="Times New Roman" w:eastAsia="Dotum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58DA821B" wp14:editId="5A9C81C4">
            <wp:extent cx="5702300" cy="4343400"/>
            <wp:effectExtent l="0" t="0" r="0" b="0"/>
            <wp:docPr id="1306174499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110F5" w14:textId="7713DA26" w:rsidR="000A0B62" w:rsidRDefault="000A0B62" w:rsidP="00830BF8">
      <w:pPr>
        <w:rPr>
          <w:rFonts w:ascii="Palatino Linotype" w:hAnsi="Palatino Linotype"/>
        </w:rPr>
      </w:pPr>
      <w:r w:rsidRPr="000A0B62">
        <w:rPr>
          <w:rFonts w:ascii="Palatino Linotype" w:hAnsi="Palatino Linotype" w:hint="eastAsia"/>
          <w:b/>
          <w:bCs/>
        </w:rPr>
        <w:t>F</w:t>
      </w:r>
      <w:r w:rsidRPr="000A0B62">
        <w:rPr>
          <w:rFonts w:ascii="Palatino Linotype" w:hAnsi="Palatino Linotype"/>
          <w:b/>
          <w:bCs/>
        </w:rPr>
        <w:t>igure S2.</w:t>
      </w:r>
      <w:r>
        <w:rPr>
          <w:rFonts w:ascii="Palatino Linotype" w:hAnsi="Palatino Linotype"/>
        </w:rPr>
        <w:t xml:space="preserve"> </w:t>
      </w:r>
      <w:r w:rsidRPr="000A0B62">
        <w:rPr>
          <w:rFonts w:ascii="Palatino Linotype" w:hAnsi="Palatino Linotype"/>
        </w:rPr>
        <w:t>The full-scan XPS spectra</w:t>
      </w:r>
      <w:r>
        <w:rPr>
          <w:rFonts w:ascii="Palatino Linotype" w:hAnsi="Palatino Linotype"/>
        </w:rPr>
        <w:t xml:space="preserve"> of (a) CZ-6, (b) CZ-8, (c) CZ-9, </w:t>
      </w:r>
      <w:r w:rsidR="00D355F1">
        <w:rPr>
          <w:rFonts w:ascii="Palatino Linotype" w:hAnsi="Palatino Linotype"/>
        </w:rPr>
        <w:t xml:space="preserve">and </w:t>
      </w:r>
      <w:r>
        <w:rPr>
          <w:rFonts w:ascii="Palatino Linotype" w:hAnsi="Palatino Linotype"/>
        </w:rPr>
        <w:t>(d) CZ-10.</w:t>
      </w:r>
    </w:p>
    <w:p w14:paraId="5FF4576C" w14:textId="77777777" w:rsidR="000A0B62" w:rsidRDefault="000A0B62">
      <w:pPr>
        <w:widowControl/>
        <w:wordWrap/>
        <w:autoSpaceDE/>
        <w:autoSpaceDN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14210306" w14:textId="6774637E" w:rsidR="00830BF8" w:rsidRDefault="000A0B62" w:rsidP="00830BF8">
      <w:pPr>
        <w:rPr>
          <w:rFonts w:ascii="Palatino Linotype" w:hAnsi="Palatino Linotype"/>
        </w:rPr>
      </w:pPr>
      <w:r>
        <w:rPr>
          <w:rFonts w:ascii="Palatino Linotype" w:hAnsi="Palatino Linotype" w:hint="eastAsia"/>
          <w:noProof/>
        </w:rPr>
        <w:lastRenderedPageBreak/>
        <w:drawing>
          <wp:inline distT="0" distB="0" distL="0" distR="0" wp14:anchorId="2AE00561" wp14:editId="7165918F">
            <wp:extent cx="5727700" cy="2241550"/>
            <wp:effectExtent l="0" t="0" r="6350" b="6350"/>
            <wp:docPr id="611310720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B1ED0" w14:textId="53F45F0D" w:rsidR="001940F0" w:rsidRDefault="000A0B62" w:rsidP="00830BF8">
      <w:pPr>
        <w:rPr>
          <w:rFonts w:ascii="Palatino Linotype" w:hAnsi="Palatino Linotype"/>
        </w:rPr>
      </w:pPr>
      <w:r w:rsidRPr="000A0B62">
        <w:rPr>
          <w:rFonts w:ascii="Palatino Linotype" w:hAnsi="Palatino Linotype" w:hint="eastAsia"/>
          <w:b/>
          <w:bCs/>
        </w:rPr>
        <w:t>F</w:t>
      </w:r>
      <w:r w:rsidRPr="000A0B62">
        <w:rPr>
          <w:rFonts w:ascii="Palatino Linotype" w:hAnsi="Palatino Linotype"/>
          <w:b/>
          <w:bCs/>
        </w:rPr>
        <w:t>igure S3.</w:t>
      </w:r>
      <w:r>
        <w:rPr>
          <w:rFonts w:ascii="Palatino Linotype" w:hAnsi="Palatino Linotype"/>
        </w:rPr>
        <w:t xml:space="preserve"> </w:t>
      </w:r>
      <w:r w:rsidRPr="000A0B62">
        <w:rPr>
          <w:rFonts w:ascii="Palatino Linotype" w:hAnsi="Palatino Linotype"/>
        </w:rPr>
        <w:t xml:space="preserve">Coulombic efficiency of </w:t>
      </w:r>
      <w:r w:rsidR="00D355F1" w:rsidRPr="00D355F1">
        <w:rPr>
          <w:rFonts w:ascii="Palatino Linotype" w:hAnsi="Palatino Linotype"/>
        </w:rPr>
        <w:t xml:space="preserve">CZ-6, CZ-8, CZ-9, and CZ-10 </w:t>
      </w:r>
      <w:r w:rsidRPr="000A0B62">
        <w:rPr>
          <w:rFonts w:ascii="Palatino Linotype" w:hAnsi="Palatino Linotype"/>
        </w:rPr>
        <w:t>electrodes at current density of (a) 1 mA cm</w:t>
      </w:r>
      <w:r w:rsidRPr="000A0B62">
        <w:rPr>
          <w:rFonts w:ascii="Palatino Linotype" w:hAnsi="Palatino Linotype"/>
          <w:vertAlign w:val="superscript"/>
        </w:rPr>
        <w:t>-2</w:t>
      </w:r>
      <w:r w:rsidRPr="000A0B62">
        <w:rPr>
          <w:rFonts w:ascii="Palatino Linotype" w:hAnsi="Palatino Linotype"/>
        </w:rPr>
        <w:t>, (b) 2</w:t>
      </w:r>
      <w:r w:rsidR="00D355F1">
        <w:rPr>
          <w:rFonts w:ascii="Palatino Linotype" w:hAnsi="Palatino Linotype"/>
        </w:rPr>
        <w:t xml:space="preserve"> </w:t>
      </w:r>
      <w:r w:rsidRPr="000A0B62">
        <w:rPr>
          <w:rFonts w:ascii="Palatino Linotype" w:hAnsi="Palatino Linotype"/>
        </w:rPr>
        <w:t>mA cm</w:t>
      </w:r>
      <w:r w:rsidRPr="000A0B62">
        <w:rPr>
          <w:rFonts w:ascii="Palatino Linotype" w:hAnsi="Palatino Linotype"/>
          <w:vertAlign w:val="superscript"/>
        </w:rPr>
        <w:t>-2</w:t>
      </w:r>
      <w:r w:rsidRPr="000A0B62">
        <w:rPr>
          <w:rFonts w:ascii="Palatino Linotype" w:hAnsi="Palatino Linotype"/>
        </w:rPr>
        <w:t>.</w:t>
      </w:r>
    </w:p>
    <w:p w14:paraId="754328DE" w14:textId="77777777" w:rsidR="001940F0" w:rsidRDefault="001940F0">
      <w:pPr>
        <w:widowControl/>
        <w:wordWrap/>
        <w:autoSpaceDE/>
        <w:autoSpaceDN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058396F3" w14:textId="7CE190CC" w:rsidR="00B36393" w:rsidRPr="00F16A1C" w:rsidRDefault="00D355F1" w:rsidP="00D355F1">
      <w:pPr>
        <w:spacing w:after="0" w:line="360" w:lineRule="auto"/>
        <w:ind w:rightChars="47" w:right="94"/>
        <w:jc w:val="center"/>
        <w:rPr>
          <w:rFonts w:ascii="Palatino Linotype" w:eastAsia="Dotum" w:hAnsi="Palatino Linotype" w:cs="Times New Roman"/>
          <w:szCs w:val="20"/>
        </w:rPr>
      </w:pPr>
      <w:r w:rsidRPr="00F16A1C">
        <w:rPr>
          <w:rFonts w:ascii="Palatino Linotype" w:eastAsia="Dotum" w:hAnsi="Palatino Linotype" w:cs="Times New Roman"/>
          <w:b/>
          <w:bCs/>
          <w:szCs w:val="20"/>
        </w:rPr>
        <w:lastRenderedPageBreak/>
        <w:t>Table</w:t>
      </w:r>
      <w:r w:rsidR="00B36393" w:rsidRPr="00F16A1C">
        <w:rPr>
          <w:rFonts w:ascii="Palatino Linotype" w:eastAsia="Dotum" w:hAnsi="Palatino Linotype" w:cs="Times New Roman"/>
          <w:b/>
          <w:bCs/>
          <w:szCs w:val="20"/>
        </w:rPr>
        <w:t xml:space="preserve"> S</w:t>
      </w:r>
      <w:r w:rsidRPr="00F16A1C">
        <w:rPr>
          <w:rFonts w:ascii="Palatino Linotype" w:eastAsia="Dotum" w:hAnsi="Palatino Linotype" w:cs="Times New Roman"/>
          <w:b/>
          <w:bCs/>
          <w:szCs w:val="20"/>
        </w:rPr>
        <w:t>1</w:t>
      </w:r>
      <w:r w:rsidR="00B36393" w:rsidRPr="00F16A1C">
        <w:rPr>
          <w:rFonts w:ascii="Palatino Linotype" w:eastAsia="Dotum" w:hAnsi="Palatino Linotype" w:cs="Times New Roman"/>
          <w:b/>
          <w:bCs/>
          <w:szCs w:val="20"/>
        </w:rPr>
        <w:t>.</w:t>
      </w:r>
      <w:r w:rsidR="00B36393" w:rsidRPr="00F16A1C">
        <w:rPr>
          <w:rFonts w:ascii="Palatino Linotype" w:eastAsia="Dotum" w:hAnsi="Palatino Linotype" w:cs="Times New Roman"/>
          <w:szCs w:val="20"/>
        </w:rPr>
        <w:t xml:space="preserve"> Fitting results of all elements of the equivalent circuit model.</w:t>
      </w:r>
    </w:p>
    <w:p w14:paraId="1C9C1A0B" w14:textId="75A3FD04" w:rsidR="00D355F1" w:rsidRPr="00F16A1C" w:rsidRDefault="00D355F1" w:rsidP="00D355F1">
      <w:pPr>
        <w:spacing w:line="360" w:lineRule="auto"/>
        <w:ind w:rightChars="47" w:right="94"/>
        <w:jc w:val="center"/>
        <w:rPr>
          <w:rFonts w:ascii="Palatino Linotype" w:eastAsia="Dotum" w:hAnsi="Palatino Linotype" w:cs="Times New Roman"/>
          <w:szCs w:val="20"/>
        </w:rPr>
      </w:pPr>
      <w:r w:rsidRPr="00F16A1C">
        <w:rPr>
          <w:noProof/>
        </w:rPr>
        <w:drawing>
          <wp:inline distT="0" distB="0" distL="0" distR="0" wp14:anchorId="2F2E7DF0" wp14:editId="25A220DA">
            <wp:extent cx="4320000" cy="812214"/>
            <wp:effectExtent l="0" t="0" r="4445" b="6985"/>
            <wp:docPr id="1470203975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812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A4D58" w14:textId="77777777" w:rsidR="001940F0" w:rsidRPr="00D355F1" w:rsidRDefault="001940F0" w:rsidP="00830BF8">
      <w:pPr>
        <w:rPr>
          <w:rFonts w:ascii="Palatino Linotype" w:hAnsi="Palatino Linotype"/>
        </w:rPr>
      </w:pPr>
    </w:p>
    <w:sectPr w:rsidR="001940F0" w:rsidRPr="00D355F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E83A2" w14:textId="77777777" w:rsidR="00C465E7" w:rsidRDefault="00C465E7" w:rsidP="001940F0">
      <w:pPr>
        <w:spacing w:after="0" w:line="240" w:lineRule="auto"/>
      </w:pPr>
      <w:r>
        <w:separator/>
      </w:r>
    </w:p>
  </w:endnote>
  <w:endnote w:type="continuationSeparator" w:id="0">
    <w:p w14:paraId="53044743" w14:textId="77777777" w:rsidR="00C465E7" w:rsidRDefault="00C465E7" w:rsidP="0019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73F83" w14:textId="77777777" w:rsidR="00C465E7" w:rsidRDefault="00C465E7" w:rsidP="001940F0">
      <w:pPr>
        <w:spacing w:after="0" w:line="240" w:lineRule="auto"/>
      </w:pPr>
      <w:r>
        <w:separator/>
      </w:r>
    </w:p>
  </w:footnote>
  <w:footnote w:type="continuationSeparator" w:id="0">
    <w:p w14:paraId="2AACF0EF" w14:textId="77777777" w:rsidR="00C465E7" w:rsidRDefault="00C465E7" w:rsidP="001940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F8"/>
    <w:rsid w:val="000416AA"/>
    <w:rsid w:val="000A0B62"/>
    <w:rsid w:val="00121756"/>
    <w:rsid w:val="001940F0"/>
    <w:rsid w:val="00196EB1"/>
    <w:rsid w:val="002F4956"/>
    <w:rsid w:val="003F1922"/>
    <w:rsid w:val="0074382D"/>
    <w:rsid w:val="00830BF8"/>
    <w:rsid w:val="00A70E15"/>
    <w:rsid w:val="00B36393"/>
    <w:rsid w:val="00BC66C7"/>
    <w:rsid w:val="00C465E7"/>
    <w:rsid w:val="00C5645F"/>
    <w:rsid w:val="00D355F1"/>
    <w:rsid w:val="00F16A1C"/>
    <w:rsid w:val="00F5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499575"/>
  <w15:chartTrackingRefBased/>
  <w15:docId w15:val="{F1D62ED8-E0C7-443D-966A-B5C90004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830BF8"/>
    <w:pPr>
      <w:adjustRightInd w:val="0"/>
      <w:snapToGrid w:val="0"/>
      <w:spacing w:after="240" w:line="240" w:lineRule="atLeast"/>
      <w:jc w:val="lef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830BF8"/>
    <w:pPr>
      <w:adjustRightInd w:val="0"/>
      <w:snapToGrid w:val="0"/>
      <w:spacing w:after="36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lang w:eastAsia="de-DE" w:bidi="en-US"/>
    </w:rPr>
  </w:style>
  <w:style w:type="paragraph" w:styleId="ListParagraph">
    <w:name w:val="List Paragraph"/>
    <w:basedOn w:val="Normal"/>
    <w:uiPriority w:val="34"/>
    <w:qFormat/>
    <w:rsid w:val="00830BF8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1940F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940F0"/>
  </w:style>
  <w:style w:type="paragraph" w:styleId="Footer">
    <w:name w:val="footer"/>
    <w:basedOn w:val="Normal"/>
    <w:link w:val="FooterChar"/>
    <w:uiPriority w:val="99"/>
    <w:unhideWhenUsed/>
    <w:rsid w:val="001940F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940F0"/>
  </w:style>
  <w:style w:type="paragraph" w:customStyle="1" w:styleId="MDPI16affiliation">
    <w:name w:val="MDPI_1.6_affiliation"/>
    <w:qFormat/>
    <w:rsid w:val="003F1922"/>
    <w:pPr>
      <w:adjustRightInd w:val="0"/>
      <w:snapToGrid w:val="0"/>
      <w:spacing w:after="0" w:line="200" w:lineRule="atLeast"/>
      <w:ind w:left="2806" w:hanging="198"/>
      <w:jc w:val="left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인환 이</dc:creator>
  <cp:keywords/>
  <dc:description/>
  <cp:lastModifiedBy>MDPI</cp:lastModifiedBy>
  <cp:revision>8</cp:revision>
  <dcterms:created xsi:type="dcterms:W3CDTF">2023-10-31T10:12:00Z</dcterms:created>
  <dcterms:modified xsi:type="dcterms:W3CDTF">2023-11-23T16:04:00Z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ede32036d39a098fa3b96a2ff6e9d94b4d4b24fc411c3f98a6fd8047e28d6c92</vt:lpwstr>
  </property>
</Properties>
</file>